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835150" cy="6769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35150" cy="676910"/>
                    </a:xfrm>
                    <a:prstGeom prst="rect"/>
                  </pic:spPr>
                </pic:pic>
              </a:graphicData>
            </a:graphic>
          </wp:inline>
        </w:drawing>
      </w:r>
    </w:p>
    <w:p>
      <w:pPr>
        <w:widowControl w:val="0"/>
        <w:spacing w:after="239" w:line="1" w:lineRule="exact"/>
      </w:pPr>
    </w:p>
    <w:p>
      <w:pPr>
        <w:pStyle w:val="Style10"/>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神州数码信息服务股份有限公司</w:t>
      </w:r>
      <w:bookmarkEnd w:id="0"/>
      <w:bookmarkEnd w:id="1"/>
      <w:bookmarkEnd w:id="2"/>
    </w:p>
    <w:p>
      <w:pPr>
        <w:pStyle w:val="Style1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5"/>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1085" w:bottom="2636" w:left="1109"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480" w:after="76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年度董事长报告</w:t>
      </w:r>
      <w:bookmarkEnd w:id="3"/>
      <w:bookmarkEnd w:id="4"/>
      <w:bookmarkEnd w:id="5"/>
    </w:p>
    <w:p>
      <w:pPr>
        <w:pStyle w:val="Style21"/>
        <w:keepNext w:val="0"/>
        <w:keepLines w:val="0"/>
        <w:widowControl w:val="0"/>
        <w:shd w:val="clear" w:color="auto" w:fill="auto"/>
        <w:bidi w:val="0"/>
        <w:spacing w:before="0" w:line="411" w:lineRule="exact"/>
        <w:ind w:left="0" w:right="0"/>
        <w:jc w:val="both"/>
      </w:pPr>
      <w:bookmarkStart w:id="6" w:name="bookmark6"/>
      <w:r>
        <w:rPr>
          <w:color w:val="000000"/>
          <w:spacing w:val="0"/>
          <w:w w:val="100"/>
          <w:position w:val="0"/>
        </w:rPr>
        <w:t>2020</w:t>
      </w:r>
      <w:r>
        <w:rPr>
          <w:color w:val="000000"/>
          <w:spacing w:val="0"/>
          <w:w w:val="100"/>
          <w:position w:val="0"/>
        </w:rPr>
        <w:t>年是极不平凡的一年。面对突如其来的新冠疫情、世界经济深度衰退等多重严重冲击，在以习近 平总书记为核心的党中央坚强领导下，我国率先走出疫情阴云的笼罩，在全球主要经济体中唯一实现经济 正增长，经济发展和社会生活都交出了一份优秀的答卷。然而，世界地缘政治版图和全球竞争格局的急剧 变化，使我们的未来仍面临严峻考验。</w:t>
      </w:r>
      <w:bookmarkEnd w:id="6"/>
    </w:p>
    <w:p>
      <w:pPr>
        <w:pStyle w:val="Style21"/>
        <w:keepNext w:val="0"/>
        <w:keepLines w:val="0"/>
        <w:widowControl w:val="0"/>
        <w:shd w:val="clear" w:color="auto" w:fill="auto"/>
        <w:bidi w:val="0"/>
        <w:spacing w:before="0" w:line="408" w:lineRule="exact"/>
        <w:ind w:left="0" w:right="0"/>
        <w:jc w:val="both"/>
      </w:pPr>
      <w:r>
        <w:rPr>
          <w:color w:val="000000"/>
          <w:spacing w:val="0"/>
          <w:w w:val="100"/>
          <w:position w:val="0"/>
        </w:rPr>
        <w:t>后疫情时代，面对国内外深刻而复杂的环境变化，十九届五中全会、十三届全国人大四次会议高远务 实地擘画了《第十四个五年规划和</w:t>
      </w:r>
      <w:r>
        <w:rPr>
          <w:color w:val="000000"/>
          <w:spacing w:val="0"/>
          <w:w w:val="100"/>
          <w:position w:val="0"/>
        </w:rPr>
        <w:t>2035</w:t>
      </w:r>
      <w:r>
        <w:rPr>
          <w:color w:val="000000"/>
          <w:spacing w:val="0"/>
          <w:w w:val="100"/>
          <w:position w:val="0"/>
        </w:rPr>
        <w:t>年远景目标纲要》这一国民经济和社会发展蓝图，提出把科技自 立自强作为国家发展的战略支撑，由创新驱动高质量新发展。《纲要》还提出，要推进金融业信息化核心 技术安全可控，维护金融基础设施安全。探索建立金融科技监管框架，在审慎监管前提下有序推进金融创 新，稳妥发展金融科技，加快金融机构数字化转型，推进数字货币研发。作为向第二个百年奋斗目标进军 的纲领性文件，这将是未来中国经济社会发展的行动指南。</w:t>
      </w:r>
    </w:p>
    <w:p>
      <w:pPr>
        <w:pStyle w:val="Style21"/>
        <w:keepNext w:val="0"/>
        <w:keepLines w:val="0"/>
        <w:widowControl w:val="0"/>
        <w:shd w:val="clear" w:color="auto" w:fill="auto"/>
        <w:bidi w:val="0"/>
        <w:spacing w:before="0" w:line="408" w:lineRule="exact"/>
        <w:ind w:left="0" w:right="0"/>
        <w:jc w:val="both"/>
      </w:pPr>
      <w:r>
        <w:rPr>
          <w:color w:val="000000"/>
          <w:spacing w:val="0"/>
          <w:w w:val="100"/>
          <w:position w:val="0"/>
        </w:rPr>
        <w:t>面向未来，我们要以新思维推动金融创新，满足新时期发展需要。基础设施的重构和演进日益呈现出 面向云原生环境、数据要素全面融入经济社会、应用场景产生融合创新的新特征。数字化领域正在出现三 个颠覆式创新，也是摆在面前的技术发展机遇。首先是以“云”为代表的信息化基础设施的颠覆式创新， 云基础设施从单云走向多云，将承接和满足企业更多层面技术和价值创新需求；二是基于大数据的知识认 知重构，数据要素全面融入生产关系将使数据作为新型基础设施的价值不断放大；三是把应用场景和数字 技术相结合产生的商业融合创新，这是数字经济必然带来的宏大趋势，持续的融合将创造出新场景、新市 场和新产业。在这三大颠覆式创新中，如何找到企业的定位，如何让企业融入到发展的洪流当中，是我们 一直以来孜孜不倦地探索和努力的主题。</w:t>
      </w:r>
    </w:p>
    <w:p>
      <w:pPr>
        <w:pStyle w:val="Style21"/>
        <w:keepNext w:val="0"/>
        <w:keepLines w:val="0"/>
        <w:widowControl w:val="0"/>
        <w:shd w:val="clear" w:color="auto" w:fill="auto"/>
        <w:bidi w:val="0"/>
        <w:spacing w:before="0"/>
        <w:ind w:left="0" w:right="0"/>
        <w:jc w:val="both"/>
      </w:pPr>
      <w:r>
        <w:rPr>
          <w:color w:val="000000"/>
          <w:spacing w:val="0"/>
          <w:w w:val="100"/>
          <w:position w:val="0"/>
        </w:rPr>
        <w:t>今天，世界格局的快速变化让我们日益认识到安全这一议题的战略重要性，金融系统自身能力建设正 在通过全方位的自主可控走向成熟，越来越多科技企业也根据各自的资源禀赋推出功能特点各不相同的金 融系统支持产品。信创产业发展的三个难点在于关键底层技术突破、全面国产化适配和行业应用落地。</w:t>
      </w:r>
      <w:r>
        <w:rPr>
          <w:color w:val="000000"/>
          <w:spacing w:val="0"/>
          <w:w w:val="100"/>
          <w:position w:val="0"/>
        </w:rPr>
        <w:t xml:space="preserve">2020 </w:t>
      </w:r>
      <w:r>
        <w:rPr>
          <w:color w:val="000000"/>
          <w:spacing w:val="0"/>
          <w:w w:val="100"/>
          <w:position w:val="0"/>
        </w:rPr>
        <w:t>年，从国有大行、股份制到城商行，从主机、核心业务系统到外围系统，都开启了不同程度不同范围的向 信创基础设施体系迁移的实践。“分布式+微服务+云原生”的金融分布式架构级产品和应用，既能帮助银 行向分布式转型，满足互联网创新业务开展，又能推进金融信创，构建安全可控的业务基座，正在支持着 整个行业的转型发展。</w:t>
      </w:r>
    </w:p>
    <w:p>
      <w:pPr>
        <w:pStyle w:val="Style21"/>
        <w:keepNext w:val="0"/>
        <w:keepLines w:val="0"/>
        <w:widowControl w:val="0"/>
        <w:shd w:val="clear" w:color="auto" w:fill="auto"/>
        <w:bidi w:val="0"/>
        <w:spacing w:before="0" w:after="0" w:line="409" w:lineRule="exact"/>
        <w:ind w:left="0" w:right="0"/>
        <w:jc w:val="both"/>
      </w:pPr>
      <w:r>
        <w:rPr>
          <w:color w:val="000000"/>
          <w:spacing w:val="0"/>
          <w:w w:val="100"/>
          <w:position w:val="0"/>
        </w:rPr>
        <w:t xml:space="preserve">在服务客户、促进经济发展方面，数据技术的加持，正在推动着银行资源更好地向以前覆盖不足的农 户、小微企业倾斜。新金融在这其中有着非常重要的使命，将为金融与资本流向基层农业和制造业打造合 适的基础设施和新的行业范式。今天的金融科技企业已经可以通过“银税互动”、“银农直连”、“生物资产 抵押”、“单品大数据助贷”等解决方案，将有价值的小微企业、农业场景、区块链应用和数据能力引入银 行解决方案，为银行和信贷机构提供针对农户和小微企业的获客和风险评估，减少贷款环节和借款人抵押 </w:t>
      </w:r>
      <w:r>
        <w:rPr>
          <w:color w:val="000000"/>
          <w:spacing w:val="0"/>
          <w:w w:val="100"/>
          <w:position w:val="0"/>
        </w:rPr>
        <w:t>担保负担，助力资金流向金融基础设施欠发达的地区和产业，解决小微、农户融资“最后一公里”的难题。</w:t>
      </w:r>
    </w:p>
    <w:p>
      <w:pPr>
        <w:pStyle w:val="Style21"/>
        <w:keepNext w:val="0"/>
        <w:keepLines w:val="0"/>
        <w:widowControl w:val="0"/>
        <w:shd w:val="clear" w:color="auto" w:fill="auto"/>
        <w:bidi w:val="0"/>
        <w:spacing w:before="0" w:after="0" w:line="406" w:lineRule="exact"/>
        <w:ind w:left="0" w:right="0"/>
        <w:jc w:val="both"/>
      </w:pPr>
      <w:r>
        <w:rPr>
          <w:color w:val="000000"/>
          <w:spacing w:val="0"/>
          <w:w w:val="100"/>
          <w:position w:val="0"/>
        </w:rPr>
        <w:t>在未来，数字货币的应用将令金融普惠更容易实现：金融欠发达地区的人民可以通过数字货币钱包购 买相应的数字货币理财产品；政府也可以更容易地向金融不发达地区发放专项补助，更方便、精准地完成 扶贫推广和实施。同时，数字货币无须第三方机构协助的特征，也将改变及孕育新的商业形态，以迭代创 新推动经济社会的更大发展。</w:t>
      </w:r>
    </w:p>
    <w:p>
      <w:pPr>
        <w:pStyle w:val="Style21"/>
        <w:keepNext w:val="0"/>
        <w:keepLines w:val="0"/>
        <w:widowControl w:val="0"/>
        <w:shd w:val="clear" w:color="auto" w:fill="auto"/>
        <w:bidi w:val="0"/>
        <w:spacing w:before="0" w:after="1560" w:line="409" w:lineRule="exact"/>
        <w:ind w:left="0" w:right="0"/>
        <w:jc w:val="both"/>
      </w:pPr>
      <w:r>
        <w:rPr>
          <w:color w:val="000000"/>
          <w:spacing w:val="0"/>
          <w:w w:val="100"/>
          <w:position w:val="0"/>
        </w:rPr>
        <w:t>2021</w:t>
      </w:r>
      <w:r>
        <w:rPr>
          <w:color w:val="000000"/>
          <w:spacing w:val="0"/>
          <w:w w:val="100"/>
          <w:position w:val="0"/>
        </w:rPr>
        <w:t>年是“十四五”开局之年、建党百年，是我国发展历程中非常重要的转折点，我们要坚持创新驱 动发展，全面塑造发展新优势，推动数字中国建设，也期待和更多中国企业一起抓住机遇，走上世界的核 心舞台，促进经济社会发展开创新局。我们坚信，在建设科技强国、布局新型基础设施、提升金融科技水 平和增强金融普惠价值的过程中，以新思维推动金融创新，满足新时期发展需要，同时坚持总体国家安全 观，助力经济社会发展开新局，将能够带领我们跟随整个国家向第二个百年奋斗目标持续前行。</w:t>
      </w:r>
    </w:p>
    <w:p>
      <w:pPr>
        <w:pStyle w:val="Style2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神州数码信息服务股份有限公司</w:t>
      </w:r>
    </w:p>
    <w:p>
      <w:pPr>
        <w:pStyle w:val="Style21"/>
        <w:keepNext w:val="0"/>
        <w:keepLines w:val="0"/>
        <w:widowControl w:val="0"/>
        <w:shd w:val="clear" w:color="auto" w:fill="auto"/>
        <w:bidi w:val="0"/>
        <w:spacing w:before="0" w:after="120" w:line="240" w:lineRule="auto"/>
        <w:ind w:left="0" w:right="0" w:firstLine="0"/>
        <w:jc w:val="right"/>
        <w:sectPr>
          <w:footnotePr>
            <w:pos w:val="pageBottom"/>
            <w:numFmt w:val="decimal"/>
            <w:numRestart w:val="continuous"/>
          </w:footnotePr>
          <w:pgSz w:w="11900" w:h="16840"/>
          <w:pgMar w:top="1287" w:right="1024" w:bottom="1445" w:left="1089" w:header="0" w:footer="3" w:gutter="0"/>
          <w:cols w:space="720"/>
          <w:noEndnote/>
          <w:rtlGutter w:val="0"/>
          <w:docGrid w:linePitch="360"/>
        </w:sectPr>
      </w:pPr>
      <w:r>
        <w:rPr>
          <w:color w:val="000000"/>
          <w:spacing w:val="0"/>
          <w:w w:val="100"/>
          <w:position w:val="0"/>
        </w:rPr>
        <w:t>董事长：郭为</w:t>
      </w:r>
    </w:p>
    <w:p>
      <w:pPr>
        <w:pStyle w:val="Style18"/>
        <w:keepNext/>
        <w:keepLines/>
        <w:widowControl w:val="0"/>
        <w:shd w:val="clear" w:color="auto" w:fill="auto"/>
        <w:bidi w:val="0"/>
        <w:spacing w:before="560" w:after="380" w:line="240" w:lineRule="auto"/>
        <w:ind w:left="0" w:right="0" w:firstLine="0"/>
        <w:jc w:val="center"/>
      </w:pPr>
      <w:bookmarkStart w:id="7" w:name="bookmark7"/>
      <w:bookmarkStart w:id="8" w:name="bookmark8"/>
      <w:bookmarkStart w:id="9" w:name="bookmark9"/>
      <w:r>
        <w:rPr>
          <w:color w:val="000000"/>
          <w:spacing w:val="0"/>
          <w:w w:val="100"/>
          <w:position w:val="0"/>
        </w:rPr>
        <w:t>第一节重要提示、目录和释义</w:t>
      </w:r>
      <w:bookmarkEnd w:id="7"/>
      <w:bookmarkEnd w:id="8"/>
      <w:bookmarkEnd w:id="9"/>
    </w:p>
    <w:p>
      <w:pPr>
        <w:pStyle w:val="Style24"/>
        <w:keepNext w:val="0"/>
        <w:keepLines w:val="0"/>
        <w:widowControl w:val="0"/>
        <w:shd w:val="clear" w:color="auto" w:fill="auto"/>
        <w:bidi w:val="0"/>
        <w:spacing w:before="0" w:line="624" w:lineRule="exact"/>
        <w:ind w:left="0" w:right="0"/>
        <w:jc w:val="both"/>
      </w:pPr>
      <w:bookmarkStart w:id="10" w:name="bookmark10"/>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10"/>
    </w:p>
    <w:p>
      <w:pPr>
        <w:pStyle w:val="Style24"/>
        <w:keepNext w:val="0"/>
        <w:keepLines w:val="0"/>
        <w:widowControl w:val="0"/>
        <w:shd w:val="clear" w:color="auto" w:fill="auto"/>
        <w:bidi w:val="0"/>
        <w:spacing w:before="0" w:after="380" w:line="619" w:lineRule="exact"/>
        <w:ind w:left="0" w:right="0"/>
        <w:jc w:val="both"/>
      </w:pPr>
      <w:r>
        <w:rPr>
          <w:color w:val="000000"/>
          <w:spacing w:val="0"/>
          <w:w w:val="100"/>
          <w:position w:val="0"/>
        </w:rPr>
        <w:t>公司负责人郭为、主管会计工作负责人张云飞及会计机构负责人（会计主管 人员）张秀慧声明：保证本年度报告中财务报告的真实、准确、完整。</w:t>
      </w:r>
    </w:p>
    <w:p>
      <w:pPr>
        <w:pStyle w:val="Style26"/>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08"/>
        <w:gridCol w:w="2222"/>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因公</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韩玉华</w:t>
            </w:r>
          </w:p>
        </w:tc>
      </w:tr>
    </w:tbl>
    <w:p>
      <w:pPr>
        <w:pStyle w:val="Style24"/>
        <w:keepNext w:val="0"/>
        <w:keepLines w:val="0"/>
        <w:widowControl w:val="0"/>
        <w:shd w:val="clear" w:color="auto" w:fill="auto"/>
        <w:bidi w:val="0"/>
        <w:spacing w:before="0" w:line="643" w:lineRule="exact"/>
        <w:ind w:left="0" w:right="0"/>
        <w:jc w:val="both"/>
      </w:pPr>
      <w:r>
        <w:rPr>
          <w:color w:val="000000"/>
          <w:spacing w:val="0"/>
          <w:w w:val="100"/>
          <w:position w:val="0"/>
        </w:rPr>
        <w:t>本公司2020年年度报告涉及的未来计划等前瞻性陈述，不构成公司对投资 者的实质承诺，敬请广大投资者注意投资风险。</w:t>
      </w:r>
    </w:p>
    <w:p>
      <w:pPr>
        <w:pStyle w:val="Style24"/>
        <w:keepNext w:val="0"/>
        <w:keepLines w:val="0"/>
        <w:widowControl w:val="0"/>
        <w:shd w:val="clear" w:color="auto" w:fill="auto"/>
        <w:bidi w:val="0"/>
        <w:spacing w:before="0" w:line="629" w:lineRule="exact"/>
        <w:ind w:left="0" w:right="0"/>
        <w:jc w:val="both"/>
      </w:pPr>
      <w:r>
        <w:rPr>
          <w:color w:val="000000"/>
          <w:spacing w:val="0"/>
          <w:w w:val="100"/>
          <w:position w:val="0"/>
        </w:rPr>
        <w:t>公司已在本报告中详细描述了可能存在的产品技术风险、市场竞争风险、 人力资源风险，敬请查阅本报告第四节之“九、公司未来发展的展望”中“（三） 公司发展过程中可能面临的风险”的内容。</w:t>
      </w:r>
    </w:p>
    <w:p>
      <w:pPr>
        <w:pStyle w:val="Style24"/>
        <w:keepNext w:val="0"/>
        <w:keepLines w:val="0"/>
        <w:widowControl w:val="0"/>
        <w:shd w:val="clear" w:color="auto" w:fill="auto"/>
        <w:bidi w:val="0"/>
        <w:spacing w:before="0" w:after="220"/>
        <w:ind w:left="0" w:right="0"/>
        <w:jc w:val="both"/>
      </w:pPr>
      <w:r>
        <w:rPr>
          <w:color w:val="000000"/>
          <w:spacing w:val="0"/>
          <w:w w:val="100"/>
          <w:position w:val="0"/>
        </w:rPr>
        <w:t>公司经本次董事会审议通过的利润分配预案为：以截至第八届董事会第九 次会议召开日，公司总股本扣除回购专户中已回购股份后的963,445,851股为基 数，向全体股东每10股派发现金红利</w:t>
      </w:r>
      <w:r>
        <w:rPr>
          <w:color w:val="000000"/>
          <w:spacing w:val="0"/>
          <w:w w:val="100"/>
          <w:position w:val="0"/>
        </w:rPr>
        <w:t>0.5</w:t>
      </w:r>
      <w:r>
        <w:rPr>
          <w:color w:val="000000"/>
          <w:spacing w:val="0"/>
          <w:w w:val="100"/>
          <w:position w:val="0"/>
        </w:rPr>
        <w:t>元（含税），送红股0股（含税），不 以公积金转增股本。</w:t>
      </w:r>
    </w:p>
    <w:p>
      <w:pPr>
        <w:pStyle w:val="Style10"/>
        <w:keepNext/>
        <w:keepLines/>
        <w:widowControl w:val="0"/>
        <w:shd w:val="clear" w:color="auto" w:fill="auto"/>
        <w:bidi w:val="0"/>
        <w:spacing w:before="0" w:after="1620" w:line="240" w:lineRule="auto"/>
        <w:ind w:left="0" w:right="0" w:firstLine="0"/>
        <w:jc w:val="center"/>
      </w:pPr>
      <w:bookmarkStart w:id="11" w:name="bookmark11"/>
      <w:bookmarkStart w:id="12" w:name="bookmark12"/>
      <w:bookmarkStart w:id="13" w:name="bookmark13"/>
      <w:r>
        <w:rPr>
          <w:color w:val="000000"/>
          <w:spacing w:val="0"/>
          <w:w w:val="100"/>
          <w:position w:val="0"/>
        </w:rPr>
        <w:t>目录</w:t>
      </w:r>
      <w:bookmarkEnd w:id="11"/>
      <w:bookmarkEnd w:id="12"/>
      <w:bookmarkEnd w:id="13"/>
    </w:p>
    <w:p>
      <w:pPr>
        <w:pStyle w:val="Style31"/>
        <w:keepNext w:val="0"/>
        <w:keepLines w:val="0"/>
        <w:widowControl w:val="0"/>
        <w:shd w:val="clear" w:color="auto" w:fill="auto"/>
        <w:tabs>
          <w:tab w:leader="dot" w:pos="9608"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rFonts w:ascii="Times New Roman" w:eastAsia="Times New Roman" w:hAnsi="Times New Roman" w:cs="Times New Roman"/>
            <w:color w:val="000000"/>
            <w:spacing w:val="0"/>
            <w:w w:val="100"/>
            <w:position w:val="0"/>
          </w:rPr>
          <w:t>2020</w:t>
        </w:r>
        <w:r>
          <w:rPr>
            <w:color w:val="000000"/>
            <w:spacing w:val="0"/>
            <w:w w:val="100"/>
            <w:position w:val="0"/>
          </w:rPr>
          <w:t>年度董事长报告</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8"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1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65"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99"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268"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44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505"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509"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513"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557"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105</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661"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112</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665"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113</w:t>
        </w:r>
      </w:hyperlink>
    </w:p>
    <w:p>
      <w:pPr>
        <w:pStyle w:val="Style31"/>
        <w:keepNext w:val="0"/>
        <w:keepLines w:val="0"/>
        <w:widowControl w:val="0"/>
        <w:shd w:val="clear" w:color="auto" w:fill="auto"/>
        <w:tabs>
          <w:tab w:leader="dot" w:pos="9608" w:val="right"/>
        </w:tabs>
        <w:bidi w:val="0"/>
        <w:spacing w:before="0" w:line="240" w:lineRule="auto"/>
        <w:ind w:left="0" w:right="0" w:firstLine="0"/>
        <w:jc w:val="both"/>
      </w:pPr>
      <w:hyperlink w:anchor="bookmark1649"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240</w:t>
        </w:r>
      </w:hyperlink>
      <w:r>
        <w:br w:type="page"/>
      </w:r>
      <w:r>
        <w:fldChar w:fldCharType="end"/>
      </w:r>
    </w:p>
    <w:p>
      <w:pPr>
        <w:pStyle w:val="Style18"/>
        <w:keepNext/>
        <w:keepLines/>
        <w:widowControl w:val="0"/>
        <w:shd w:val="clear" w:color="auto" w:fill="auto"/>
        <w:bidi w:val="0"/>
        <w:spacing w:before="0" w:after="800" w:line="240" w:lineRule="auto"/>
        <w:ind w:left="0" w:right="0" w:firstLine="0"/>
        <w:jc w:val="center"/>
      </w:pPr>
      <w:bookmarkStart w:id="14" w:name="bookmark14"/>
      <w:bookmarkStart w:id="15" w:name="bookmark15"/>
      <w:bookmarkStart w:id="16" w:name="bookmark16"/>
      <w:r>
        <w:rPr>
          <w:color w:val="000000"/>
          <w:spacing w:val="0"/>
          <w:w w:val="100"/>
          <w:position w:val="0"/>
        </w:rPr>
        <w:t>释义</w:t>
      </w:r>
      <w:bookmarkEnd w:id="14"/>
      <w:bookmarkEnd w:id="15"/>
      <w:bookmarkEnd w:id="16"/>
    </w:p>
    <w:tbl>
      <w:tblPr>
        <w:tblOverlap w:val="never"/>
        <w:jc w:val="center"/>
        <w:tblLayout w:type="fixed"/>
      </w:tblPr>
      <w:tblGrid>
        <w:gridCol w:w="3528"/>
        <w:gridCol w:w="619"/>
        <w:gridCol w:w="5434"/>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本公司、公司、神州信息、本集团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太光电信、原上市公司、</w:t>
            </w:r>
            <w:r>
              <w:rPr>
                <w:rFonts w:ascii="Times New Roman" w:eastAsia="Times New Roman" w:hAnsi="Times New Roman" w:cs="Times New Roman"/>
                <w:color w:val="000000"/>
                <w:spacing w:val="0"/>
                <w:w w:val="100"/>
                <w:position w:val="0"/>
              </w:rPr>
              <w:t>*ST</w:t>
            </w:r>
            <w:r>
              <w:rPr>
                <w:color w:val="000000"/>
                <w:spacing w:val="0"/>
                <w:w w:val="100"/>
                <w:position w:val="0"/>
              </w:rPr>
              <w:t>太光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深圳市太光电信股份有限公司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萍乡信锐、天津信锐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萍乡信锐企业管理合伙企业（有限合伙）（原名为天津信锐投资合伙 企业（有限合伙））</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中新创投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中新苏州工业园区创业投资有限公司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华亿投资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Infinity I-China Investments </w:t>
            </w:r>
            <w:r>
              <w:rPr>
                <w:color w:val="000000"/>
                <w:spacing w:val="0"/>
                <w:w w:val="100"/>
                <w:position w:val="0"/>
              </w:rPr>
              <w:t>(</w:t>
            </w:r>
            <w:r>
              <w:rPr>
                <w:rFonts w:ascii="Times New Roman" w:eastAsia="Times New Roman" w:hAnsi="Times New Roman" w:cs="Times New Roman"/>
                <w:color w:val="000000"/>
                <w:spacing w:val="0"/>
                <w:w w:val="100"/>
                <w:position w:val="0"/>
              </w:rPr>
              <w:t>Israel</w:t>
            </w:r>
            <w:r>
              <w:rPr>
                <w:color w:val="000000"/>
                <w:spacing w:val="0"/>
                <w:w w:val="100"/>
                <w:position w:val="0"/>
              </w:rPr>
              <w:t>)</w:t>
            </w:r>
            <w:r>
              <w:rPr>
                <w:rFonts w:ascii="Times New Roman" w:eastAsia="Times New Roman" w:hAnsi="Times New Roman" w:cs="Times New Roman"/>
                <w:color w:val="000000"/>
                <w:spacing w:val="0"/>
                <w:w w:val="100"/>
                <w:position w:val="0"/>
              </w:rPr>
              <w:t>,L.P</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南京汇庆</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霍尔果斯汇庆天下股权投资管理合伙企业（有限合伙）（原名为南京 汇庆天下科技有限公司）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申昌科技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昆山市申昌科技有限公司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DCSL</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Digital China Software </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 xml:space="preserve">) </w:t>
            </w:r>
            <w:r>
              <w:rPr>
                <w:rFonts w:ascii="Times New Roman" w:eastAsia="Times New Roman" w:hAnsi="Times New Roman" w:cs="Times New Roman"/>
                <w:color w:val="000000"/>
                <w:spacing w:val="0"/>
                <w:w w:val="100"/>
                <w:position w:val="0"/>
              </w:rPr>
              <w:t>Limited</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旗硕科技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鼎捷软件股份有限公司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神州信息北京分公司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神州数码信息服务股份有限公司北京分公司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君信宜知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上海君信宜知网络科技有限公司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融信软件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融信云</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神州数码信息服务股份有限公司章程</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神州数码信息服务股份有限公司股东大会</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神州数码信息服务股份有限公司董事会</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神州数码信息服务股份有限公司监事会</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^元、万兀、亿^元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headerReference w:type="default" r:id="rId9"/>
          <w:footerReference w:type="default" r:id="rId10"/>
          <w:footnotePr>
            <w:pos w:val="pageBottom"/>
            <w:numFmt w:val="decimal"/>
            <w:numRestart w:val="continuous"/>
          </w:footnotePr>
          <w:pgSz w:w="11900" w:h="16840"/>
          <w:pgMar w:top="1420" w:right="1094" w:bottom="1462" w:left="1067" w:header="0" w:footer="3" w:gutter="0"/>
          <w:cols w:space="720"/>
          <w:noEndnote/>
          <w:rtlGutter w:val="0"/>
          <w:docGrid w:linePitch="360"/>
        </w:sectPr>
      </w:pPr>
    </w:p>
    <w:p>
      <w:pPr>
        <w:pStyle w:val="Style18"/>
        <w:keepNext/>
        <w:keepLines/>
        <w:widowControl w:val="0"/>
        <w:shd w:val="clear" w:color="auto" w:fill="auto"/>
        <w:bidi w:val="0"/>
        <w:spacing w:before="480" w:after="560" w:line="240" w:lineRule="auto"/>
        <w:ind w:left="0" w:right="0" w:firstLine="0"/>
        <w:jc w:val="center"/>
      </w:pPr>
      <w:bookmarkStart w:id="17" w:name="bookmark17"/>
      <w:bookmarkStart w:id="18" w:name="bookmark18"/>
      <w:bookmarkStart w:id="19" w:name="bookmark19"/>
      <w:r>
        <w:rPr>
          <w:color w:val="000000"/>
          <w:spacing w:val="0"/>
          <w:w w:val="100"/>
          <w:position w:val="0"/>
        </w:rPr>
        <w:t>第二节公司简介和主要财务指标</w:t>
      </w:r>
      <w:bookmarkEnd w:id="17"/>
      <w:bookmarkEnd w:id="18"/>
      <w:bookmarkEnd w:id="19"/>
    </w:p>
    <w:p>
      <w:pPr>
        <w:pStyle w:val="Style35"/>
        <w:keepNext/>
        <w:keepLines/>
        <w:widowControl w:val="0"/>
        <w:shd w:val="clear" w:color="auto" w:fill="auto"/>
        <w:bidi w:val="0"/>
        <w:spacing w:before="0" w:after="300" w:line="240" w:lineRule="auto"/>
        <w:ind w:left="0" w:right="0" w:firstLine="240"/>
        <w:jc w:val="left"/>
      </w:pPr>
      <w:bookmarkStart w:id="20" w:name="bookmark20"/>
      <w:bookmarkStart w:id="21" w:name="bookmark21"/>
      <w:bookmarkStart w:id="22" w:name="bookmark22"/>
      <w:bookmarkStart w:id="23" w:name="bookmark23"/>
      <w:r>
        <w:rPr>
          <w:color w:val="000000"/>
          <w:spacing w:val="0"/>
          <w:w w:val="100"/>
          <w:position w:val="0"/>
          <w:sz w:val="24"/>
          <w:szCs w:val="24"/>
        </w:rPr>
        <w:t>、公司信息</w:t>
      </w:r>
      <w:bookmarkEnd w:id="21"/>
      <w:bookmarkEnd w:id="22"/>
      <w:bookmarkEnd w:id="23"/>
      <w:bookmarkEnd w:id="20"/>
    </w:p>
    <w:tbl>
      <w:tblPr>
        <w:tblOverlap w:val="never"/>
        <w:jc w:val="center"/>
        <w:tblLayout w:type="fixed"/>
      </w:tblPr>
      <w:tblGrid>
        <w:gridCol w:w="2290"/>
        <w:gridCol w:w="2952"/>
        <w:gridCol w:w="2155"/>
        <w:gridCol w:w="2184"/>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000555</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Information Service Company Ltd.</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DCITS</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深圳市南山区科发路</w:t>
            </w:r>
            <w:r>
              <w:rPr>
                <w:rFonts w:ascii="Times New Roman" w:eastAsia="Times New Roman" w:hAnsi="Times New Roman" w:cs="Times New Roman"/>
                <w:color w:val="000000"/>
                <w:spacing w:val="0"/>
                <w:w w:val="100"/>
                <w:position w:val="0"/>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11B1</w:t>
            </w:r>
            <w:r>
              <w:rPr>
                <w:color w:val="000000"/>
                <w:spacing w:val="0"/>
                <w:w w:val="100"/>
                <w:position w:val="0"/>
              </w:rPr>
              <w:t>单元</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号院东区</w:t>
            </w:r>
            <w:r>
              <w:rPr>
                <w:rFonts w:ascii="Times New Roman" w:eastAsia="Times New Roman" w:hAnsi="Times New Roman" w:cs="Times New Roman"/>
                <w:color w:val="000000"/>
                <w:spacing w:val="0"/>
                <w:w w:val="100"/>
                <w:position w:val="0"/>
              </w:rPr>
              <w:t>18</w:t>
            </w:r>
            <w:r>
              <w:rPr>
                <w:color w:val="000000"/>
                <w:spacing w:val="0"/>
                <w:w w:val="100"/>
                <w:position w:val="0"/>
              </w:rPr>
              <w:t>号楼神州信息大厦</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100094</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"http://www.dcits.com" </w:instrText>
            </w:r>
            <w:r>
              <w:fldChar w:fldCharType="separate"/>
            </w:r>
            <w:r>
              <w:rPr>
                <w:rFonts w:ascii="Times New Roman" w:eastAsia="Times New Roman" w:hAnsi="Times New Roman" w:cs="Times New Roman"/>
                <w:color w:val="000000"/>
                <w:spacing w:val="0"/>
                <w:w w:val="100"/>
                <w:position w:val="0"/>
              </w:rPr>
              <w:t>www.dcits.com</w:t>
            </w:r>
            <w:r>
              <w:fldChar w:fldCharType="end"/>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"mailto:dcits-ir@dcits.com" </w:instrText>
            </w:r>
            <w:r>
              <w:fldChar w:fldCharType="separate"/>
            </w:r>
            <w:r>
              <w:rPr>
                <w:rFonts w:ascii="Times New Roman" w:eastAsia="Times New Roman" w:hAnsi="Times New Roman" w:cs="Times New Roman"/>
                <w:color w:val="000000"/>
                <w:spacing w:val="0"/>
                <w:w w:val="100"/>
                <w:position w:val="0"/>
              </w:rPr>
              <w:t>dcits-ir@dcits.com</w:t>
            </w:r>
            <w:r>
              <w:fldChar w:fldCharType="end"/>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2"/>
        <w:gridCol w:w="3192"/>
        <w:gridCol w:w="3197"/>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孙端阳</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号院东区</w:t>
            </w:r>
            <w:r>
              <w:rPr>
                <w:rFonts w:ascii="Times New Roman" w:eastAsia="Times New Roman" w:hAnsi="Times New Roman" w:cs="Times New Roman"/>
                <w:color w:val="000000"/>
                <w:spacing w:val="0"/>
                <w:w w:val="100"/>
                <w:position w:val="0"/>
              </w:rPr>
              <w:t xml:space="preserve">18 </w:t>
            </w:r>
            <w:r>
              <w:rPr>
                <w:color w:val="000000"/>
                <w:spacing w:val="0"/>
                <w:w w:val="100"/>
                <w:position w:val="0"/>
              </w:rPr>
              <w:t>号楼神州信息大厦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号院东区</w:t>
            </w:r>
            <w:r>
              <w:rPr>
                <w:rFonts w:ascii="Times New Roman" w:eastAsia="Times New Roman" w:hAnsi="Times New Roman" w:cs="Times New Roman"/>
                <w:color w:val="000000"/>
                <w:spacing w:val="0"/>
                <w:w w:val="100"/>
                <w:position w:val="0"/>
              </w:rPr>
              <w:t xml:space="preserve">18 </w:t>
            </w:r>
            <w:r>
              <w:rPr>
                <w:color w:val="000000"/>
                <w:spacing w:val="0"/>
                <w:w w:val="100"/>
                <w:position w:val="0"/>
              </w:rPr>
              <w:t>号楼神州信息大厦</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010-61853676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010-61853676</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010-62694810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010-62694810</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"mailto:dcits-ir@dcits.com" </w:instrText>
            </w:r>
            <w:r>
              <w:fldChar w:fldCharType="separate"/>
            </w:r>
            <w:r>
              <w:rPr>
                <w:rFonts w:ascii="Times New Roman" w:eastAsia="Times New Roman" w:hAnsi="Times New Roman" w:cs="Times New Roman"/>
                <w:color w:val="000000"/>
                <w:spacing w:val="0"/>
                <w:w w:val="100"/>
                <w:position w:val="0"/>
              </w:rPr>
              <w:t>dcits-ir@dcits.com</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"mailto:dcits-ir@dcits.com" </w:instrText>
            </w:r>
            <w:r>
              <w:fldChar w:fldCharType="separate"/>
            </w:r>
            <w:r>
              <w:rPr>
                <w:rFonts w:ascii="Times New Roman" w:eastAsia="Times New Roman" w:hAnsi="Times New Roman" w:cs="Times New Roman"/>
                <w:color w:val="000000"/>
                <w:spacing w:val="0"/>
                <w:w w:val="100"/>
                <w:position w:val="0"/>
              </w:rPr>
              <w:t>dcits-ir@dcits.com</w:t>
            </w:r>
            <w:r>
              <w:fldChar w:fldCharType="end"/>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3994"/>
        <w:gridCol w:w="5587"/>
      </w:tblGrid>
      <w:tr>
        <w:trPr>
          <w:trHeight w:val="48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bl>
    <w:p>
      <w:pPr>
        <w:spacing w:lineRule="exact" w:line="1"/>
        <w:rPr>
          <w:sz w:val="2"/>
          <w:szCs w:val="2"/>
        </w:rPr>
      </w:pPr>
      <w:r>
        <w:br w:type="page"/>
      </w:r>
    </w:p>
    <w:tbl>
      <w:tblPr>
        <w:tblOverlap w:val="never"/>
        <w:jc w:val="center"/>
        <w:tblLayout w:type="fixed"/>
      </w:tblPr>
      <w:tblGrid>
        <w:gridCol w:w="3994"/>
        <w:gridCol w:w="5587"/>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rPr>
              <w:t>10</w:t>
            </w:r>
            <w:r>
              <w:rPr>
                <w:color w:val="000000"/>
                <w:spacing w:val="0"/>
                <w:w w:val="100"/>
                <w:position w:val="0"/>
              </w:rPr>
              <w:t>号院东区</w:t>
            </w:r>
            <w:r>
              <w:rPr>
                <w:rFonts w:ascii="Times New Roman" w:eastAsia="Times New Roman" w:hAnsi="Times New Roman" w:cs="Times New Roman"/>
                <w:color w:val="000000"/>
                <w:spacing w:val="0"/>
                <w:w w:val="100"/>
                <w:position w:val="0"/>
              </w:rPr>
              <w:t>18</w:t>
            </w:r>
            <w:r>
              <w:rPr>
                <w:color w:val="000000"/>
                <w:spacing w:val="0"/>
                <w:w w:val="100"/>
                <w:position w:val="0"/>
              </w:rPr>
              <w:t>号楼神州信息大厦六层</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、注册变更情况</w:t>
      </w:r>
      <w:bookmarkEnd w:id="32"/>
      <w:bookmarkEnd w:id="33"/>
      <w:bookmarkEnd w:id="35"/>
    </w:p>
    <w:tbl>
      <w:tblPr>
        <w:tblOverlap w:val="never"/>
        <w:jc w:val="center"/>
        <w:tblLayout w:type="fixed"/>
      </w:tblPr>
      <w:tblGrid>
        <w:gridCol w:w="1565"/>
        <w:gridCol w:w="801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91440300726198124D</w:t>
            </w:r>
          </w:p>
        </w:tc>
      </w:tr>
      <w:tr>
        <w:trPr>
          <w:trHeight w:val="563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 业务的变化情况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26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公司上市以来经营范围为：涤纶化纤、织物印染、化纤原料。主要产品为涤纶长丝。</w:t>
            </w:r>
          </w:p>
          <w:p>
            <w:pPr>
              <w:pStyle w:val="Style29"/>
              <w:keepNext w:val="0"/>
              <w:keepLines w:val="0"/>
              <w:widowControl w:val="0"/>
              <w:shd w:val="clear" w:color="auto" w:fill="auto"/>
              <w:tabs>
                <w:tab w:pos="269"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日，公司经营范围变更为：涤纶化纤、织物印染、化纤原料；生产、销售</w:t>
            </w:r>
            <w:r>
              <w:rPr>
                <w:rFonts w:ascii="Times New Roman" w:eastAsia="Times New Roman" w:hAnsi="Times New Roman" w:cs="Times New Roman"/>
                <w:color w:val="000000"/>
                <w:spacing w:val="0"/>
                <w:w w:val="100"/>
                <w:position w:val="0"/>
              </w:rPr>
              <w:t xml:space="preserve">TEC5200 </w:t>
            </w:r>
            <w:r>
              <w:rPr>
                <w:color w:val="000000"/>
                <w:spacing w:val="0"/>
                <w:w w:val="100"/>
                <w:position w:val="0"/>
              </w:rPr>
              <w:t>综合业务接入网等通信设备；国内商业、物资供销业（不含专营、专控、专卖商品）。</w:t>
            </w:r>
          </w:p>
          <w:p>
            <w:pPr>
              <w:pStyle w:val="Style2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日，公司的经营范围变更为：涤纶化纤、织物印染、化纤原料；生产、销售</w:t>
            </w:r>
            <w:r>
              <w:rPr>
                <w:rFonts w:ascii="Times New Roman" w:eastAsia="Times New Roman" w:hAnsi="Times New Roman" w:cs="Times New Roman"/>
                <w:color w:val="000000"/>
                <w:spacing w:val="0"/>
                <w:w w:val="100"/>
                <w:position w:val="0"/>
              </w:rPr>
              <w:t xml:space="preserve">TEC5200 </w:t>
            </w:r>
            <w:r>
              <w:rPr>
                <w:color w:val="000000"/>
                <w:spacing w:val="0"/>
                <w:w w:val="100"/>
                <w:position w:val="0"/>
              </w:rPr>
              <w:t>综合业务接入网等通信设备；国内商业、物资供销业（不含专营、专控、专卖商品）。经营进出口业务。</w:t>
            </w:r>
          </w:p>
          <w:p>
            <w:pPr>
              <w:pStyle w:val="Style29"/>
              <w:keepNext w:val="0"/>
              <w:keepLines w:val="0"/>
              <w:widowControl w:val="0"/>
              <w:shd w:val="clear" w:color="auto" w:fill="auto"/>
              <w:tabs>
                <w:tab w:pos="254"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日，公司经营范围变更为：生产、销售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综合业务接入网等通信设备；国内 商业、物资供销业（不含专营、专控、专卖商品）。经营进出口业务。</w:t>
            </w:r>
          </w:p>
          <w:p>
            <w:pPr>
              <w:pStyle w:val="Style29"/>
              <w:keepNext w:val="0"/>
              <w:keepLines w:val="0"/>
              <w:widowControl w:val="0"/>
              <w:shd w:val="clear" w:color="auto" w:fill="auto"/>
              <w:tabs>
                <w:tab w:pos="264"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日，公司经营范围变更为：销售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综合业务接入网等通信设备；国内商业、 物资供销业（不含专营、专控、专卖商品）；经营进出口业务。</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日，公司经营范围变更为：销售</w:t>
            </w:r>
            <w:r>
              <w:rPr>
                <w:rFonts w:ascii="Times New Roman" w:eastAsia="Times New Roman" w:hAnsi="Times New Roman" w:cs="Times New Roman"/>
                <w:color w:val="000000"/>
                <w:spacing w:val="0"/>
                <w:w w:val="100"/>
                <w:position w:val="0"/>
              </w:rPr>
              <w:t>TEC5200</w:t>
            </w:r>
            <w:r>
              <w:rPr>
                <w:color w:val="000000"/>
                <w:spacing w:val="0"/>
                <w:w w:val="100"/>
                <w:position w:val="0"/>
              </w:rPr>
              <w:t>综合业务接入网等通信设备；经营进出口 业务；电子产品的销售；房地产开发与投资；物业管理（法律、行政法规、国务院决定禁止的项目除 外，限制的项目须取得许可后方可经营）。</w:t>
            </w:r>
          </w:p>
          <w:p>
            <w:pPr>
              <w:pStyle w:val="Style29"/>
              <w:keepNext w:val="0"/>
              <w:keepLines w:val="0"/>
              <w:widowControl w:val="0"/>
              <w:shd w:val="clear" w:color="auto" w:fill="auto"/>
              <w:tabs>
                <w:tab w:pos="26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日，经营范围进行了工商变更：研究、开发金融自助设备及相关应用软件，销售本 公司所研发产品并提供售后服务；提供信息技术及相关技术的咨询、开发、技术服务；软件开发、信 息系统的集成并提供售后服务；从事信息系统集成配套计算机硬件及零件、网络设备、多媒体产品、 电子信息产品及通讯产品、办公自动化设备、仪器仪表、电器及印刷照排设备的批发、进出口及相关 业务。</w:t>
            </w:r>
          </w:p>
        </w:tc>
      </w:tr>
      <w:tr>
        <w:trPr>
          <w:trHeight w:val="595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历次控股股东的变 更情况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公司上市以来，贵州省凯里涤纶厂持有本公司</w:t>
            </w:r>
            <w:r>
              <w:rPr>
                <w:rFonts w:ascii="Times New Roman" w:eastAsia="Times New Roman" w:hAnsi="Times New Roman" w:cs="Times New Roman"/>
                <w:color w:val="000000"/>
                <w:spacing w:val="0"/>
                <w:w w:val="100"/>
                <w:position w:val="0"/>
              </w:rPr>
              <w:t>32,412,428</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43.57%</w:t>
            </w:r>
            <w:r>
              <w:rPr>
                <w:color w:val="000000"/>
                <w:spacing w:val="0"/>
                <w:w w:val="100"/>
                <w:position w:val="0"/>
              </w:rPr>
              <w:t>，成为本 公司的控股股东。</w:t>
            </w:r>
          </w:p>
          <w:p>
            <w:pPr>
              <w:pStyle w:val="Style29"/>
              <w:keepNext w:val="0"/>
              <w:keepLines w:val="0"/>
              <w:widowControl w:val="0"/>
              <w:shd w:val="clear" w:color="auto" w:fill="auto"/>
              <w:tabs>
                <w:tab w:pos="269"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月及</w:t>
            </w:r>
            <w:r>
              <w:rPr>
                <w:rFonts w:ascii="Times New Roman" w:eastAsia="Times New Roman" w:hAnsi="Times New Roman" w:cs="Times New Roman"/>
                <w:color w:val="000000"/>
                <w:spacing w:val="0"/>
                <w:w w:val="100"/>
                <w:position w:val="0"/>
              </w:rPr>
              <w:t>11</w:t>
            </w:r>
            <w:r>
              <w:rPr>
                <w:color w:val="000000"/>
                <w:spacing w:val="0"/>
                <w:w w:val="100"/>
                <w:position w:val="0"/>
              </w:rPr>
              <w:t>月本公司原第一大股东贵州省凯里涤纶厂因逾期未能归还银行贷款遭诉讼，其持 本公司的股份被法院强行拍卖。</w:t>
            </w:r>
          </w:p>
          <w:p>
            <w:pPr>
              <w:pStyle w:val="Style29"/>
              <w:keepNext w:val="0"/>
              <w:keepLines w:val="0"/>
              <w:widowControl w:val="0"/>
              <w:shd w:val="clear" w:color="auto" w:fill="auto"/>
              <w:tabs>
                <w:tab w:pos="264" w:val="left"/>
              </w:tabs>
              <w:bidi w:val="0"/>
              <w:spacing w:before="0" w:after="4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日，深圳市太光科技有限公司与本公司原发起人股东广东金龙基企业有限公司等八 家股东达成协议，收购前述八家股东所持有本公司的股份</w:t>
            </w:r>
            <w:r>
              <w:rPr>
                <w:rFonts w:ascii="Times New Roman" w:eastAsia="Times New Roman" w:hAnsi="Times New Roman" w:cs="Times New Roman"/>
                <w:color w:val="000000"/>
                <w:spacing w:val="0"/>
                <w:w w:val="100"/>
                <w:position w:val="0"/>
              </w:rPr>
              <w:t>19,897,057</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24.32%</w:t>
            </w:r>
            <w:r>
              <w:rPr>
                <w:color w:val="000000"/>
                <w:spacing w:val="0"/>
                <w:w w:val="100"/>
                <w:position w:val="0"/>
              </w:rPr>
              <w:t>， 成为本公司控股股东。</w:t>
            </w:r>
          </w:p>
          <w:p>
            <w:pPr>
              <w:pStyle w:val="Style29"/>
              <w:keepNext w:val="0"/>
              <w:keepLines w:val="0"/>
              <w:widowControl w:val="0"/>
              <w:shd w:val="clear" w:color="auto" w:fill="auto"/>
              <w:tabs>
                <w:tab w:pos="27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日，本公司第一大股东深圳市太光科技有限公司更名为深圳市申昌科技有限公司， 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日更名为昆山市申昌科技有限公司。</w:t>
            </w:r>
          </w:p>
          <w:p>
            <w:pPr>
              <w:pStyle w:val="Style29"/>
              <w:keepNext w:val="0"/>
              <w:keepLines w:val="0"/>
              <w:widowControl w:val="0"/>
              <w:shd w:val="clear" w:color="auto" w:fill="auto"/>
              <w:tabs>
                <w:tab w:pos="25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日，公司第一大股东变更为神码软件，持有公司股份</w:t>
            </w:r>
            <w:r>
              <w:rPr>
                <w:rFonts w:ascii="Times New Roman" w:eastAsia="Times New Roman" w:hAnsi="Times New Roman" w:cs="Times New Roman"/>
                <w:color w:val="000000"/>
                <w:spacing w:val="0"/>
                <w:w w:val="100"/>
                <w:position w:val="0"/>
              </w:rPr>
              <w:t>194,770,055</w:t>
            </w:r>
            <w:r>
              <w:rPr>
                <w:color w:val="000000"/>
                <w:spacing w:val="0"/>
                <w:w w:val="100"/>
                <w:position w:val="0"/>
              </w:rPr>
              <w:t xml:space="preserve">股，占公司总股 本的 </w:t>
            </w:r>
            <w:r>
              <w:rPr>
                <w:rFonts w:ascii="Times New Roman" w:eastAsia="Times New Roman" w:hAnsi="Times New Roman" w:cs="Times New Roman"/>
                <w:color w:val="000000"/>
                <w:spacing w:val="0"/>
                <w:w w:val="100"/>
                <w:position w:val="0"/>
              </w:rPr>
              <w:t>45.17%</w:t>
            </w:r>
            <w:r>
              <w:rPr>
                <w:color w:val="000000"/>
                <w:spacing w:val="0"/>
                <w:w w:val="100"/>
                <w:position w:val="0"/>
              </w:rPr>
              <w:t>。</w:t>
            </w:r>
          </w:p>
          <w:p>
            <w:pPr>
              <w:pStyle w:val="Style29"/>
              <w:keepNext w:val="0"/>
              <w:keepLines w:val="0"/>
              <w:widowControl w:val="0"/>
              <w:shd w:val="clear" w:color="auto" w:fill="auto"/>
              <w:tabs>
                <w:tab w:pos="269"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日，公司关于向特定对象发行股份购买资产并募集配套资金的资产重组事项中的 非公开发行股份</w:t>
            </w:r>
            <w:r>
              <w:rPr>
                <w:rFonts w:ascii="Times New Roman" w:eastAsia="Times New Roman" w:hAnsi="Times New Roman" w:cs="Times New Roman"/>
                <w:color w:val="000000"/>
                <w:spacing w:val="0"/>
                <w:w w:val="100"/>
                <w:position w:val="0"/>
              </w:rPr>
              <w:t>20,520,227</w:t>
            </w:r>
            <w:r>
              <w:rPr>
                <w:color w:val="000000"/>
                <w:spacing w:val="0"/>
                <w:w w:val="100"/>
                <w:position w:val="0"/>
              </w:rPr>
              <w:t>股上市流通，公司股本由</w:t>
            </w:r>
            <w:r>
              <w:rPr>
                <w:rFonts w:ascii="Times New Roman" w:eastAsia="Times New Roman" w:hAnsi="Times New Roman" w:cs="Times New Roman"/>
                <w:color w:val="000000"/>
                <w:spacing w:val="0"/>
                <w:w w:val="100"/>
                <w:position w:val="0"/>
              </w:rPr>
              <w:t>431,214,014</w:t>
            </w:r>
            <w:r>
              <w:rPr>
                <w:color w:val="000000"/>
                <w:spacing w:val="0"/>
                <w:w w:val="100"/>
                <w:position w:val="0"/>
              </w:rPr>
              <w:t>股增加为</w:t>
            </w:r>
            <w:r>
              <w:rPr>
                <w:rFonts w:ascii="Times New Roman" w:eastAsia="Times New Roman" w:hAnsi="Times New Roman" w:cs="Times New Roman"/>
                <w:color w:val="000000"/>
                <w:spacing w:val="0"/>
                <w:w w:val="100"/>
                <w:position w:val="0"/>
              </w:rPr>
              <w:t>451,734,241</w:t>
            </w:r>
            <w:r>
              <w:rPr>
                <w:color w:val="000000"/>
                <w:spacing w:val="0"/>
                <w:w w:val="100"/>
                <w:position w:val="0"/>
              </w:rPr>
              <w:t>股，公司第一 大股东仍为神码软件，持股比例降为</w:t>
            </w:r>
            <w:r>
              <w:rPr>
                <w:rFonts w:ascii="Times New Roman" w:eastAsia="Times New Roman" w:hAnsi="Times New Roman" w:cs="Times New Roman"/>
                <w:color w:val="000000"/>
                <w:spacing w:val="0"/>
                <w:w w:val="100"/>
                <w:position w:val="0"/>
              </w:rPr>
              <w:t>43.12%</w:t>
            </w:r>
            <w:r>
              <w:rPr>
                <w:color w:val="000000"/>
                <w:spacing w:val="0"/>
                <w:w w:val="100"/>
                <w:position w:val="0"/>
              </w:rPr>
              <w:t>。</w:t>
            </w:r>
          </w:p>
          <w:p>
            <w:pPr>
              <w:pStyle w:val="Style29"/>
              <w:keepNext w:val="0"/>
              <w:keepLines w:val="0"/>
              <w:widowControl w:val="0"/>
              <w:shd w:val="clear" w:color="auto" w:fill="auto"/>
              <w:tabs>
                <w:tab w:pos="25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日，公司关于向特定对象发行股份购买资产并募集配套资金的资产重组事项中的配 套募集股份</w:t>
            </w:r>
            <w:r>
              <w:rPr>
                <w:rFonts w:ascii="Times New Roman" w:eastAsia="Times New Roman" w:hAnsi="Times New Roman" w:cs="Times New Roman"/>
                <w:color w:val="000000"/>
                <w:spacing w:val="0"/>
                <w:w w:val="100"/>
                <w:position w:val="0"/>
              </w:rPr>
              <w:t>7,171,717</w:t>
            </w:r>
            <w:r>
              <w:rPr>
                <w:color w:val="000000"/>
                <w:spacing w:val="0"/>
                <w:w w:val="100"/>
                <w:position w:val="0"/>
              </w:rPr>
              <w:t>股上市流通，公司股本增加到</w:t>
            </w:r>
            <w:r>
              <w:rPr>
                <w:rFonts w:ascii="Times New Roman" w:eastAsia="Times New Roman" w:hAnsi="Times New Roman" w:cs="Times New Roman"/>
                <w:color w:val="000000"/>
                <w:spacing w:val="0"/>
                <w:w w:val="100"/>
                <w:position w:val="0"/>
              </w:rPr>
              <w:t>458,905,958</w:t>
            </w:r>
            <w:r>
              <w:rPr>
                <w:color w:val="000000"/>
                <w:spacing w:val="0"/>
                <w:w w:val="100"/>
                <w:position w:val="0"/>
              </w:rPr>
              <w:t>股，公司第一大股东仍为神码软件， 持股比例降为</w:t>
            </w:r>
            <w:r>
              <w:rPr>
                <w:rFonts w:ascii="Times New Roman" w:eastAsia="Times New Roman" w:hAnsi="Times New Roman" w:cs="Times New Roman"/>
                <w:color w:val="000000"/>
                <w:spacing w:val="0"/>
                <w:w w:val="100"/>
                <w:position w:val="0"/>
              </w:rPr>
              <w:t>42.44%</w:t>
            </w:r>
            <w:r>
              <w:rPr>
                <w:color w:val="000000"/>
                <w:spacing w:val="0"/>
                <w:w w:val="100"/>
                <w:position w:val="0"/>
              </w:rPr>
              <w:t>。</w:t>
            </w:r>
          </w:p>
          <w:p>
            <w:pPr>
              <w:pStyle w:val="Style29"/>
              <w:keepNext w:val="0"/>
              <w:keepLines w:val="0"/>
              <w:widowControl w:val="0"/>
              <w:shd w:val="clear" w:color="auto" w:fill="auto"/>
              <w:tabs>
                <w:tab w:pos="26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日，公司披露了《</w:t>
            </w:r>
            <w:r>
              <w:rPr>
                <w:rFonts w:ascii="Times New Roman" w:eastAsia="Times New Roman" w:hAnsi="Times New Roman" w:cs="Times New Roman"/>
                <w:color w:val="000000"/>
                <w:spacing w:val="0"/>
                <w:w w:val="100"/>
                <w:position w:val="0"/>
              </w:rPr>
              <w:t>2015</w:t>
            </w:r>
            <w:r>
              <w:rPr>
                <w:color w:val="000000"/>
                <w:spacing w:val="0"/>
                <w:w w:val="100"/>
                <w:position w:val="0"/>
              </w:rPr>
              <w:t>年半年度资本公积金转增股本实施公告》。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p>
        </w:tc>
      </w:tr>
    </w:tbl>
    <w:p>
      <w:pPr>
        <w:spacing w:lineRule="exact" w:line="1"/>
        <w:rPr>
          <w:sz w:val="2"/>
          <w:szCs w:val="2"/>
        </w:rPr>
      </w:pPr>
      <w:r>
        <w:br w:type="page"/>
      </w:r>
    </w:p>
    <w:tbl>
      <w:tblPr>
        <w:tblOverlap w:val="never"/>
        <w:jc w:val="center"/>
        <w:tblLayout w:type="fixed"/>
      </w:tblPr>
      <w:tblGrid>
        <w:gridCol w:w="1565"/>
        <w:gridCol w:w="8016"/>
      </w:tblGrid>
      <w:tr>
        <w:trPr>
          <w:trHeight w:val="29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半年度资本公积金转增股本方案实施完毕，公司总股本由</w:t>
            </w:r>
            <w:r>
              <w:rPr>
                <w:rFonts w:ascii="Times New Roman" w:eastAsia="Times New Roman" w:hAnsi="Times New Roman" w:cs="Times New Roman"/>
                <w:color w:val="000000"/>
                <w:spacing w:val="0"/>
                <w:w w:val="100"/>
                <w:position w:val="0"/>
              </w:rPr>
              <w:t>458,905,958</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917,811,916</w:t>
            </w:r>
            <w:r>
              <w:rPr>
                <w:color w:val="000000"/>
                <w:spacing w:val="0"/>
                <w:w w:val="100"/>
                <w:position w:val="0"/>
              </w:rPr>
              <w:t>股。公司第一大股东仍为神码软件，持股比例仍为</w:t>
            </w:r>
            <w:r>
              <w:rPr>
                <w:rFonts w:ascii="Times New Roman" w:eastAsia="Times New Roman" w:hAnsi="Times New Roman" w:cs="Times New Roman"/>
                <w:color w:val="000000"/>
                <w:spacing w:val="0"/>
                <w:w w:val="100"/>
                <w:position w:val="0"/>
              </w:rPr>
              <w:t>42.44%</w:t>
            </w:r>
            <w:r>
              <w:rPr>
                <w:color w:val="000000"/>
                <w:spacing w:val="0"/>
                <w:w w:val="100"/>
                <w:position w:val="0"/>
              </w:rPr>
              <w:t>。</w:t>
            </w:r>
          </w:p>
          <w:p>
            <w:pPr>
              <w:pStyle w:val="Style29"/>
              <w:keepNext w:val="0"/>
              <w:keepLines w:val="0"/>
              <w:widowControl w:val="0"/>
              <w:shd w:val="clear" w:color="auto" w:fill="auto"/>
              <w:tabs>
                <w:tab w:pos="26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日，公司关于向程艳云等发行股份购买资产并募集配套资金的资产重组事项中的 新增股份</w:t>
            </w:r>
            <w:r>
              <w:rPr>
                <w:rFonts w:ascii="Times New Roman" w:eastAsia="Times New Roman" w:hAnsi="Times New Roman" w:cs="Times New Roman"/>
                <w:color w:val="000000"/>
                <w:spacing w:val="0"/>
                <w:w w:val="100"/>
                <w:position w:val="0"/>
              </w:rPr>
              <w:t>45,619,357</w:t>
            </w:r>
            <w:r>
              <w:rPr>
                <w:color w:val="000000"/>
                <w:spacing w:val="0"/>
                <w:w w:val="100"/>
                <w:position w:val="0"/>
              </w:rPr>
              <w:t>股上市流通，公司总股本由</w:t>
            </w:r>
            <w:r>
              <w:rPr>
                <w:rFonts w:ascii="Times New Roman" w:eastAsia="Times New Roman" w:hAnsi="Times New Roman" w:cs="Times New Roman"/>
                <w:color w:val="000000"/>
                <w:spacing w:val="0"/>
                <w:w w:val="100"/>
                <w:position w:val="0"/>
              </w:rPr>
              <w:t>917,811,916</w:t>
            </w:r>
            <w:r>
              <w:rPr>
                <w:color w:val="000000"/>
                <w:spacing w:val="0"/>
                <w:w w:val="100"/>
                <w:position w:val="0"/>
              </w:rPr>
              <w:t>股变更为</w:t>
            </w:r>
            <w:r>
              <w:rPr>
                <w:rFonts w:ascii="Times New Roman" w:eastAsia="Times New Roman" w:hAnsi="Times New Roman" w:cs="Times New Roman"/>
                <w:color w:val="000000"/>
                <w:spacing w:val="0"/>
                <w:w w:val="100"/>
                <w:position w:val="0"/>
              </w:rPr>
              <w:t>963,431,273</w:t>
            </w:r>
            <w:r>
              <w:rPr>
                <w:color w:val="000000"/>
                <w:spacing w:val="0"/>
                <w:w w:val="100"/>
                <w:position w:val="0"/>
              </w:rPr>
              <w:t>股，公司第一大股 东仍为神码软件，持股比例为</w:t>
            </w:r>
            <w:r>
              <w:rPr>
                <w:rFonts w:ascii="Times New Roman" w:eastAsia="Times New Roman" w:hAnsi="Times New Roman" w:cs="Times New Roman"/>
                <w:color w:val="000000"/>
                <w:spacing w:val="0"/>
                <w:w w:val="100"/>
                <w:position w:val="0"/>
              </w:rPr>
              <w:t>40.43%</w:t>
            </w:r>
            <w:r>
              <w:rPr>
                <w:color w:val="000000"/>
                <w:spacing w:val="0"/>
                <w:w w:val="100"/>
                <w:position w:val="0"/>
              </w:rPr>
              <w:t>。</w:t>
            </w:r>
          </w:p>
          <w:p>
            <w:pPr>
              <w:pStyle w:val="Style29"/>
              <w:keepNext w:val="0"/>
              <w:keepLines w:val="0"/>
              <w:widowControl w:val="0"/>
              <w:shd w:val="clear" w:color="auto" w:fill="auto"/>
              <w:tabs>
                <w:tab w:pos="350"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年股票期权与限制性股票激励计划》中授予的限制性股票上市， 公司总股本由</w:t>
            </w:r>
            <w:r>
              <w:rPr>
                <w:rFonts w:ascii="Times New Roman" w:eastAsia="Times New Roman" w:hAnsi="Times New Roman" w:cs="Times New Roman"/>
                <w:color w:val="000000"/>
                <w:spacing w:val="0"/>
                <w:w w:val="100"/>
                <w:position w:val="0"/>
              </w:rPr>
              <w:t>963,431,273</w:t>
            </w:r>
            <w:r>
              <w:rPr>
                <w:color w:val="000000"/>
                <w:spacing w:val="0"/>
                <w:w w:val="100"/>
                <w:position w:val="0"/>
              </w:rPr>
              <w:t>股变更为</w:t>
            </w:r>
            <w:r>
              <w:rPr>
                <w:rFonts w:ascii="Times New Roman" w:eastAsia="Times New Roman" w:hAnsi="Times New Roman" w:cs="Times New Roman"/>
                <w:color w:val="000000"/>
                <w:spacing w:val="0"/>
                <w:w w:val="100"/>
                <w:position w:val="0"/>
              </w:rPr>
              <w:t>970,381,273</w:t>
            </w:r>
            <w:r>
              <w:rPr>
                <w:color w:val="000000"/>
                <w:spacing w:val="0"/>
                <w:w w:val="100"/>
                <w:position w:val="0"/>
              </w:rPr>
              <w:t>股。公司控股股东仍为神码软件，持股比例为</w:t>
            </w:r>
            <w:r>
              <w:rPr>
                <w:rFonts w:ascii="Times New Roman" w:eastAsia="Times New Roman" w:hAnsi="Times New Roman" w:cs="Times New Roman"/>
                <w:color w:val="000000"/>
                <w:spacing w:val="0"/>
                <w:w w:val="100"/>
                <w:position w:val="0"/>
              </w:rPr>
              <w:t>40.14%</w:t>
            </w:r>
            <w:r>
              <w:rPr>
                <w:color w:val="000000"/>
                <w:spacing w:val="0"/>
                <w:w w:val="100"/>
                <w:position w:val="0"/>
              </w:rPr>
              <w:t>。</w:t>
            </w:r>
          </w:p>
          <w:p>
            <w:pPr>
              <w:pStyle w:val="Style29"/>
              <w:keepNext w:val="0"/>
              <w:keepLines w:val="0"/>
              <w:widowControl w:val="0"/>
              <w:shd w:val="clear" w:color="auto" w:fill="auto"/>
              <w:tabs>
                <w:tab w:pos="350"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w:t>
            </w:r>
            <w:r>
              <w:rPr>
                <w:rFonts w:ascii="Times New Roman" w:eastAsia="Times New Roman" w:hAnsi="Times New Roman" w:cs="Times New Roman"/>
                <w:color w:val="000000"/>
                <w:spacing w:val="0"/>
                <w:w w:val="100"/>
                <w:position w:val="0"/>
              </w:rPr>
              <w:t>2019</w:t>
            </w:r>
            <w:r>
              <w:rPr>
                <w:color w:val="000000"/>
                <w:spacing w:val="0"/>
                <w:w w:val="100"/>
                <w:position w:val="0"/>
              </w:rPr>
              <w:t>年授予的部分限制性股票回购注销、期权激励对象行权，总股 本变更为</w:t>
            </w:r>
            <w:r>
              <w:rPr>
                <w:rFonts w:ascii="Times New Roman" w:eastAsia="Times New Roman" w:hAnsi="Times New Roman" w:cs="Times New Roman"/>
                <w:color w:val="000000"/>
                <w:spacing w:val="0"/>
                <w:w w:val="100"/>
                <w:position w:val="0"/>
              </w:rPr>
              <w:t>975,768,827</w:t>
            </w:r>
            <w:r>
              <w:rPr>
                <w:color w:val="000000"/>
                <w:spacing w:val="0"/>
                <w:w w:val="100"/>
                <w:position w:val="0"/>
              </w:rPr>
              <w:t>股。公司控股股东仍为神码软件，持股比例为</w:t>
            </w:r>
            <w:r>
              <w:rPr>
                <w:rFonts w:ascii="Times New Roman" w:eastAsia="Times New Roman" w:hAnsi="Times New Roman" w:cs="Times New Roman"/>
                <w:color w:val="000000"/>
                <w:spacing w:val="0"/>
                <w:w w:val="100"/>
                <w:position w:val="0"/>
              </w:rPr>
              <w:t>39.92%</w:t>
            </w: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、其他有关资料</w:t>
      </w:r>
      <w:bookmarkEnd w:id="36"/>
      <w:bookmarkEnd w:id="37"/>
      <w:bookmarkEnd w:id="3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pStyle w:val="Style3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2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六</w:t>
      </w:r>
      <w:bookmarkEnd w:id="42"/>
      <w:r>
        <w:rPr>
          <w:color w:val="000000"/>
          <w:spacing w:val="0"/>
          <w:w w:val="100"/>
          <w:position w:val="0"/>
          <w:sz w:val="24"/>
          <w:szCs w:val="24"/>
        </w:rPr>
        <w:t>、主要会计数据和财务指标</w:t>
      </w:r>
      <w:bookmarkEnd w:id="40"/>
      <w:bookmarkEnd w:id="41"/>
      <w:bookmarkEnd w:id="43"/>
    </w:p>
    <w:p>
      <w:pPr>
        <w:pStyle w:val="Style37"/>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837"/>
        <w:gridCol w:w="1685"/>
        <w:gridCol w:w="1685"/>
        <w:gridCol w:w="1680"/>
        <w:gridCol w:w="1694"/>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10,685,976,832.00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10,146,008,170.91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9,077,344,908.68</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475,673,930.78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375,607,752.77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42,096,244.42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215,452,022.37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326,089,004.98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-130,582,454.86</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321,856,742.57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289,967,552.20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237,248,165.21</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0.4933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0.3899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0.0437</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0.4906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0.3890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0.0437</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4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12,051,862,835.52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10,755,502,029.77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10,696,306,209.17</w:t>
            </w:r>
          </w:p>
        </w:tc>
      </w:tr>
    </w:tbl>
    <w:tbl>
      <w:tblPr>
        <w:tblOverlap w:val="never"/>
        <w:jc w:val="center"/>
        <w:tblLayout w:type="fixed"/>
      </w:tblPr>
      <w:tblGrid>
        <w:gridCol w:w="2837"/>
        <w:gridCol w:w="1685"/>
        <w:gridCol w:w="1685"/>
        <w:gridCol w:w="1680"/>
        <w:gridCol w:w="1694"/>
      </w:tblGrid>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5,585,144,941.02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5,219,351,789.16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4,946,084,692.51</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522" w:val="left"/>
        </w:tabs>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七</w:t>
      </w:r>
      <w:bookmarkEnd w:id="46"/>
      <w:r>
        <w:rPr>
          <w:color w:val="000000"/>
          <w:spacing w:val="0"/>
          <w:w w:val="100"/>
          <w:position w:val="0"/>
          <w:sz w:val="24"/>
          <w:szCs w:val="24"/>
        </w:rPr>
        <w:t>、</w:t>
        <w:tab/>
        <w:t>境内外会计准则下会计数据差异</w:t>
      </w:r>
      <w:bookmarkEnd w:id="44"/>
      <w:bookmarkEnd w:id="45"/>
      <w:bookmarkEnd w:id="47"/>
    </w:p>
    <w:p>
      <w:pPr>
        <w:pStyle w:val="Style41"/>
        <w:keepNext/>
        <w:keepLines/>
        <w:widowControl w:val="0"/>
        <w:shd w:val="clear" w:color="auto" w:fill="auto"/>
        <w:tabs>
          <w:tab w:pos="403" w:val="left"/>
        </w:tabs>
        <w:bidi w:val="0"/>
        <w:spacing w:before="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1"/>
        <w:keepNext/>
        <w:keepLines/>
        <w:widowControl w:val="0"/>
        <w:shd w:val="clear" w:color="auto" w:fill="auto"/>
        <w:tabs>
          <w:tab w:pos="403" w:val="left"/>
        </w:tabs>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5"/>
        <w:keepNext/>
        <w:keepLines/>
        <w:widowControl w:val="0"/>
        <w:shd w:val="clear" w:color="auto" w:fill="auto"/>
        <w:tabs>
          <w:tab w:pos="522" w:val="left"/>
        </w:tabs>
        <w:bidi w:val="0"/>
        <w:spacing w:before="0" w:after="36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八</w:t>
      </w:r>
      <w:bookmarkEnd w:id="58"/>
      <w:r>
        <w:rPr>
          <w:color w:val="000000"/>
          <w:spacing w:val="0"/>
          <w:w w:val="100"/>
          <w:position w:val="0"/>
          <w:sz w:val="24"/>
          <w:szCs w:val="24"/>
        </w:rPr>
        <w:t>、</w:t>
        <w:tab/>
        <w:t>分季度主要财务指标</w:t>
      </w:r>
      <w:bookmarkEnd w:id="56"/>
      <w:bookmarkEnd w:id="57"/>
      <w:bookmarkEnd w:id="59"/>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2,123,304,206.17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2,251,072,873.03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2,385,948,742.50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3,925,651,010.30</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29,464,993.65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127,235,879.31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61,960,293.61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257,012,764.21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23,671,543.79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129,084,446.12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27,565,523.38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35,130,509.08</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-602,150,915.20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-98,852,383.22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158,164,496.79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864,695,544.20</w:t>
            </w:r>
          </w:p>
        </w:tc>
      </w:tr>
    </w:tbl>
    <w:p>
      <w:pPr>
        <w:pStyle w:val="Style3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九</w:t>
      </w:r>
      <w:bookmarkEnd w:id="62"/>
      <w:r>
        <w:rPr>
          <w:color w:val="000000"/>
          <w:spacing w:val="0"/>
          <w:w w:val="100"/>
          <w:position w:val="0"/>
          <w:sz w:val="24"/>
          <w:szCs w:val="24"/>
        </w:rPr>
        <w:t>、非经常性损益项目及金额</w:t>
      </w:r>
      <w:bookmarkEnd w:id="60"/>
      <w:bookmarkEnd w:id="61"/>
      <w:bookmarkEnd w:id="63"/>
    </w:p>
    <w:p>
      <w:pPr>
        <w:pStyle w:val="Style3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-757,899.02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-3,500,616.15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-7,475,903.46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35,021,787.53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38,356,416.45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51,335,578.62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-5,206,140.88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5,747,180.93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-2,255,681.55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4,094,604.97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2,680,276.05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60"/>
              <w:jc w:val="left"/>
            </w:pPr>
            <w:r>
              <w:rPr>
                <w:rFonts w:ascii="Times New Roman" w:eastAsia="Times New Roman" w:hAnsi="Times New Roman" w:cs="Times New Roman"/>
                <w:color w:val="000000"/>
                <w:spacing w:val="0"/>
                <w:w w:val="100"/>
                <w:position w:val="0"/>
              </w:rPr>
              <w:t>5,245,677.58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256,070,413.25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42,370,357.37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163,311,988.97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丧失控制权后，剩余股权按公允价值重 新计量产生的利得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460"/>
              <w:jc w:val="left"/>
            </w:pPr>
            <w:r>
              <w:rPr>
                <w:rFonts w:ascii="Times New Roman" w:eastAsia="Times New Roman" w:hAnsi="Times New Roman" w:cs="Times New Roman"/>
                <w:color w:val="000000"/>
                <w:spacing w:val="0"/>
                <w:w w:val="100"/>
                <w:position w:val="0"/>
              </w:rPr>
              <w:t>5,423,986.98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60"/>
              <w:jc w:val="left"/>
            </w:pPr>
            <w:r>
              <w:rPr>
                <w:rFonts w:ascii="Times New Roman" w:eastAsia="Times New Roman" w:hAnsi="Times New Roman" w:cs="Times New Roman"/>
                <w:color w:val="000000"/>
                <w:spacing w:val="0"/>
                <w:w w:val="100"/>
                <w:position w:val="0"/>
              </w:rPr>
              <w:t>12,537,866.46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-24,109,241.56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-2,066,234.61</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50,009,041.43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10,095,223.12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24,036,038.59</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2,199,347.03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1,930,402.18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6,135,010.10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260,221,908.41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49,518,747.79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172,678,699.28</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31" w:bottom="1551"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8"/>
        <w:keepNext/>
        <w:keepLines/>
        <w:widowControl w:val="0"/>
        <w:shd w:val="clear" w:color="auto" w:fill="auto"/>
        <w:bidi w:val="0"/>
        <w:spacing w:before="600" w:after="54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35"/>
        <w:keepNext/>
        <w:keepLines/>
        <w:widowControl w:val="0"/>
        <w:shd w:val="clear" w:color="auto" w:fill="auto"/>
        <w:bidi w:val="0"/>
        <w:spacing w:before="0" w:after="220" w:line="240" w:lineRule="auto"/>
        <w:ind w:left="0" w:right="0" w:firstLine="0"/>
        <w:jc w:val="left"/>
      </w:pPr>
      <w:bookmarkStart w:id="67" w:name="bookmark67"/>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、报告期内公司从事的主要业务</w:t>
      </w:r>
      <w:bookmarkEnd w:id="68"/>
      <w:bookmarkEnd w:id="69"/>
      <w:bookmarkEnd w:id="71"/>
      <w:bookmarkEnd w:id="67"/>
    </w:p>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numPr>
          <w:ilvl w:val="0"/>
          <w:numId w:val="1"/>
        </w:numPr>
        <w:shd w:val="clear" w:color="auto" w:fill="auto"/>
        <w:tabs>
          <w:tab w:pos="921" w:val="left"/>
        </w:tabs>
        <w:bidi w:val="0"/>
        <w:spacing w:before="0" w:after="0" w:line="350" w:lineRule="exact"/>
        <w:ind w:left="0" w:right="0" w:firstLine="440"/>
        <w:jc w:val="both"/>
      </w:pPr>
      <w:bookmarkStart w:id="72" w:name="bookmark72"/>
      <w:bookmarkEnd w:id="72"/>
      <w:r>
        <w:rPr>
          <w:b/>
          <w:bCs/>
          <w:color w:val="000000"/>
          <w:spacing w:val="0"/>
          <w:w w:val="100"/>
          <w:position w:val="0"/>
        </w:rPr>
        <w:t>金融科技行业趋势及公司业务概况</w:t>
      </w:r>
    </w:p>
    <w:p>
      <w:pPr>
        <w:pStyle w:val="Style3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《金融科技</w:t>
      </w:r>
      <w:r>
        <w:rPr>
          <w:rFonts w:ascii="Times New Roman" w:eastAsia="Times New Roman" w:hAnsi="Times New Roman" w:cs="Times New Roman"/>
          <w:color w:val="000000"/>
          <w:spacing w:val="0"/>
          <w:w w:val="100"/>
          <w:position w:val="0"/>
        </w:rPr>
        <w:t>(FinTech)</w:t>
      </w:r>
      <w:r>
        <w:rPr>
          <w:color w:val="000000"/>
          <w:spacing w:val="0"/>
          <w:w w:val="100"/>
          <w:position w:val="0"/>
        </w:rPr>
        <w:t>发展规划</w:t>
      </w:r>
      <w:r>
        <w:rPr>
          <w:rFonts w:ascii="Times New Roman" w:eastAsia="Times New Roman" w:hAnsi="Times New Roman" w:cs="Times New Roman"/>
          <w:color w:val="000000"/>
          <w:spacing w:val="0"/>
          <w:w w:val="100"/>
          <w:position w:val="0"/>
        </w:rPr>
        <w:t>(2019—2021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》的发布，是科技加速在金融行业落地应用的强有力驱动，银行业作为数 字化程度最高的金融子行业，对科技创新也提出了更多、更高的要求。在《规划》的指导下，</w:t>
      </w:r>
      <w:r>
        <w:rPr>
          <w:rFonts w:ascii="Times New Roman" w:eastAsia="Times New Roman" w:hAnsi="Times New Roman" w:cs="Times New Roman"/>
          <w:color w:val="000000"/>
          <w:spacing w:val="0"/>
          <w:w w:val="100"/>
          <w:position w:val="0"/>
        </w:rPr>
        <w:t>2020</w:t>
      </w:r>
      <w:r>
        <w:rPr>
          <w:color w:val="000000"/>
          <w:spacing w:val="0"/>
          <w:w w:val="100"/>
          <w:position w:val="0"/>
        </w:rPr>
        <w:t>年，金融科技又迎来了新 的发展阶段，云计算、大数据、人工智能、</w:t>
      </w:r>
      <w:r>
        <w:rPr>
          <w:rFonts w:ascii="Times New Roman" w:eastAsia="Times New Roman" w:hAnsi="Times New Roman" w:cs="Times New Roman"/>
          <w:color w:val="000000"/>
          <w:spacing w:val="0"/>
          <w:w w:val="100"/>
          <w:position w:val="0"/>
        </w:rPr>
        <w:t>5G</w:t>
      </w:r>
      <w:r>
        <w:rPr>
          <w:color w:val="000000"/>
          <w:spacing w:val="0"/>
          <w:w w:val="100"/>
          <w:position w:val="0"/>
        </w:rPr>
        <w:t>等创新技术已深入金融科技的各个领域，助推新应用，带来新价值。整个行 业向着“金融科技应用先进可控、金融服务能力稳步增强、金融风控水平明显提高、金融监管效能持续提升、金融科技支撑 不断完善、金融科技产业繁荣发展”的目标持续迈进。十四五规划建议中也提出，需要强化国家战略科技力量，增强产业链、 供应链自主可控能力。在创新技术为金融科技赋能的同时，国际局势变化和国内监管要求也为金融科技的发展带来了全新战 略机遇。</w:t>
      </w:r>
    </w:p>
    <w:p>
      <w:pPr>
        <w:pStyle w:val="Style3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在新兴科技创新应用日益深化的趋势下，分布式、云计算、大数据、人工智能、区块链等技术在银行业的实践案例日 益丰富，尤其是分布式架构转型的浪潮，引领了银行业新一轮</w:t>
      </w:r>
      <w:r>
        <w:rPr>
          <w:rFonts w:ascii="Times New Roman" w:eastAsia="Times New Roman" w:hAnsi="Times New Roman" w:cs="Times New Roman"/>
          <w:color w:val="000000"/>
          <w:spacing w:val="0"/>
          <w:w w:val="100"/>
          <w:position w:val="0"/>
        </w:rPr>
        <w:t>IT</w:t>
      </w:r>
      <w:r>
        <w:rPr>
          <w:color w:val="000000"/>
          <w:spacing w:val="0"/>
          <w:w w:val="100"/>
          <w:position w:val="0"/>
        </w:rPr>
        <w:t>建设的景气周期。随着云原生趋势下分布式架构的不断部署， 为未来银行的云基础设施建设奠定了基础。一方面传统的集中式核心业务系统面临着成本和性能的双重压力，银行机构需要 评估自身业务需求、有选择性地进行核心系统的改造替换；另一方面，核心系统对接了多类外围系统，如渠道系统、支付系 统、信贷系统、管理系统等，核心系统的升级将会促使银行产生大量外围系统改造需求。以分布式革新作为支点，银行业新 一轮</w:t>
      </w:r>
      <w:r>
        <w:rPr>
          <w:rFonts w:ascii="Times New Roman" w:eastAsia="Times New Roman" w:hAnsi="Times New Roman" w:cs="Times New Roman"/>
          <w:color w:val="000000"/>
          <w:spacing w:val="0"/>
          <w:w w:val="100"/>
          <w:position w:val="0"/>
        </w:rPr>
        <w:t>IT</w:t>
      </w:r>
      <w:r>
        <w:rPr>
          <w:color w:val="000000"/>
          <w:spacing w:val="0"/>
          <w:w w:val="100"/>
          <w:position w:val="0"/>
        </w:rPr>
        <w:t>建设大周期已经启动，通过技术架构改造及软硬件重塑，银行</w:t>
      </w:r>
      <w:r>
        <w:rPr>
          <w:rFonts w:ascii="Times New Roman" w:eastAsia="Times New Roman" w:hAnsi="Times New Roman" w:cs="Times New Roman"/>
          <w:color w:val="000000"/>
          <w:spacing w:val="0"/>
          <w:w w:val="100"/>
          <w:position w:val="0"/>
        </w:rPr>
        <w:t>IT</w:t>
      </w:r>
      <w:r>
        <w:rPr>
          <w:color w:val="000000"/>
          <w:spacing w:val="0"/>
          <w:w w:val="100"/>
          <w:position w:val="0"/>
        </w:rPr>
        <w:t>投资也将呈现持续高增长的局面。根据</w:t>
      </w:r>
      <w:r>
        <w:rPr>
          <w:rFonts w:ascii="Times New Roman" w:eastAsia="Times New Roman" w:hAnsi="Times New Roman" w:cs="Times New Roman"/>
          <w:color w:val="000000"/>
          <w:spacing w:val="0"/>
          <w:w w:val="100"/>
          <w:position w:val="0"/>
        </w:rPr>
        <w:t>IDC</w:t>
      </w:r>
      <w:r>
        <w:rPr>
          <w:color w:val="000000"/>
          <w:spacing w:val="0"/>
          <w:w w:val="100"/>
          <w:position w:val="0"/>
        </w:rPr>
        <w:t>预测，</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年中国银行业</w:t>
      </w:r>
      <w:r>
        <w:rPr>
          <w:rFonts w:ascii="Times New Roman" w:eastAsia="Times New Roman" w:hAnsi="Times New Roman" w:cs="Times New Roman"/>
          <w:color w:val="000000"/>
          <w:spacing w:val="0"/>
          <w:w w:val="100"/>
          <w:position w:val="0"/>
        </w:rPr>
        <w:t>IT</w:t>
      </w:r>
      <w:r>
        <w:rPr>
          <w:color w:val="000000"/>
          <w:spacing w:val="0"/>
          <w:w w:val="100"/>
          <w:position w:val="0"/>
        </w:rPr>
        <w:t>投资规模</w:t>
      </w:r>
      <w:r>
        <w:rPr>
          <w:rFonts w:ascii="Times New Roman" w:eastAsia="Times New Roman" w:hAnsi="Times New Roman" w:cs="Times New Roman"/>
          <w:color w:val="000000"/>
          <w:spacing w:val="0"/>
          <w:w w:val="100"/>
          <w:position w:val="0"/>
        </w:rPr>
        <w:t>1,327</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解决方案市场总规模约为</w:t>
      </w:r>
      <w:r>
        <w:rPr>
          <w:rFonts w:ascii="Times New Roman" w:eastAsia="Times New Roman" w:hAnsi="Times New Roman" w:cs="Times New Roman"/>
          <w:color w:val="000000"/>
          <w:spacing w:val="0"/>
          <w:w w:val="100"/>
          <w:position w:val="0"/>
        </w:rPr>
        <w:t>530</w:t>
      </w:r>
      <w:r>
        <w:rPr>
          <w:color w:val="000000"/>
          <w:spacing w:val="0"/>
          <w:w w:val="100"/>
          <w:position w:val="0"/>
        </w:rPr>
        <w:t>亿元，同比增长</w:t>
      </w:r>
      <w:r>
        <w:rPr>
          <w:rFonts w:ascii="Times New Roman" w:eastAsia="Times New Roman" w:hAnsi="Times New Roman" w:cs="Times New Roman"/>
          <w:color w:val="000000"/>
          <w:spacing w:val="0"/>
          <w:w w:val="100"/>
          <w:position w:val="0"/>
        </w:rPr>
        <w:t>24%1</w:t>
      </w:r>
      <w:r>
        <w:rPr>
          <w:color w:val="000000"/>
          <w:spacing w:val="0"/>
          <w:w w:val="100"/>
          <w:position w:val="0"/>
        </w:rPr>
        <w:t>」</w:t>
      </w:r>
      <w:r>
        <w:rPr>
          <w:rFonts w:ascii="Times New Roman" w:eastAsia="Times New Roman" w:hAnsi="Times New Roman" w:cs="Times New Roman"/>
          <w:color w:val="000000"/>
          <w:spacing w:val="0"/>
          <w:w w:val="100"/>
          <w:position w:val="0"/>
        </w:rPr>
        <w:t>2024</w:t>
      </w:r>
      <w:r>
        <w:rPr>
          <w:color w:val="000000"/>
          <w:spacing w:val="0"/>
          <w:w w:val="100"/>
          <w:position w:val="0"/>
        </w:rPr>
        <w:t>年，中 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解决方案市场规模将达到</w:t>
      </w:r>
      <w:r>
        <w:rPr>
          <w:rFonts w:ascii="Times New Roman" w:eastAsia="Times New Roman" w:hAnsi="Times New Roman" w:cs="Times New Roman"/>
          <w:color w:val="000000"/>
          <w:spacing w:val="0"/>
          <w:w w:val="100"/>
          <w:position w:val="0"/>
        </w:rPr>
        <w:t>1,274</w:t>
      </w:r>
      <w:r>
        <w:rPr>
          <w:color w:val="000000"/>
          <w:spacing w:val="0"/>
          <w:w w:val="100"/>
          <w:position w:val="0"/>
        </w:rPr>
        <w:t>亿元。</w:t>
      </w:r>
    </w:p>
    <w:p>
      <w:pPr>
        <w:pStyle w:val="Style3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在此背景之下，神州信息以自主创新促进“金融安全”和“金融服务实体经济”为指引，通过持续打造先进应用，帮 助银行构建数字化转型之路，实现金融信创。金融科技创新是推动业务创新的必要条件，是催生新业务场景的前提，基于在 农业、税务等领域的业务沉淀和在金融行业的技术积累，持续探索技术与新场景的深入融合，协助金融机构解决各行业金融 供需问题，让金融科技的新模式成为金融服务实体经济的新途径。</w:t>
      </w:r>
    </w:p>
    <w:p>
      <w:pPr>
        <w:pStyle w:val="Style37"/>
        <w:keepNext w:val="0"/>
        <w:keepLines w:val="0"/>
        <w:widowControl w:val="0"/>
        <w:numPr>
          <w:ilvl w:val="0"/>
          <w:numId w:val="1"/>
        </w:numPr>
        <w:shd w:val="clear" w:color="auto" w:fill="auto"/>
        <w:tabs>
          <w:tab w:pos="921" w:val="left"/>
        </w:tabs>
        <w:bidi w:val="0"/>
        <w:spacing w:before="0" w:after="0" w:line="350" w:lineRule="exact"/>
        <w:ind w:left="0" w:right="0" w:firstLine="440"/>
        <w:jc w:val="both"/>
      </w:pPr>
      <w:bookmarkStart w:id="73" w:name="bookmark73"/>
      <w:bookmarkEnd w:id="73"/>
      <w:r>
        <w:rPr>
          <w:b/>
          <w:bCs/>
          <w:color w:val="000000"/>
          <w:spacing w:val="0"/>
          <w:w w:val="100"/>
          <w:position w:val="0"/>
        </w:rPr>
        <w:t>金融科技主要业务</w:t>
      </w:r>
    </w:p>
    <w:p>
      <w:pPr>
        <w:pStyle w:val="Style3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作为国内规模最大的金融科技公司之一，通过持续的技术创新与产品迭代，推动金融行业数字化转型。同时，以农业、 税务行业为切入，打造全新的产品线和业务体系，帮助金融机构推动金融服务融合行业场景，解决农业、中小微企业的金融 供需难题，更好的推动各行业快速发展。具体业务如下：</w:t>
      </w:r>
    </w:p>
    <w:p>
      <w:pPr>
        <w:pStyle w:val="Style37"/>
        <w:keepNext w:val="0"/>
        <w:keepLines w:val="0"/>
        <w:widowControl w:val="0"/>
        <w:shd w:val="clear" w:color="auto" w:fill="auto"/>
        <w:tabs>
          <w:tab w:pos="719" w:val="left"/>
        </w:tabs>
        <w:bidi w:val="0"/>
        <w:spacing w:before="0" w:after="0" w:line="350" w:lineRule="exact"/>
        <w:ind w:left="0" w:right="0" w:firstLine="440"/>
        <w:jc w:val="both"/>
      </w:pPr>
      <w:bookmarkStart w:id="74" w:name="bookmark74"/>
      <w:r>
        <w:rPr>
          <w:rFonts w:ascii="Times New Roman" w:eastAsia="Times New Roman" w:hAnsi="Times New Roman" w:cs="Times New Roman"/>
          <w:b/>
          <w:bCs/>
          <w:color w:val="000000"/>
          <w:spacing w:val="0"/>
          <w:w w:val="100"/>
          <w:position w:val="0"/>
        </w:rPr>
        <w:t>1</w:t>
      </w:r>
      <w:bookmarkEnd w:id="74"/>
      <w:r>
        <w:rPr>
          <w:b/>
          <w:bCs/>
          <w:color w:val="000000"/>
          <w:spacing w:val="0"/>
          <w:w w:val="100"/>
          <w:position w:val="0"/>
        </w:rPr>
        <w:t>、</w:t>
        <w:tab/>
        <w:t>数字技术驱动的金融科技产品与解决方案</w:t>
      </w:r>
    </w:p>
    <w:p>
      <w:pPr>
        <w:pStyle w:val="Style3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公司是业内少数拥有银行</w:t>
      </w:r>
      <w:r>
        <w:rPr>
          <w:rFonts w:ascii="Times New Roman" w:eastAsia="Times New Roman" w:hAnsi="Times New Roman" w:cs="Times New Roman"/>
          <w:color w:val="000000"/>
          <w:spacing w:val="0"/>
          <w:w w:val="100"/>
          <w:position w:val="0"/>
        </w:rPr>
        <w:t>IT</w:t>
      </w:r>
      <w:r>
        <w:rPr>
          <w:color w:val="000000"/>
          <w:spacing w:val="0"/>
          <w:w w:val="100"/>
          <w:position w:val="0"/>
        </w:rPr>
        <w:t>全产品线解决方案的供应商，打造了包括核心业务类解决方案、渠道管理类解决方案、数 据类解决方案在内的百余条产品线与解决方案，全方位满足银行科技需求。公司以新技术应用持续创新、迭代升级产品，其 中分布式应用平台及分布式银行核心业务系统、企业级微服务平台、智能反欺诈、智能反洗钱、数据治理及管控平台、数据 建模平台、智能头寸管理平台、金融视频营业厅、区块链技术平台等解决方案在业内保持领先。在客户层面，公司在注重国 内银行客户的同时，也持续拓展柬埔寨瑞丽银行、深交所、国电投财务公司为代表的海外市场和泛金融领域。</w:t>
      </w:r>
    </w:p>
    <w:p>
      <w:pPr>
        <w:pStyle w:val="Style37"/>
        <w:keepNext w:val="0"/>
        <w:keepLines w:val="0"/>
        <w:widowControl w:val="0"/>
        <w:shd w:val="clear" w:color="auto" w:fill="auto"/>
        <w:tabs>
          <w:tab w:pos="734" w:val="left"/>
        </w:tabs>
        <w:bidi w:val="0"/>
        <w:spacing w:before="0" w:after="0" w:line="350" w:lineRule="exact"/>
        <w:ind w:left="0" w:right="0" w:firstLine="440"/>
        <w:jc w:val="both"/>
      </w:pPr>
      <w:bookmarkStart w:id="75" w:name="bookmark75"/>
      <w:r>
        <w:rPr>
          <w:rFonts w:ascii="Times New Roman" w:eastAsia="Times New Roman" w:hAnsi="Times New Roman" w:cs="Times New Roman"/>
          <w:b/>
          <w:bCs/>
          <w:color w:val="000000"/>
          <w:spacing w:val="0"/>
          <w:w w:val="100"/>
          <w:position w:val="0"/>
        </w:rPr>
        <w:t>2</w:t>
      </w:r>
      <w:bookmarkEnd w:id="75"/>
      <w:r>
        <w:rPr>
          <w:b/>
          <w:bCs/>
          <w:color w:val="000000"/>
          <w:spacing w:val="0"/>
          <w:w w:val="100"/>
          <w:position w:val="0"/>
        </w:rPr>
        <w:t>、</w:t>
        <w:tab/>
        <w:t>金融行业信息技术应用创新</w:t>
      </w:r>
    </w:p>
    <w:p>
      <w:pPr>
        <w:pStyle w:val="Style37"/>
        <w:keepNext w:val="0"/>
        <w:keepLines w:val="0"/>
        <w:widowControl w:val="0"/>
        <w:shd w:val="clear" w:color="auto" w:fill="auto"/>
        <w:bidi w:val="0"/>
        <w:spacing w:before="0" w:after="140" w:line="350" w:lineRule="exact"/>
        <w:ind w:left="0" w:right="0" w:firstLine="440"/>
        <w:jc w:val="both"/>
      </w:pPr>
      <w:r>
        <w:rPr>
          <w:color w:val="000000"/>
          <w:spacing w:val="0"/>
          <w:w w:val="100"/>
          <w:position w:val="0"/>
        </w:rPr>
        <w:t xml:space="preserve">公司同时拥有国家尖端项目复杂信息基础设施建设及金融解决方案自主研发实力，能够一站式、多维度满足客户在金 融信创领域的需求。目前已形成以分布式金融信创架构规划、信创全适配服务、银行系统信创解决方案、信创云及分布式基 </w:t>
      </w:r>
      <w:r>
        <w:rPr>
          <w:color w:val="000000"/>
          <w:spacing w:val="0"/>
          <w:w w:val="100"/>
          <w:position w:val="0"/>
        </w:rPr>
        <w:t>础设施，信创集成和运维服务、信创生态整合在内的六大能力。公司持续与华为、龙芯、麒麟软件等基础软硬件厂商深入合 作，完成了对生态中各环节众多技术和产品的适配测试，形成了一系列能够解决客户具体应用需求的完整解决方案，支撑银 行等金融机构全面开展信创项目建设。。</w:t>
      </w:r>
    </w:p>
    <w:p>
      <w:pPr>
        <w:pStyle w:val="Style37"/>
        <w:keepNext w:val="0"/>
        <w:keepLines w:val="0"/>
        <w:widowControl w:val="0"/>
        <w:shd w:val="clear" w:color="auto" w:fill="auto"/>
        <w:bidi w:val="0"/>
        <w:spacing w:before="0" w:after="0" w:line="408" w:lineRule="auto"/>
        <w:ind w:left="0" w:right="0" w:firstLine="440"/>
        <w:jc w:val="both"/>
      </w:pPr>
      <w:bookmarkStart w:id="76" w:name="bookmark76"/>
      <w:r>
        <w:rPr>
          <w:rFonts w:ascii="Times New Roman" w:eastAsia="Times New Roman" w:hAnsi="Times New Roman" w:cs="Times New Roman"/>
          <w:b/>
          <w:bCs/>
          <w:color w:val="000000"/>
          <w:spacing w:val="0"/>
          <w:w w:val="100"/>
          <w:position w:val="0"/>
        </w:rPr>
        <w:t>3</w:t>
      </w:r>
      <w:bookmarkEnd w:id="76"/>
      <w:r>
        <w:rPr>
          <w:b/>
          <w:bCs/>
          <w:color w:val="000000"/>
          <w:spacing w:val="0"/>
          <w:w w:val="100"/>
          <w:position w:val="0"/>
        </w:rPr>
        <w:t>、行业融合的场景金融</w:t>
      </w:r>
    </w:p>
    <w:p>
      <w:pPr>
        <w:pStyle w:val="Style3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公司通过金融科技与行业数字化业务的融合，探索中小微企业和三农领域金融服务的创新模式。在税务领域，搭建“税 银互动平台”，为银行提供银税数据解析、数据建模等服务；在农业领域，打造“银农直连”、“生物资产抵押”、“单品大数 据助贷”等创新业务形态，助力乡村振兴战略，促进普惠金融发展。</w:t>
      </w:r>
    </w:p>
    <w:p>
      <w:pPr>
        <w:pStyle w:val="Style37"/>
        <w:keepNext w:val="0"/>
        <w:keepLines w:val="0"/>
        <w:widowControl w:val="0"/>
        <w:numPr>
          <w:ilvl w:val="0"/>
          <w:numId w:val="1"/>
        </w:numPr>
        <w:shd w:val="clear" w:color="auto" w:fill="auto"/>
        <w:bidi w:val="0"/>
        <w:spacing w:before="0" w:after="0" w:line="351" w:lineRule="exact"/>
        <w:ind w:left="0" w:right="0" w:firstLine="440"/>
        <w:jc w:val="both"/>
      </w:pPr>
      <w:bookmarkStart w:id="77" w:name="bookmark77"/>
      <w:bookmarkEnd w:id="77"/>
      <w:r>
        <w:rPr>
          <w:b/>
          <w:bCs/>
          <w:color w:val="000000"/>
          <w:spacing w:val="0"/>
          <w:w w:val="100"/>
          <w:position w:val="0"/>
        </w:rPr>
        <w:t>行业地位与市场影响力</w:t>
      </w:r>
    </w:p>
    <w:p>
      <w:pPr>
        <w:pStyle w:val="Style37"/>
        <w:keepNext w:val="0"/>
        <w:keepLines w:val="0"/>
        <w:widowControl w:val="0"/>
        <w:shd w:val="clear" w:color="auto" w:fill="auto"/>
        <w:bidi w:val="0"/>
        <w:spacing w:before="0" w:after="440" w:line="351" w:lineRule="exact"/>
        <w:ind w:left="0" w:right="0" w:firstLine="440"/>
        <w:jc w:val="both"/>
      </w:pPr>
      <w:r>
        <w:rPr>
          <w:color w:val="000000"/>
          <w:spacing w:val="0"/>
          <w:w w:val="100"/>
          <w:position w:val="0"/>
        </w:rPr>
        <w:t>公司的行业地位与市场影响力得到了包括权威金融机构、学术界和咨询公司在内的广泛认可。</w:t>
      </w:r>
      <w:r>
        <w:rPr>
          <w:rFonts w:ascii="Times New Roman" w:eastAsia="Times New Roman" w:hAnsi="Times New Roman" w:cs="Times New Roman"/>
          <w:color w:val="000000"/>
          <w:spacing w:val="0"/>
          <w:w w:val="100"/>
          <w:position w:val="0"/>
        </w:rPr>
        <w:t>2020</w:t>
      </w:r>
      <w:r>
        <w:rPr>
          <w:color w:val="000000"/>
          <w:spacing w:val="0"/>
          <w:w w:val="100"/>
          <w:position w:val="0"/>
        </w:rPr>
        <w:t>年，公司荣登</w:t>
      </w:r>
      <w:r>
        <w:rPr>
          <w:color w:val="000000"/>
          <w:spacing w:val="0"/>
          <w:w w:val="100"/>
          <w:position w:val="0"/>
        </w:rPr>
        <w:t>“</w:t>
      </w:r>
      <w:r>
        <w:rPr>
          <w:rFonts w:ascii="Times New Roman" w:eastAsia="Times New Roman" w:hAnsi="Times New Roman" w:cs="Times New Roman"/>
          <w:color w:val="000000"/>
          <w:spacing w:val="0"/>
          <w:w w:val="100"/>
          <w:position w:val="0"/>
        </w:rPr>
        <w:t>IDC FINTECH RANKINGS</w:t>
      </w:r>
      <w:r>
        <w:rPr>
          <w:color w:val="000000"/>
          <w:spacing w:val="0"/>
          <w:w w:val="100"/>
          <w:position w:val="0"/>
        </w:rPr>
        <w:t>”全球金融科技百强榜排名第</w:t>
      </w:r>
      <w:r>
        <w:rPr>
          <w:rFonts w:ascii="Times New Roman" w:eastAsia="Times New Roman" w:hAnsi="Times New Roman" w:cs="Times New Roman"/>
          <w:color w:val="000000"/>
          <w:spacing w:val="0"/>
          <w:w w:val="100"/>
          <w:position w:val="0"/>
        </w:rPr>
        <w:t>39</w:t>
      </w:r>
      <w:r>
        <w:rPr>
          <w:color w:val="000000"/>
          <w:spacing w:val="0"/>
          <w:w w:val="100"/>
          <w:position w:val="0"/>
        </w:rPr>
        <w:t>名、</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IDC</w:t>
      </w:r>
      <w:r>
        <w:rPr>
          <w:color w:val="000000"/>
          <w:spacing w:val="0"/>
          <w:w w:val="100"/>
          <w:position w:val="0"/>
        </w:rPr>
        <w:t>中国</w:t>
      </w:r>
      <w:r>
        <w:rPr>
          <w:rFonts w:ascii="Times New Roman" w:eastAsia="Times New Roman" w:hAnsi="Times New Roman" w:cs="Times New Roman"/>
          <w:color w:val="000000"/>
          <w:spacing w:val="0"/>
          <w:w w:val="100"/>
          <w:position w:val="0"/>
        </w:rPr>
        <w:t xml:space="preserve">FinTech </w:t>
      </w:r>
      <w:r>
        <w:rPr>
          <w:rFonts w:ascii="Times New Roman" w:eastAsia="Times New Roman" w:hAnsi="Times New Roman" w:cs="Times New Roman"/>
          <w:color w:val="000000"/>
          <w:spacing w:val="0"/>
          <w:w w:val="100"/>
          <w:position w:val="0"/>
        </w:rPr>
        <w:t>50</w:t>
      </w:r>
      <w:r>
        <w:rPr>
          <w:color w:val="000000"/>
          <w:spacing w:val="0"/>
          <w:w w:val="100"/>
          <w:position w:val="0"/>
        </w:rPr>
        <w:t>榜单、毕马威中国</w:t>
      </w:r>
      <w:r>
        <w:rPr>
          <w:rFonts w:ascii="Times New Roman" w:eastAsia="Times New Roman" w:hAnsi="Times New Roman" w:cs="Times New Roman"/>
          <w:color w:val="000000"/>
          <w:spacing w:val="0"/>
          <w:w w:val="100"/>
          <w:position w:val="0"/>
        </w:rPr>
        <w:t>2020</w:t>
      </w:r>
      <w:r>
        <w:rPr>
          <w:color w:val="000000"/>
          <w:spacing w:val="0"/>
          <w:w w:val="100"/>
          <w:position w:val="0"/>
        </w:rPr>
        <w:t>领先金融科技</w:t>
      </w:r>
      <w:r>
        <w:rPr>
          <w:rFonts w:ascii="Times New Roman" w:eastAsia="Times New Roman" w:hAnsi="Times New Roman" w:cs="Times New Roman"/>
          <w:color w:val="000000"/>
          <w:spacing w:val="0"/>
          <w:w w:val="100"/>
          <w:position w:val="0"/>
        </w:rPr>
        <w:t xml:space="preserve">50 </w:t>
      </w:r>
      <w:r>
        <w:rPr>
          <w:color w:val="000000"/>
          <w:spacing w:val="0"/>
          <w:w w:val="100"/>
          <w:position w:val="0"/>
        </w:rPr>
        <w:t>企业；荣登中关村互联网金融研究院、中国互联网金融三十人论坛</w:t>
      </w:r>
      <w:r>
        <w:rPr>
          <w:rFonts w:ascii="Times New Roman" w:eastAsia="Times New Roman" w:hAnsi="Times New Roman" w:cs="Times New Roman"/>
          <w:color w:val="000000"/>
          <w:spacing w:val="0"/>
          <w:w w:val="100"/>
          <w:position w:val="0"/>
        </w:rPr>
        <w:t>(CIF30)</w:t>
      </w:r>
      <w:r>
        <w:rPr>
          <w:color w:val="000000"/>
          <w:spacing w:val="0"/>
          <w:w w:val="100"/>
          <w:position w:val="0"/>
        </w:rPr>
        <w:t>权威发布的</w:t>
      </w:r>
      <w:r>
        <w:rPr>
          <w:rFonts w:ascii="Times New Roman" w:eastAsia="Times New Roman" w:hAnsi="Times New Roman" w:cs="Times New Roman"/>
          <w:color w:val="000000"/>
          <w:spacing w:val="0"/>
          <w:w w:val="100"/>
          <w:position w:val="0"/>
        </w:rPr>
        <w:t>“2020</w:t>
      </w:r>
      <w:r>
        <w:rPr>
          <w:color w:val="000000"/>
          <w:spacing w:val="0"/>
          <w:w w:val="100"/>
          <w:position w:val="0"/>
        </w:rPr>
        <w:t>中国金融科技竞争力百强”、“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中国金融科技专利技术百强”两项榜单；凭借知识图谱、算法平台在金融行业的创新应用，公司获评</w:t>
      </w:r>
      <w:r>
        <w:rPr>
          <w:rFonts w:ascii="Times New Roman" w:eastAsia="Times New Roman" w:hAnsi="Times New Roman" w:cs="Times New Roman"/>
          <w:color w:val="000000"/>
          <w:spacing w:val="0"/>
          <w:w w:val="100"/>
          <w:position w:val="0"/>
        </w:rPr>
        <w:t>2020</w:t>
      </w:r>
      <w:r>
        <w:rPr>
          <w:color w:val="000000"/>
          <w:spacing w:val="0"/>
          <w:w w:val="100"/>
          <w:position w:val="0"/>
        </w:rPr>
        <w:t>亚太数字银行创新 峰会“最佳人工智能应用奖”、上榜</w:t>
      </w:r>
      <w:r>
        <w:rPr>
          <w:rFonts w:ascii="Times New Roman" w:eastAsia="Times New Roman" w:hAnsi="Times New Roman" w:cs="Times New Roman"/>
          <w:color w:val="000000"/>
          <w:spacing w:val="0"/>
          <w:w w:val="100"/>
          <w:position w:val="0"/>
        </w:rPr>
        <w:t>2020</w:t>
      </w:r>
      <w:r>
        <w:rPr>
          <w:color w:val="000000"/>
          <w:spacing w:val="0"/>
          <w:w w:val="100"/>
          <w:position w:val="0"/>
        </w:rPr>
        <w:t>年中国区块链应用</w:t>
      </w:r>
      <w:r>
        <w:rPr>
          <w:rFonts w:ascii="Times New Roman" w:eastAsia="Times New Roman" w:hAnsi="Times New Roman" w:cs="Times New Roman"/>
          <w:color w:val="000000"/>
          <w:spacing w:val="0"/>
          <w:w w:val="100"/>
          <w:position w:val="0"/>
        </w:rPr>
        <w:t>TOP30</w:t>
      </w:r>
      <w:r>
        <w:rPr>
          <w:color w:val="000000"/>
          <w:spacing w:val="0"/>
          <w:w w:val="100"/>
          <w:position w:val="0"/>
        </w:rPr>
        <w:t>。根据</w:t>
      </w:r>
      <w:r>
        <w:rPr>
          <w:rFonts w:ascii="Times New Roman" w:eastAsia="Times New Roman" w:hAnsi="Times New Roman" w:cs="Times New Roman"/>
          <w:color w:val="000000"/>
          <w:spacing w:val="0"/>
          <w:w w:val="100"/>
          <w:position w:val="0"/>
        </w:rPr>
        <w:t>IDC</w:t>
      </w:r>
      <w:r>
        <w:rPr>
          <w:color w:val="000000"/>
          <w:spacing w:val="0"/>
          <w:w w:val="100"/>
          <w:position w:val="0"/>
        </w:rPr>
        <w:t>报告，公司在银行核心业务、渠道管理解决方 案市场已连续</w:t>
      </w:r>
      <w:r>
        <w:rPr>
          <w:rFonts w:ascii="Times New Roman" w:eastAsia="Times New Roman" w:hAnsi="Times New Roman" w:cs="Times New Roman"/>
          <w:color w:val="000000"/>
          <w:spacing w:val="0"/>
          <w:w w:val="100"/>
          <w:position w:val="0"/>
        </w:rPr>
        <w:t>8</w:t>
      </w:r>
      <w:r>
        <w:rPr>
          <w:color w:val="000000"/>
          <w:spacing w:val="0"/>
          <w:w w:val="100"/>
          <w:position w:val="0"/>
        </w:rPr>
        <w:t>年排名第一。</w:t>
      </w:r>
    </w:p>
    <w:p>
      <w:pPr>
        <w:pStyle w:val="Style35"/>
        <w:keepNext/>
        <w:keepLines/>
        <w:widowControl w:val="0"/>
        <w:shd w:val="clear" w:color="auto" w:fill="auto"/>
        <w:bidi w:val="0"/>
        <w:spacing w:before="0" w:after="3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、主要资产重大变化情况</w:t>
      </w:r>
      <w:bookmarkEnd w:id="78"/>
      <w:bookmarkEnd w:id="79"/>
      <w:bookmarkEnd w:id="81"/>
    </w:p>
    <w:p>
      <w:pPr>
        <w:pStyle w:val="Style41"/>
        <w:keepNext/>
        <w:keepLines/>
        <w:widowControl w:val="0"/>
        <w:shd w:val="clear" w:color="auto" w:fill="auto"/>
        <w:bidi w:val="0"/>
        <w:spacing w:before="0" w:after="30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、主要资产重大变化情况</w:t>
      </w:r>
      <w:bookmarkEnd w:id="82"/>
      <w:bookmarkEnd w:id="83"/>
      <w:bookmarkEnd w:id="85"/>
    </w:p>
    <w:tbl>
      <w:tblPr>
        <w:tblOverlap w:val="never"/>
        <w:jc w:val="center"/>
        <w:tblLayout w:type="fixed"/>
      </w:tblPr>
      <w:tblGrid>
        <w:gridCol w:w="2270"/>
        <w:gridCol w:w="7310"/>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3100" w:right="0" w:firstLine="0"/>
              <w:jc w:val="left"/>
            </w:pPr>
            <w:r>
              <w:rPr>
                <w:color w:val="000000"/>
                <w:spacing w:val="0"/>
                <w:w w:val="100"/>
                <w:position w:val="0"/>
              </w:rPr>
              <w:t>重大变化说明</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长期股权投资期末余额较期初余额减少</w:t>
            </w:r>
            <w:r>
              <w:rPr>
                <w:rFonts w:ascii="Times New Roman" w:eastAsia="Times New Roman" w:hAnsi="Times New Roman" w:cs="Times New Roman"/>
                <w:color w:val="000000"/>
                <w:spacing w:val="0"/>
                <w:w w:val="100"/>
                <w:position w:val="0"/>
              </w:rPr>
              <w:t>65.84%</w:t>
            </w:r>
            <w:r>
              <w:rPr>
                <w:color w:val="000000"/>
                <w:spacing w:val="0"/>
                <w:w w:val="100"/>
                <w:position w:val="0"/>
              </w:rPr>
              <w:t>，主要系本期转让联营公司鼎捷软件股权所致；</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货币资金期末余额较期初余额增加</w:t>
            </w:r>
            <w:r>
              <w:rPr>
                <w:rFonts w:ascii="Times New Roman" w:eastAsia="Times New Roman" w:hAnsi="Times New Roman" w:cs="Times New Roman"/>
                <w:color w:val="000000"/>
                <w:spacing w:val="0"/>
                <w:w w:val="100"/>
                <w:position w:val="0"/>
              </w:rPr>
              <w:t>33.99%</w:t>
            </w:r>
            <w:r>
              <w:rPr>
                <w:color w:val="000000"/>
                <w:spacing w:val="0"/>
                <w:w w:val="100"/>
                <w:position w:val="0"/>
              </w:rPr>
              <w:t>，主要系本期收到鼎捷软件转让款所致；</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合同资产期末余额较期初余额增加</w:t>
            </w:r>
            <w:r>
              <w:rPr>
                <w:rFonts w:ascii="Times New Roman" w:eastAsia="Times New Roman" w:hAnsi="Times New Roman" w:cs="Times New Roman"/>
                <w:color w:val="000000"/>
                <w:spacing w:val="0"/>
                <w:w w:val="100"/>
                <w:position w:val="0"/>
              </w:rPr>
              <w:t>38.14%</w:t>
            </w:r>
            <w:r>
              <w:rPr>
                <w:color w:val="000000"/>
                <w:spacing w:val="0"/>
                <w:w w:val="100"/>
                <w:position w:val="0"/>
              </w:rPr>
              <w:t>，主要系本期收入增长所致；</w:t>
            </w:r>
          </w:p>
        </w:tc>
      </w:tr>
      <w:tr>
        <w:trPr>
          <w:trHeight w:val="4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其他权益工具投资期末余额较期初余额增加</w:t>
            </w:r>
            <w:r>
              <w:rPr>
                <w:rFonts w:ascii="Times New Roman" w:eastAsia="Times New Roman" w:hAnsi="Times New Roman" w:cs="Times New Roman"/>
                <w:color w:val="000000"/>
                <w:spacing w:val="0"/>
                <w:w w:val="100"/>
                <w:position w:val="0"/>
              </w:rPr>
              <w:t>36.69%</w:t>
            </w:r>
            <w:r>
              <w:rPr>
                <w:color w:val="000000"/>
                <w:spacing w:val="0"/>
                <w:w w:val="100"/>
                <w:position w:val="0"/>
              </w:rPr>
              <w:t>，主要系投资项目公允价值变动所致。</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、主要境外资产情况</w:t>
      </w:r>
      <w:bookmarkEnd w:id="86"/>
      <w:bookmarkEnd w:id="87"/>
      <w:bookmarkEnd w:id="89"/>
    </w:p>
    <w:p>
      <w:pPr>
        <w:pStyle w:val="Style3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24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三</w:t>
      </w:r>
      <w:bookmarkEnd w:id="92"/>
      <w:r>
        <w:rPr>
          <w:color w:val="000000"/>
          <w:spacing w:val="0"/>
          <w:w w:val="100"/>
          <w:position w:val="0"/>
          <w:sz w:val="24"/>
          <w:szCs w:val="24"/>
        </w:rPr>
        <w:t>、核心竞争力分析</w:t>
      </w:r>
      <w:bookmarkEnd w:id="90"/>
      <w:bookmarkEnd w:id="91"/>
      <w:bookmarkEnd w:id="93"/>
    </w:p>
    <w:p>
      <w:pPr>
        <w:pStyle w:val="Style37"/>
        <w:keepNext w:val="0"/>
        <w:keepLines w:val="0"/>
        <w:widowControl w:val="0"/>
        <w:shd w:val="clear" w:color="auto" w:fill="auto"/>
        <w:bidi w:val="0"/>
        <w:spacing w:before="0" w:after="80" w:line="312" w:lineRule="exact"/>
        <w:ind w:left="0" w:right="0" w:firstLine="440"/>
        <w:jc w:val="both"/>
      </w:pPr>
      <w:bookmarkStart w:id="94" w:name="bookmark94"/>
      <w:r>
        <w:rPr>
          <w:rFonts w:ascii="Times New Roman" w:eastAsia="Times New Roman" w:hAnsi="Times New Roman" w:cs="Times New Roman"/>
          <w:b/>
          <w:bCs/>
          <w:color w:val="000000"/>
          <w:spacing w:val="0"/>
          <w:w w:val="100"/>
          <w:position w:val="0"/>
        </w:rPr>
        <w:t>1</w:t>
      </w:r>
      <w:bookmarkEnd w:id="94"/>
      <w:r>
        <w:rPr>
          <w:b/>
          <w:bCs/>
          <w:color w:val="000000"/>
          <w:spacing w:val="0"/>
          <w:w w:val="100"/>
          <w:position w:val="0"/>
        </w:rPr>
        <w:t>、持续的研发投入保持行业领先性</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1987</w:t>
      </w:r>
      <w:r>
        <w:rPr>
          <w:color w:val="000000"/>
          <w:spacing w:val="0"/>
          <w:w w:val="100"/>
          <w:position w:val="0"/>
        </w:rPr>
        <w:t>年进入金融信息化领域，</w:t>
      </w:r>
      <w:r>
        <w:rPr>
          <w:rFonts w:ascii="Times New Roman" w:eastAsia="Times New Roman" w:hAnsi="Times New Roman" w:cs="Times New Roman"/>
          <w:color w:val="000000"/>
          <w:spacing w:val="0"/>
          <w:w w:val="100"/>
          <w:position w:val="0"/>
        </w:rPr>
        <w:t>2007</w:t>
      </w:r>
      <w:r>
        <w:rPr>
          <w:color w:val="000000"/>
          <w:spacing w:val="0"/>
          <w:w w:val="100"/>
          <w:position w:val="0"/>
        </w:rPr>
        <w:t>年率先在银行业推广</w:t>
      </w:r>
      <w:r>
        <w:rPr>
          <w:rFonts w:ascii="Times New Roman" w:eastAsia="Times New Roman" w:hAnsi="Times New Roman" w:cs="Times New Roman"/>
          <w:color w:val="000000"/>
          <w:spacing w:val="0"/>
          <w:w w:val="100"/>
          <w:position w:val="0"/>
        </w:rPr>
        <w:t>SOA</w:t>
      </w:r>
      <w:r>
        <w:rPr>
          <w:color w:val="000000"/>
          <w:spacing w:val="0"/>
          <w:w w:val="100"/>
          <w:position w:val="0"/>
        </w:rPr>
        <w:t>架构，</w:t>
      </w:r>
      <w:r>
        <w:rPr>
          <w:rFonts w:ascii="Times New Roman" w:eastAsia="Times New Roman" w:hAnsi="Times New Roman" w:cs="Times New Roman"/>
          <w:color w:val="000000"/>
          <w:spacing w:val="0"/>
          <w:w w:val="100"/>
          <w:position w:val="0"/>
        </w:rPr>
        <w:t>2016</w:t>
      </w:r>
      <w:r>
        <w:rPr>
          <w:color w:val="000000"/>
          <w:spacing w:val="0"/>
          <w:w w:val="100"/>
          <w:position w:val="0"/>
        </w:rPr>
        <w:t>年在业内首发“新一代分布式银行核 心系统”，</w:t>
      </w:r>
      <w:r>
        <w:rPr>
          <w:rFonts w:ascii="Times New Roman" w:eastAsia="Times New Roman" w:hAnsi="Times New Roman" w:cs="Times New Roman"/>
          <w:color w:val="000000"/>
          <w:spacing w:val="0"/>
          <w:w w:val="100"/>
          <w:position w:val="0"/>
        </w:rPr>
        <w:t>2018</w:t>
      </w:r>
      <w:r>
        <w:rPr>
          <w:color w:val="000000"/>
          <w:spacing w:val="0"/>
          <w:w w:val="100"/>
          <w:position w:val="0"/>
        </w:rPr>
        <w:t>年推出“区块链技术平台”，</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年发布“企业级微服务平台” </w:t>
      </w:r>
      <w:r>
        <w:rPr>
          <w:rFonts w:ascii="Times New Roman" w:eastAsia="Times New Roman" w:hAnsi="Times New Roman" w:cs="Times New Roman"/>
          <w:color w:val="000000"/>
          <w:spacing w:val="0"/>
          <w:w w:val="100"/>
          <w:position w:val="0"/>
        </w:rPr>
        <w:t>2020</w:t>
      </w:r>
      <w:r>
        <w:rPr>
          <w:color w:val="000000"/>
          <w:spacing w:val="0"/>
          <w:w w:val="100"/>
          <w:position w:val="0"/>
        </w:rPr>
        <w:t>年发布“线上线下一体化全流程信贷 系统”，神州信息始终能够敏锐洞见行业趋势，通过持续的自主研发投入，推出诸多优秀且受市场欢迎的架构级、平台级产 品。截止</w:t>
      </w:r>
      <w:r>
        <w:rPr>
          <w:rFonts w:ascii="Times New Roman" w:eastAsia="Times New Roman" w:hAnsi="Times New Roman" w:cs="Times New Roman"/>
          <w:color w:val="000000"/>
          <w:spacing w:val="0"/>
          <w:w w:val="100"/>
          <w:position w:val="0"/>
        </w:rPr>
        <w:t>2020</w:t>
      </w:r>
      <w:r>
        <w:rPr>
          <w:color w:val="000000"/>
          <w:spacing w:val="0"/>
          <w:w w:val="100"/>
          <w:position w:val="0"/>
        </w:rPr>
        <w:t>年底，公司软件著作权及专利已累计达</w:t>
      </w:r>
      <w:r>
        <w:rPr>
          <w:rFonts w:ascii="Times New Roman" w:eastAsia="Times New Roman" w:hAnsi="Times New Roman" w:cs="Times New Roman"/>
          <w:color w:val="000000"/>
          <w:spacing w:val="0"/>
          <w:w w:val="100"/>
          <w:position w:val="0"/>
        </w:rPr>
        <w:t>1,234</w:t>
      </w:r>
      <w:r>
        <w:rPr>
          <w:color w:val="000000"/>
          <w:spacing w:val="0"/>
          <w:w w:val="100"/>
          <w:position w:val="0"/>
        </w:rPr>
        <w:t xml:space="preserve">项，拥有从平台底层到应用层的全部源代码和自主知识产权。 </w:t>
      </w:r>
      <w:r>
        <w:rPr>
          <w:color w:val="000000"/>
          <w:spacing w:val="0"/>
          <w:w w:val="100"/>
          <w:position w:val="0"/>
        </w:rPr>
        <w:t>公司注重并不断加强专业技术人才的引进和培养，构建了完善的研发和产品体系。针对各类新技术及业务前瞻性研究设立金 融研究院，形成了产、学、研一体化研究与转化体系。在西安、北京、广州等地设立多个研发中心，其中，西安研发中心是 国内金融行业成立最早、规模最大的软件开发基地之一。</w:t>
      </w:r>
    </w:p>
    <w:p>
      <w:pPr>
        <w:pStyle w:val="Style37"/>
        <w:keepNext w:val="0"/>
        <w:keepLines w:val="0"/>
        <w:widowControl w:val="0"/>
        <w:shd w:val="clear" w:color="auto" w:fill="auto"/>
        <w:tabs>
          <w:tab w:pos="734" w:val="left"/>
        </w:tabs>
        <w:bidi w:val="0"/>
        <w:spacing w:before="0" w:after="0"/>
        <w:ind w:left="0" w:right="0" w:firstLine="440"/>
        <w:jc w:val="both"/>
      </w:pPr>
      <w:bookmarkStart w:id="95" w:name="bookmark95"/>
      <w:r>
        <w:rPr>
          <w:rFonts w:ascii="Times New Roman" w:eastAsia="Times New Roman" w:hAnsi="Times New Roman" w:cs="Times New Roman"/>
          <w:b/>
          <w:bCs/>
          <w:color w:val="000000"/>
          <w:spacing w:val="0"/>
          <w:w w:val="100"/>
          <w:position w:val="0"/>
        </w:rPr>
        <w:t>2</w:t>
      </w:r>
      <w:bookmarkEnd w:id="95"/>
      <w:r>
        <w:rPr>
          <w:b/>
          <w:bCs/>
          <w:color w:val="000000"/>
          <w:spacing w:val="0"/>
          <w:w w:val="100"/>
          <w:position w:val="0"/>
        </w:rPr>
        <w:t>、</w:t>
        <w:tab/>
        <w:t>丰富的客户资源和广泛的生态合作</w:t>
      </w:r>
    </w:p>
    <w:p>
      <w:pPr>
        <w:pStyle w:val="Style37"/>
        <w:keepNext w:val="0"/>
        <w:keepLines w:val="0"/>
        <w:widowControl w:val="0"/>
        <w:shd w:val="clear" w:color="auto" w:fill="auto"/>
        <w:bidi w:val="0"/>
        <w:spacing w:before="0" w:line="313" w:lineRule="exact"/>
        <w:ind w:left="0" w:right="0" w:firstLine="440"/>
        <w:jc w:val="both"/>
      </w:pPr>
      <w:r>
        <w:rPr>
          <w:color w:val="000000"/>
          <w:spacing w:val="0"/>
          <w:w w:val="100"/>
          <w:position w:val="0"/>
        </w:rPr>
        <w:t>在金融领域，公司已经服务超过</w:t>
      </w:r>
      <w:r>
        <w:rPr>
          <w:rFonts w:ascii="Times New Roman" w:eastAsia="Times New Roman" w:hAnsi="Times New Roman" w:cs="Times New Roman"/>
          <w:color w:val="000000"/>
          <w:spacing w:val="0"/>
          <w:w w:val="100"/>
          <w:position w:val="0"/>
        </w:rPr>
        <w:t>1000</w:t>
      </w:r>
      <w:r>
        <w:rPr>
          <w:color w:val="000000"/>
          <w:spacing w:val="0"/>
          <w:w w:val="100"/>
          <w:position w:val="0"/>
        </w:rPr>
        <w:t>家客户，包括央行及</w:t>
      </w:r>
      <w:r>
        <w:rPr>
          <w:rFonts w:ascii="Times New Roman" w:eastAsia="Times New Roman" w:hAnsi="Times New Roman" w:cs="Times New Roman"/>
          <w:color w:val="000000"/>
          <w:spacing w:val="0"/>
          <w:w w:val="100"/>
          <w:position w:val="0"/>
        </w:rPr>
        <w:t>1</w:t>
      </w:r>
      <w:r>
        <w:rPr>
          <w:color w:val="000000"/>
          <w:spacing w:val="0"/>
          <w:w w:val="100"/>
          <w:position w:val="0"/>
        </w:rPr>
        <w:t>家开发性金融机构、</w:t>
      </w:r>
      <w:r>
        <w:rPr>
          <w:rFonts w:ascii="Times New Roman" w:eastAsia="Times New Roman" w:hAnsi="Times New Roman" w:cs="Times New Roman"/>
          <w:color w:val="000000"/>
          <w:spacing w:val="0"/>
          <w:w w:val="100"/>
          <w:position w:val="0"/>
        </w:rPr>
        <w:t>2</w:t>
      </w:r>
      <w:r>
        <w:rPr>
          <w:color w:val="000000"/>
          <w:spacing w:val="0"/>
          <w:w w:val="100"/>
          <w:position w:val="0"/>
        </w:rPr>
        <w:t>家政策性银行、</w:t>
      </w:r>
      <w:r>
        <w:rPr>
          <w:rFonts w:ascii="Times New Roman" w:eastAsia="Times New Roman" w:hAnsi="Times New Roman" w:cs="Times New Roman"/>
          <w:color w:val="000000"/>
          <w:spacing w:val="0"/>
          <w:w w:val="100"/>
          <w:position w:val="0"/>
        </w:rPr>
        <w:t>6</w:t>
      </w:r>
      <w:r>
        <w:rPr>
          <w:color w:val="000000"/>
          <w:spacing w:val="0"/>
          <w:w w:val="100"/>
          <w:position w:val="0"/>
        </w:rPr>
        <w:t xml:space="preserve">家国有商业银行、 </w:t>
      </w:r>
      <w:r>
        <w:rPr>
          <w:rFonts w:ascii="Times New Roman" w:eastAsia="Times New Roman" w:hAnsi="Times New Roman" w:cs="Times New Roman"/>
          <w:color w:val="000000"/>
          <w:spacing w:val="0"/>
          <w:w w:val="100"/>
          <w:position w:val="0"/>
        </w:rPr>
        <w:t>11</w:t>
      </w:r>
      <w:r>
        <w:rPr>
          <w:color w:val="000000"/>
          <w:spacing w:val="0"/>
          <w:w w:val="100"/>
          <w:position w:val="0"/>
        </w:rPr>
        <w:t>家股份制商业银行、</w:t>
      </w:r>
      <w:r>
        <w:rPr>
          <w:rFonts w:ascii="Times New Roman" w:eastAsia="Times New Roman" w:hAnsi="Times New Roman" w:cs="Times New Roman"/>
          <w:color w:val="000000"/>
          <w:spacing w:val="0"/>
          <w:w w:val="100"/>
          <w:position w:val="0"/>
        </w:rPr>
        <w:t>15</w:t>
      </w:r>
      <w:r>
        <w:rPr>
          <w:color w:val="000000"/>
          <w:spacing w:val="0"/>
          <w:w w:val="100"/>
          <w:position w:val="0"/>
        </w:rPr>
        <w:t>家民营银行及直销银行，</w:t>
      </w:r>
      <w:r>
        <w:rPr>
          <w:rFonts w:ascii="Times New Roman" w:eastAsia="Times New Roman" w:hAnsi="Times New Roman" w:cs="Times New Roman"/>
          <w:color w:val="000000"/>
          <w:spacing w:val="0"/>
          <w:w w:val="100"/>
          <w:position w:val="0"/>
        </w:rPr>
        <w:t>19</w:t>
      </w:r>
      <w:r>
        <w:rPr>
          <w:color w:val="000000"/>
          <w:spacing w:val="0"/>
          <w:w w:val="100"/>
          <w:position w:val="0"/>
        </w:rPr>
        <w:t>家外资银行、</w:t>
      </w:r>
      <w:r>
        <w:rPr>
          <w:rFonts w:ascii="Times New Roman" w:eastAsia="Times New Roman" w:hAnsi="Times New Roman" w:cs="Times New Roman"/>
          <w:color w:val="000000"/>
          <w:spacing w:val="0"/>
          <w:w w:val="100"/>
          <w:position w:val="0"/>
        </w:rPr>
        <w:t>100</w:t>
      </w:r>
      <w:r>
        <w:rPr>
          <w:color w:val="000000"/>
          <w:spacing w:val="0"/>
          <w:w w:val="100"/>
          <w:position w:val="0"/>
        </w:rPr>
        <w:t>余家城市商业银行、</w:t>
      </w:r>
      <w:r>
        <w:rPr>
          <w:rFonts w:ascii="Times New Roman" w:eastAsia="Times New Roman" w:hAnsi="Times New Roman" w:cs="Times New Roman"/>
          <w:color w:val="000000"/>
          <w:spacing w:val="0"/>
          <w:w w:val="100"/>
          <w:position w:val="0"/>
        </w:rPr>
        <w:t>200</w:t>
      </w:r>
      <w:r>
        <w:rPr>
          <w:color w:val="000000"/>
          <w:spacing w:val="0"/>
          <w:w w:val="100"/>
          <w:position w:val="0"/>
        </w:rPr>
        <w:t>余家农商行及农信社、</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余家村镇银行，同时覆盖证券交易所、保险公司、财务公司、证券公司等各类金融机构，在业内具有较高的声誉。公司同国 家开发银行、兰州银行、晋商银行、华瑞银行、乌鲁木齐银行等客户建立联合实验室，共同探索技术的创新应用。公司基于 自身金融应用软件的优势建立了紧密的生态合作关系，在服务器、数据库、邮件交易系统、中间件等领域，与生态伙伴开发 了端到端的解决方案。公司核心业务系统目前已同</w:t>
      </w:r>
      <w:r>
        <w:rPr>
          <w:rFonts w:ascii="Times New Roman" w:eastAsia="Times New Roman" w:hAnsi="Times New Roman" w:cs="Times New Roman"/>
          <w:color w:val="000000"/>
          <w:spacing w:val="0"/>
          <w:w w:val="100"/>
          <w:position w:val="0"/>
        </w:rPr>
        <w:t>GaussDB</w:t>
      </w:r>
      <w:r>
        <w:rPr>
          <w:color w:val="000000"/>
          <w:spacing w:val="0"/>
          <w:w w:val="100"/>
          <w:position w:val="0"/>
        </w:rPr>
        <w:t>、</w:t>
      </w:r>
      <w:r>
        <w:rPr>
          <w:rFonts w:ascii="Times New Roman" w:eastAsia="Times New Roman" w:hAnsi="Times New Roman" w:cs="Times New Roman"/>
          <w:color w:val="000000"/>
          <w:spacing w:val="0"/>
          <w:w w:val="100"/>
          <w:position w:val="0"/>
        </w:rPr>
        <w:t>TDSQL</w:t>
      </w:r>
      <w:r>
        <w:rPr>
          <w:color w:val="000000"/>
          <w:spacing w:val="0"/>
          <w:w w:val="100"/>
          <w:position w:val="0"/>
        </w:rPr>
        <w:t>、</w:t>
      </w:r>
      <w:r>
        <w:rPr>
          <w:rFonts w:ascii="Times New Roman" w:eastAsia="Times New Roman" w:hAnsi="Times New Roman" w:cs="Times New Roman"/>
          <w:color w:val="000000"/>
          <w:spacing w:val="0"/>
          <w:w w:val="100"/>
          <w:position w:val="0"/>
        </w:rPr>
        <w:t>OceanBase</w:t>
      </w:r>
      <w:r>
        <w:rPr>
          <w:color w:val="000000"/>
          <w:spacing w:val="0"/>
          <w:w w:val="100"/>
          <w:position w:val="0"/>
        </w:rPr>
        <w:t>、</w:t>
      </w:r>
      <w:r>
        <w:rPr>
          <w:rFonts w:ascii="Times New Roman" w:eastAsia="Times New Roman" w:hAnsi="Times New Roman" w:cs="Times New Roman"/>
          <w:color w:val="000000"/>
          <w:spacing w:val="0"/>
          <w:w w:val="100"/>
          <w:position w:val="0"/>
        </w:rPr>
        <w:t>TiDB</w:t>
      </w:r>
      <w:r>
        <w:rPr>
          <w:color w:val="000000"/>
          <w:spacing w:val="0"/>
          <w:w w:val="100"/>
          <w:position w:val="0"/>
        </w:rPr>
        <w:t>、</w:t>
      </w:r>
      <w:r>
        <w:rPr>
          <w:rFonts w:ascii="Times New Roman" w:eastAsia="Times New Roman" w:hAnsi="Times New Roman" w:cs="Times New Roman"/>
          <w:color w:val="000000"/>
          <w:spacing w:val="0"/>
          <w:w w:val="100"/>
          <w:position w:val="0"/>
        </w:rPr>
        <w:t>GoldenDB</w:t>
      </w:r>
      <w:r>
        <w:rPr>
          <w:color w:val="000000"/>
          <w:spacing w:val="0"/>
          <w:w w:val="100"/>
          <w:position w:val="0"/>
        </w:rPr>
        <w:t>、丛云、神舟通用、 达梦等数据库完成了兼容性适配，在客户端形成了良好的示范效应。公司还与国家金融与发展实验室、中国信息通信研究院 云计算与大数据研究所、鹏城实验室、清华大学五道口金融学院、中科大国际金融研究院、北京航空航天大学、西南财经大 学等一系列院校、国家级实验室深度合作，打造前瞻研究生态。</w:t>
      </w:r>
    </w:p>
    <w:p>
      <w:pPr>
        <w:pStyle w:val="Style37"/>
        <w:keepNext w:val="0"/>
        <w:keepLines w:val="0"/>
        <w:widowControl w:val="0"/>
        <w:shd w:val="clear" w:color="auto" w:fill="auto"/>
        <w:tabs>
          <w:tab w:pos="734" w:val="left"/>
        </w:tabs>
        <w:bidi w:val="0"/>
        <w:spacing w:before="0" w:after="0"/>
        <w:ind w:left="0" w:right="0" w:firstLine="440"/>
        <w:jc w:val="both"/>
      </w:pPr>
      <w:bookmarkStart w:id="96" w:name="bookmark96"/>
      <w:r>
        <w:rPr>
          <w:rFonts w:ascii="Times New Roman" w:eastAsia="Times New Roman" w:hAnsi="Times New Roman" w:cs="Times New Roman"/>
          <w:b/>
          <w:bCs/>
          <w:color w:val="000000"/>
          <w:spacing w:val="0"/>
          <w:w w:val="100"/>
          <w:position w:val="0"/>
        </w:rPr>
        <w:t>3</w:t>
      </w:r>
      <w:bookmarkEnd w:id="96"/>
      <w:r>
        <w:rPr>
          <w:b/>
          <w:bCs/>
          <w:color w:val="000000"/>
          <w:spacing w:val="0"/>
          <w:w w:val="100"/>
          <w:position w:val="0"/>
        </w:rPr>
        <w:t>、</w:t>
        <w:tab/>
        <w:t>丰富的场景积累奠定金融创新服务基础</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公司深入参与农村、税务数字化二十余年，对现阶段金融机构发展三农金融、中小微普惠金融的痛点有着深刻理解。 金融机构开展三农和中小微企业金融服务的核心是风控，风控的核心是数据。公司承建税务部门、农业农村部等相关机构核 心系统、管理决策分析系统、单品大数据、土地确权等项目，积累了对农业农村和税务现状、数据的深刻理解，这为公司携 手金融机构和产业界，共同探索金融服务在各行业场景的落地奠定了坚实基础，也是公司能够领先于市场快速推出“银农直 连”、“税银互动”等产品，打造具有竞争力的个性化中小微企业信贷产品等创新型解决方案的重要原因。联合金融机构、税 务部门、农业农村部、互联网企业等各方机构共同探索普惠金融的破解之道，为资金流向金融基础设施欠发达的地区和产业, 解决农户、中小微企业融资“最后一公里”的难题提供可能性，也为公司在场景金融领域的业务创新提供了广阔的空间。</w:t>
      </w:r>
    </w:p>
    <w:p>
      <w:pPr>
        <w:pStyle w:val="Style37"/>
        <w:keepNext w:val="0"/>
        <w:keepLines w:val="0"/>
        <w:widowControl w:val="0"/>
        <w:shd w:val="clear" w:color="auto" w:fill="auto"/>
        <w:tabs>
          <w:tab w:pos="734" w:val="left"/>
        </w:tabs>
        <w:bidi w:val="0"/>
        <w:spacing w:before="0" w:after="0"/>
        <w:ind w:left="0" w:right="0" w:firstLine="440"/>
        <w:jc w:val="both"/>
      </w:pPr>
      <w:bookmarkStart w:id="97" w:name="bookmark97"/>
      <w:r>
        <w:rPr>
          <w:rFonts w:ascii="Times New Roman" w:eastAsia="Times New Roman" w:hAnsi="Times New Roman" w:cs="Times New Roman"/>
          <w:b/>
          <w:bCs/>
          <w:color w:val="000000"/>
          <w:spacing w:val="0"/>
          <w:w w:val="100"/>
          <w:position w:val="0"/>
        </w:rPr>
        <w:t>4</w:t>
      </w:r>
      <w:bookmarkEnd w:id="97"/>
      <w:r>
        <w:rPr>
          <w:b/>
          <w:bCs/>
          <w:color w:val="000000"/>
          <w:spacing w:val="0"/>
          <w:w w:val="100"/>
          <w:position w:val="0"/>
        </w:rPr>
        <w:t>、</w:t>
        <w:tab/>
        <w:t>参与制定标准引领行业风向</w:t>
      </w:r>
    </w:p>
    <w:p>
      <w:pPr>
        <w:pStyle w:val="Style37"/>
        <w:keepNext w:val="0"/>
        <w:keepLines w:val="0"/>
        <w:widowControl w:val="0"/>
        <w:shd w:val="clear" w:color="auto" w:fill="auto"/>
        <w:bidi w:val="0"/>
        <w:spacing w:before="0" w:line="311" w:lineRule="exact"/>
        <w:ind w:left="0" w:right="0" w:firstLine="440"/>
        <w:jc w:val="both"/>
        <w:sectPr>
          <w:footnotePr>
            <w:pos w:val="pageBottom"/>
            <w:numFmt w:val="decimal"/>
            <w:numRestart w:val="continuous"/>
          </w:footnotePr>
          <w:pgSz w:w="11900" w:h="16840"/>
          <w:pgMar w:top="1302" w:right="1038" w:bottom="1537" w:left="1089" w:header="0" w:footer="3" w:gutter="0"/>
          <w:cols w:space="720"/>
          <w:noEndnote/>
          <w:rtlGutter w:val="0"/>
          <w:docGrid w:linePitch="360"/>
        </w:sectPr>
      </w:pPr>
      <w:r>
        <w:rPr>
          <w:color w:val="000000"/>
          <w:spacing w:val="0"/>
          <w:w w:val="100"/>
          <w:position w:val="0"/>
        </w:rPr>
        <w:t xml:space="preserve">公司以多年信息化建设经验为基础，通过技术研发与客户积累，引领行业发展趋势，在金融、税务、农业等行业积累 了较深的理解能力和研发能力，并通过参与各类别的标准制定引领行业发展。在金融领域，神州信息主导编制的《商业银行 分布式联机交易系统技术规范》、《商业银行应用程序接口共享平台技术要求》、《商业银行互联网开放平台架构规范》由中国 人民银行指导成立的北京金融科技产业联盟和中国互联网金融协会审批，成功立项，为核心系统、开放银行等相关领域的建 设提供了重要参考依据，技术先进性得到了行业专家和客户的认可。为建设银行落地实施的“基于区块链的供应链金融企业 应收账款融资系统”成功入选了 </w:t>
      </w:r>
      <w:r>
        <w:rPr>
          <w:rFonts w:ascii="Times New Roman" w:eastAsia="Times New Roman" w:hAnsi="Times New Roman" w:cs="Times New Roman"/>
          <w:color w:val="000000"/>
          <w:spacing w:val="0"/>
          <w:w w:val="100"/>
          <w:position w:val="0"/>
        </w:rPr>
        <w:t xml:space="preserve">ISO/TC </w:t>
      </w:r>
      <w:r>
        <w:rPr>
          <w:rFonts w:ascii="Times New Roman" w:eastAsia="Times New Roman" w:hAnsi="Times New Roman" w:cs="Times New Roman"/>
          <w:color w:val="000000"/>
          <w:spacing w:val="0"/>
          <w:w w:val="100"/>
          <w:position w:val="0"/>
        </w:rPr>
        <w:t xml:space="preserve">307 </w:t>
      </w:r>
      <w:r>
        <w:rPr>
          <w:rFonts w:ascii="Times New Roman" w:eastAsia="Times New Roman" w:hAnsi="Times New Roman" w:cs="Times New Roman"/>
          <w:color w:val="000000"/>
          <w:spacing w:val="0"/>
          <w:w w:val="100"/>
          <w:position w:val="0"/>
        </w:rPr>
        <w:t>WG6</w:t>
      </w:r>
      <w:r>
        <w:rPr>
          <w:color w:val="000000"/>
          <w:spacing w:val="0"/>
          <w:w w:val="100"/>
          <w:position w:val="0"/>
        </w:rPr>
        <w:t>《区块链与分布式账本技术标准（征集意见稿）》，为区块链与分布式账本 技术应用国际标准的制定提供参考。</w:t>
      </w:r>
    </w:p>
    <w:p>
      <w:pPr>
        <w:pStyle w:val="Style18"/>
        <w:keepNext/>
        <w:keepLines/>
        <w:widowControl w:val="0"/>
        <w:shd w:val="clear" w:color="auto" w:fill="auto"/>
        <w:bidi w:val="0"/>
        <w:spacing w:before="520" w:after="540" w:line="240" w:lineRule="auto"/>
        <w:ind w:left="0" w:right="0" w:firstLine="0"/>
        <w:jc w:val="center"/>
      </w:pPr>
      <w:bookmarkStart w:id="100" w:name="bookmark100"/>
      <w:bookmarkStart w:id="98" w:name="bookmark98"/>
      <w:bookmarkStart w:id="99" w:name="bookmark99"/>
      <w:r>
        <w:rPr>
          <w:color w:val="000000"/>
          <w:spacing w:val="0"/>
          <w:w w:val="100"/>
          <w:position w:val="0"/>
        </w:rPr>
        <w:t>第四节经营情况讨论与分析</w:t>
      </w:r>
      <w:bookmarkEnd w:id="100"/>
      <w:bookmarkEnd w:id="98"/>
      <w:bookmarkEnd w:id="99"/>
    </w:p>
    <w:p>
      <w:pPr>
        <w:pStyle w:val="Style35"/>
        <w:keepNext/>
        <w:keepLines/>
        <w:widowControl w:val="0"/>
        <w:shd w:val="clear" w:color="auto" w:fill="auto"/>
        <w:tabs>
          <w:tab w:pos="480" w:val="left"/>
        </w:tabs>
        <w:bidi w:val="0"/>
        <w:spacing w:before="0" w:after="260" w:line="240" w:lineRule="auto"/>
        <w:ind w:left="0" w:right="0" w:firstLine="0"/>
        <w:jc w:val="both"/>
      </w:pPr>
      <w:bookmarkStart w:id="101" w:name="bookmark101"/>
      <w:bookmarkStart w:id="102" w:name="bookmark102"/>
      <w:bookmarkStart w:id="103" w:name="bookmark103"/>
      <w:bookmarkStart w:id="104" w:name="bookmark104"/>
      <w:bookmarkStart w:id="105" w:name="bookmark105"/>
      <w:r>
        <w:rPr>
          <w:color w:val="000000"/>
          <w:spacing w:val="0"/>
          <w:w w:val="100"/>
          <w:position w:val="0"/>
          <w:sz w:val="24"/>
          <w:szCs w:val="24"/>
        </w:rPr>
        <w:t>一</w:t>
      </w:r>
      <w:bookmarkEnd w:id="104"/>
      <w:r>
        <w:rPr>
          <w:color w:val="000000"/>
          <w:spacing w:val="0"/>
          <w:w w:val="100"/>
          <w:position w:val="0"/>
          <w:sz w:val="24"/>
          <w:szCs w:val="24"/>
        </w:rPr>
        <w:t>、</w:t>
        <w:tab/>
        <w:t>概述</w:t>
      </w:r>
      <w:bookmarkEnd w:id="102"/>
      <w:bookmarkEnd w:id="103"/>
      <w:bookmarkEnd w:id="105"/>
      <w:bookmarkEnd w:id="101"/>
    </w:p>
    <w:p>
      <w:pPr>
        <w:pStyle w:val="Style37"/>
        <w:keepNext w:val="0"/>
        <w:keepLines w:val="0"/>
        <w:widowControl w:val="0"/>
        <w:shd w:val="clear" w:color="auto" w:fill="auto"/>
        <w:bidi w:val="0"/>
        <w:spacing w:before="0" w:after="36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年，公司管理层及全体员工上下同欲、共克时艰，成功经受住了疫情的考验，整体经营业绩逆势增长。公司研发 投入保持了持续增长，全年研发费用累计</w:t>
      </w:r>
      <w:r>
        <w:rPr>
          <w:rFonts w:ascii="Times New Roman" w:eastAsia="Times New Roman" w:hAnsi="Times New Roman" w:cs="Times New Roman"/>
          <w:color w:val="000000"/>
          <w:spacing w:val="0"/>
          <w:w w:val="100"/>
          <w:position w:val="0"/>
        </w:rPr>
        <w:t>5.11</w:t>
      </w:r>
      <w:r>
        <w:rPr>
          <w:color w:val="000000"/>
          <w:spacing w:val="0"/>
          <w:w w:val="100"/>
          <w:position w:val="0"/>
        </w:rPr>
        <w:t>亿，同比增长</w:t>
      </w:r>
      <w:r>
        <w:rPr>
          <w:rFonts w:ascii="Times New Roman" w:eastAsia="Times New Roman" w:hAnsi="Times New Roman" w:cs="Times New Roman"/>
          <w:color w:val="000000"/>
          <w:spacing w:val="0"/>
          <w:w w:val="100"/>
          <w:position w:val="0"/>
        </w:rPr>
        <w:t>36.24%</w:t>
      </w:r>
      <w:r>
        <w:rPr>
          <w:color w:val="000000"/>
          <w:spacing w:val="0"/>
          <w:w w:val="100"/>
          <w:position w:val="0"/>
        </w:rPr>
        <w:t>，完成了包括银行核心、监管保送、数字钱包等产品的 升级与迭代，在信贷风控领域也有了实质性突破，不断扩充产品线及解决方案的同时，也为金融场景业务发展奠定了坚实基 础。</w:t>
      </w:r>
    </w:p>
    <w:p>
      <w:pPr>
        <w:pStyle w:val="Style35"/>
        <w:keepNext/>
        <w:keepLines/>
        <w:widowControl w:val="0"/>
        <w:shd w:val="clear" w:color="auto" w:fill="auto"/>
        <w:tabs>
          <w:tab w:pos="480" w:val="left"/>
        </w:tabs>
        <w:bidi w:val="0"/>
        <w:spacing w:before="0" w:after="36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sz w:val="24"/>
          <w:szCs w:val="24"/>
        </w:rPr>
        <w:t>二</w:t>
      </w:r>
      <w:bookmarkEnd w:id="108"/>
      <w:r>
        <w:rPr>
          <w:color w:val="000000"/>
          <w:spacing w:val="0"/>
          <w:w w:val="100"/>
          <w:position w:val="0"/>
          <w:sz w:val="24"/>
          <w:szCs w:val="24"/>
        </w:rPr>
        <w:t>、</w:t>
        <w:tab/>
        <w:t>主营业务分析</w:t>
      </w:r>
      <w:bookmarkEnd w:id="106"/>
      <w:bookmarkEnd w:id="107"/>
      <w:bookmarkEnd w:id="109"/>
    </w:p>
    <w:p>
      <w:pPr>
        <w:pStyle w:val="Style41"/>
        <w:keepNext/>
        <w:keepLines/>
        <w:widowControl w:val="0"/>
        <w:shd w:val="clear" w:color="auto" w:fill="auto"/>
        <w:bidi w:val="0"/>
        <w:spacing w:before="0" w:after="22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、概述</w:t>
      </w:r>
      <w:bookmarkEnd w:id="110"/>
      <w:bookmarkEnd w:id="111"/>
      <w:bookmarkEnd w:id="113"/>
    </w:p>
    <w:p>
      <w:pPr>
        <w:pStyle w:val="Style37"/>
        <w:keepNext w:val="0"/>
        <w:keepLines w:val="0"/>
        <w:widowControl w:val="0"/>
        <w:shd w:val="clear" w:color="auto" w:fill="auto"/>
        <w:tabs>
          <w:tab w:pos="921" w:val="left"/>
        </w:tabs>
        <w:bidi w:val="0"/>
        <w:spacing w:before="0" w:line="313" w:lineRule="exact"/>
        <w:ind w:left="0" w:right="0" w:firstLine="440"/>
        <w:jc w:val="both"/>
      </w:pPr>
      <w:bookmarkStart w:id="114" w:name="bookmark114"/>
      <w:r>
        <w:rPr>
          <w:b/>
          <w:bCs/>
          <w:color w:val="000000"/>
          <w:spacing w:val="0"/>
          <w:w w:val="100"/>
          <w:position w:val="0"/>
        </w:rPr>
        <w:t>（</w:t>
      </w:r>
      <w:bookmarkEnd w:id="114"/>
      <w:r>
        <w:rPr>
          <w:b/>
          <w:bCs/>
          <w:color w:val="000000"/>
          <w:spacing w:val="0"/>
          <w:w w:val="100"/>
          <w:position w:val="0"/>
        </w:rPr>
        <w:t>一）</w:t>
        <w:tab/>
        <w:t>收入净利同比稳中有升</w:t>
      </w:r>
    </w:p>
    <w:p>
      <w:pPr>
        <w:pStyle w:val="Style37"/>
        <w:keepNext w:val="0"/>
        <w:keepLines w:val="0"/>
        <w:widowControl w:val="0"/>
        <w:shd w:val="clear" w:color="auto" w:fill="auto"/>
        <w:bidi w:val="0"/>
        <w:spacing w:before="0" w:line="310" w:lineRule="exact"/>
        <w:ind w:left="0" w:right="0" w:firstLine="440"/>
        <w:jc w:val="both"/>
      </w:pPr>
      <w:r>
        <w:rPr>
          <w:color w:val="000000"/>
          <w:spacing w:val="0"/>
          <w:w w:val="100"/>
          <w:position w:val="0"/>
        </w:rPr>
        <w:t>尽管面临疫情的严峻挑战，公司依旧保持了经营的稳健，全年签约实现</w:t>
      </w:r>
      <w:r>
        <w:rPr>
          <w:rFonts w:ascii="Times New Roman" w:eastAsia="Times New Roman" w:hAnsi="Times New Roman" w:cs="Times New Roman"/>
          <w:color w:val="000000"/>
          <w:spacing w:val="0"/>
          <w:w w:val="100"/>
          <w:position w:val="0"/>
        </w:rPr>
        <w:t>114.39</w:t>
      </w:r>
      <w:r>
        <w:rPr>
          <w:color w:val="000000"/>
          <w:spacing w:val="0"/>
          <w:w w:val="100"/>
          <w:position w:val="0"/>
        </w:rPr>
        <w:t>亿，同比增长</w:t>
      </w:r>
      <w:r>
        <w:rPr>
          <w:rFonts w:ascii="Times New Roman" w:eastAsia="Times New Roman" w:hAnsi="Times New Roman" w:cs="Times New Roman"/>
          <w:color w:val="000000"/>
          <w:spacing w:val="0"/>
          <w:w w:val="100"/>
          <w:position w:val="0"/>
        </w:rPr>
        <w:t>15.04%</w:t>
      </w:r>
      <w:r>
        <w:rPr>
          <w:color w:val="000000"/>
          <w:spacing w:val="0"/>
          <w:w w:val="100"/>
          <w:position w:val="0"/>
        </w:rPr>
        <w:t>，营业收入</w:t>
      </w:r>
      <w:r>
        <w:rPr>
          <w:rFonts w:ascii="Times New Roman" w:eastAsia="Times New Roman" w:hAnsi="Times New Roman" w:cs="Times New Roman"/>
          <w:color w:val="000000"/>
          <w:spacing w:val="0"/>
          <w:w w:val="100"/>
          <w:position w:val="0"/>
        </w:rPr>
        <w:t xml:space="preserve">106.86 </w:t>
      </w:r>
      <w:r>
        <w:rPr>
          <w:color w:val="000000"/>
          <w:spacing w:val="0"/>
          <w:w w:val="100"/>
          <w:position w:val="0"/>
        </w:rPr>
        <w:t>亿，同比增长</w:t>
      </w:r>
      <w:r>
        <w:rPr>
          <w:rFonts w:ascii="Times New Roman" w:eastAsia="Times New Roman" w:hAnsi="Times New Roman" w:cs="Times New Roman"/>
          <w:color w:val="000000"/>
          <w:spacing w:val="0"/>
          <w:w w:val="100"/>
          <w:position w:val="0"/>
        </w:rPr>
        <w:t>5.32%</w:t>
      </w:r>
      <w:r>
        <w:rPr>
          <w:color w:val="000000"/>
          <w:spacing w:val="0"/>
          <w:w w:val="100"/>
          <w:position w:val="0"/>
        </w:rPr>
        <w:t>，其中系统集成收入</w:t>
      </w:r>
      <w:r>
        <w:rPr>
          <w:rFonts w:ascii="Times New Roman" w:eastAsia="Times New Roman" w:hAnsi="Times New Roman" w:cs="Times New Roman"/>
          <w:color w:val="000000"/>
          <w:spacing w:val="0"/>
          <w:w w:val="100"/>
          <w:position w:val="0"/>
        </w:rPr>
        <w:t>60.81</w:t>
      </w:r>
      <w:r>
        <w:rPr>
          <w:color w:val="000000"/>
          <w:spacing w:val="0"/>
          <w:w w:val="100"/>
          <w:position w:val="0"/>
        </w:rPr>
        <w:t>亿，同比增长</w:t>
      </w:r>
      <w:r>
        <w:rPr>
          <w:rFonts w:ascii="Times New Roman" w:eastAsia="Times New Roman" w:hAnsi="Times New Roman" w:cs="Times New Roman"/>
          <w:color w:val="000000"/>
          <w:spacing w:val="0"/>
          <w:w w:val="100"/>
          <w:position w:val="0"/>
        </w:rPr>
        <w:t>28.52%</w:t>
      </w:r>
      <w:r>
        <w:rPr>
          <w:color w:val="000000"/>
          <w:spacing w:val="0"/>
          <w:w w:val="100"/>
          <w:position w:val="0"/>
        </w:rPr>
        <w:t>。整体毛利率</w:t>
      </w:r>
      <w:r>
        <w:rPr>
          <w:rFonts w:ascii="Times New Roman" w:eastAsia="Times New Roman" w:hAnsi="Times New Roman" w:cs="Times New Roman"/>
          <w:color w:val="000000"/>
          <w:spacing w:val="0"/>
          <w:w w:val="100"/>
          <w:position w:val="0"/>
        </w:rPr>
        <w:t>17.09%</w:t>
      </w:r>
      <w:r>
        <w:rPr>
          <w:color w:val="000000"/>
          <w:spacing w:val="0"/>
          <w:w w:val="100"/>
          <w:position w:val="0"/>
        </w:rPr>
        <w:t>，归母净利润</w:t>
      </w:r>
      <w:r>
        <w:rPr>
          <w:rFonts w:ascii="Times New Roman" w:eastAsia="Times New Roman" w:hAnsi="Times New Roman" w:cs="Times New Roman"/>
          <w:color w:val="000000"/>
          <w:spacing w:val="0"/>
          <w:w w:val="100"/>
          <w:position w:val="0"/>
        </w:rPr>
        <w:t>4.76</w:t>
      </w:r>
      <w:r>
        <w:rPr>
          <w:color w:val="000000"/>
          <w:spacing w:val="0"/>
          <w:w w:val="100"/>
          <w:position w:val="0"/>
        </w:rPr>
        <w:t xml:space="preserve">亿，同比增长 </w:t>
      </w:r>
      <w:r>
        <w:rPr>
          <w:rFonts w:ascii="Times New Roman" w:eastAsia="Times New Roman" w:hAnsi="Times New Roman" w:cs="Times New Roman"/>
          <w:color w:val="000000"/>
          <w:spacing w:val="0"/>
          <w:w w:val="100"/>
          <w:position w:val="0"/>
        </w:rPr>
        <w:t>26.64%</w:t>
      </w:r>
      <w:r>
        <w:rPr>
          <w:color w:val="000000"/>
          <w:spacing w:val="0"/>
          <w:w w:val="100"/>
          <w:position w:val="0"/>
        </w:rPr>
        <w:t>，盈利水平再创历史新高。公司于</w:t>
      </w:r>
      <w:r>
        <w:rPr>
          <w:rFonts w:ascii="Times New Roman" w:eastAsia="Times New Roman" w:hAnsi="Times New Roman" w:cs="Times New Roman"/>
          <w:color w:val="000000"/>
          <w:spacing w:val="0"/>
          <w:w w:val="100"/>
          <w:position w:val="0"/>
        </w:rPr>
        <w:t>2019</w:t>
      </w:r>
      <w:r>
        <w:rPr>
          <w:color w:val="000000"/>
          <w:spacing w:val="0"/>
          <w:w w:val="100"/>
          <w:position w:val="0"/>
        </w:rPr>
        <w:t>年实施了股权激励，在本年度累计摊销股权激励费用</w:t>
      </w:r>
      <w:r>
        <w:rPr>
          <w:rFonts w:ascii="Times New Roman" w:eastAsia="Times New Roman" w:hAnsi="Times New Roman" w:cs="Times New Roman"/>
          <w:color w:val="000000"/>
          <w:spacing w:val="0"/>
          <w:w w:val="100"/>
          <w:position w:val="0"/>
        </w:rPr>
        <w:t>2,869</w:t>
      </w:r>
      <w:r>
        <w:rPr>
          <w:color w:val="000000"/>
          <w:spacing w:val="0"/>
          <w:w w:val="100"/>
          <w:position w:val="0"/>
        </w:rPr>
        <w:t>万元。</w:t>
      </w:r>
    </w:p>
    <w:p>
      <w:pPr>
        <w:pStyle w:val="Style37"/>
        <w:keepNext w:val="0"/>
        <w:keepLines w:val="0"/>
        <w:widowControl w:val="0"/>
        <w:shd w:val="clear" w:color="auto" w:fill="auto"/>
        <w:tabs>
          <w:tab w:pos="921" w:val="left"/>
        </w:tabs>
        <w:bidi w:val="0"/>
        <w:spacing w:before="0" w:line="313" w:lineRule="exact"/>
        <w:ind w:left="0" w:right="0" w:firstLine="440"/>
        <w:jc w:val="both"/>
      </w:pPr>
      <w:bookmarkStart w:id="115" w:name="bookmark115"/>
      <w:r>
        <w:rPr>
          <w:b/>
          <w:bCs/>
          <w:color w:val="000000"/>
          <w:spacing w:val="0"/>
          <w:w w:val="100"/>
          <w:position w:val="0"/>
        </w:rPr>
        <w:t>（</w:t>
      </w:r>
      <w:bookmarkEnd w:id="115"/>
      <w:r>
        <w:rPr>
          <w:b/>
          <w:bCs/>
          <w:color w:val="000000"/>
          <w:spacing w:val="0"/>
          <w:w w:val="100"/>
          <w:position w:val="0"/>
        </w:rPr>
        <w:t>二）</w:t>
        <w:tab/>
        <w:t>金融科技战略推进成效显著</w:t>
      </w:r>
    </w:p>
    <w:p>
      <w:pPr>
        <w:pStyle w:val="Style37"/>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年，公司金融科技板块签约</w:t>
      </w:r>
      <w:r>
        <w:rPr>
          <w:rFonts w:ascii="Times New Roman" w:eastAsia="Times New Roman" w:hAnsi="Times New Roman" w:cs="Times New Roman"/>
          <w:color w:val="000000"/>
          <w:spacing w:val="0"/>
          <w:w w:val="100"/>
          <w:position w:val="0"/>
        </w:rPr>
        <w:t>53.67</w:t>
      </w:r>
      <w:r>
        <w:rPr>
          <w:color w:val="000000"/>
          <w:spacing w:val="0"/>
          <w:w w:val="100"/>
          <w:position w:val="0"/>
        </w:rPr>
        <w:t>亿元，同比大幅增长</w:t>
      </w:r>
      <w:r>
        <w:rPr>
          <w:rFonts w:ascii="Times New Roman" w:eastAsia="Times New Roman" w:hAnsi="Times New Roman" w:cs="Times New Roman"/>
          <w:color w:val="000000"/>
          <w:spacing w:val="0"/>
          <w:w w:val="100"/>
          <w:position w:val="0"/>
        </w:rPr>
        <w:t>19.35%</w:t>
      </w:r>
      <w:r>
        <w:rPr>
          <w:color w:val="000000"/>
          <w:spacing w:val="0"/>
          <w:w w:val="100"/>
          <w:position w:val="0"/>
        </w:rPr>
        <w:t>。金融行业营业收入实现</w:t>
      </w:r>
      <w:r>
        <w:rPr>
          <w:rFonts w:ascii="Times New Roman" w:eastAsia="Times New Roman" w:hAnsi="Times New Roman" w:cs="Times New Roman"/>
          <w:color w:val="000000"/>
          <w:spacing w:val="0"/>
          <w:w w:val="100"/>
          <w:position w:val="0"/>
        </w:rPr>
        <w:t>42.44</w:t>
      </w:r>
      <w:r>
        <w:rPr>
          <w:color w:val="000000"/>
          <w:spacing w:val="0"/>
          <w:w w:val="100"/>
          <w:position w:val="0"/>
        </w:rPr>
        <w:t>亿元，其中系统集 成业务实现收入</w:t>
      </w:r>
      <w:r>
        <w:rPr>
          <w:rFonts w:ascii="Times New Roman" w:eastAsia="Times New Roman" w:hAnsi="Times New Roman" w:cs="Times New Roman"/>
          <w:color w:val="000000"/>
          <w:spacing w:val="0"/>
          <w:w w:val="100"/>
          <w:position w:val="0"/>
        </w:rPr>
        <w:t>22.55</w:t>
      </w:r>
      <w:r>
        <w:rPr>
          <w:color w:val="000000"/>
          <w:spacing w:val="0"/>
          <w:w w:val="100"/>
          <w:position w:val="0"/>
        </w:rPr>
        <w:t>亿，同比增长</w:t>
      </w:r>
      <w:r>
        <w:rPr>
          <w:rFonts w:ascii="Times New Roman" w:eastAsia="Times New Roman" w:hAnsi="Times New Roman" w:cs="Times New Roman"/>
          <w:color w:val="000000"/>
          <w:spacing w:val="0"/>
          <w:w w:val="100"/>
          <w:position w:val="0"/>
        </w:rPr>
        <w:t>30.79%</w:t>
      </w:r>
      <w:r>
        <w:rPr>
          <w:color w:val="000000"/>
          <w:spacing w:val="0"/>
          <w:w w:val="100"/>
          <w:position w:val="0"/>
        </w:rPr>
        <w:t>，软件和服务业务实现收入</w:t>
      </w:r>
      <w:r>
        <w:rPr>
          <w:rFonts w:ascii="Times New Roman" w:eastAsia="Times New Roman" w:hAnsi="Times New Roman" w:cs="Times New Roman"/>
          <w:color w:val="000000"/>
          <w:spacing w:val="0"/>
          <w:w w:val="100"/>
          <w:position w:val="0"/>
        </w:rPr>
        <w:t>19.89</w:t>
      </w:r>
      <w:r>
        <w:rPr>
          <w:color w:val="000000"/>
          <w:spacing w:val="0"/>
          <w:w w:val="100"/>
          <w:position w:val="0"/>
        </w:rPr>
        <w:t>亿元，毛利率</w:t>
      </w:r>
      <w:r>
        <w:rPr>
          <w:rFonts w:ascii="Times New Roman" w:eastAsia="Times New Roman" w:hAnsi="Times New Roman" w:cs="Times New Roman"/>
          <w:color w:val="000000"/>
          <w:spacing w:val="0"/>
          <w:w w:val="100"/>
          <w:position w:val="0"/>
        </w:rPr>
        <w:t>26.93%</w:t>
      </w:r>
      <w:r>
        <w:rPr>
          <w:color w:val="000000"/>
          <w:spacing w:val="0"/>
          <w:w w:val="100"/>
          <w:position w:val="0"/>
        </w:rPr>
        <w:t>，同比增长</w:t>
      </w:r>
      <w:r>
        <w:rPr>
          <w:rFonts w:ascii="Times New Roman" w:eastAsia="Times New Roman" w:hAnsi="Times New Roman" w:cs="Times New Roman"/>
          <w:color w:val="000000"/>
          <w:spacing w:val="0"/>
          <w:w w:val="100"/>
          <w:position w:val="0"/>
        </w:rPr>
        <w:t>1.92</w:t>
      </w:r>
      <w:r>
        <w:rPr>
          <w:color w:val="000000"/>
          <w:spacing w:val="0"/>
          <w:w w:val="100"/>
          <w:position w:val="0"/>
        </w:rPr>
        <w:t>个百分 点。软件和服务业务项目实施与验收受疫情影响而出现收入确认的后延，但受益于公司过去几年持续加大研发投入、提升产 品标准化程度、改进交付效率、加强项目管理等措施，毛利率有所提升。目前公司在手订单充足，金融科技板块整体已签未 销</w:t>
      </w:r>
      <w:r>
        <w:rPr>
          <w:rFonts w:ascii="Times New Roman" w:eastAsia="Times New Roman" w:hAnsi="Times New Roman" w:cs="Times New Roman"/>
          <w:color w:val="000000"/>
          <w:spacing w:val="0"/>
          <w:w w:val="100"/>
          <w:position w:val="0"/>
        </w:rPr>
        <w:t>31.33</w:t>
      </w:r>
      <w:r>
        <w:rPr>
          <w:color w:val="000000"/>
          <w:spacing w:val="0"/>
          <w:w w:val="100"/>
          <w:position w:val="0"/>
        </w:rPr>
        <w:t>亿元，同比大幅增长</w:t>
      </w:r>
      <w:r>
        <w:rPr>
          <w:rFonts w:ascii="Times New Roman" w:eastAsia="Times New Roman" w:hAnsi="Times New Roman" w:cs="Times New Roman"/>
          <w:color w:val="000000"/>
          <w:spacing w:val="0"/>
          <w:w w:val="100"/>
          <w:position w:val="0"/>
        </w:rPr>
        <w:t>39.02%</w:t>
      </w:r>
      <w:r>
        <w:rPr>
          <w:color w:val="000000"/>
          <w:spacing w:val="0"/>
          <w:w w:val="100"/>
          <w:position w:val="0"/>
        </w:rPr>
        <w:t>，公司对未来金融科技业务高速增长充满信心。</w:t>
      </w:r>
    </w:p>
    <w:p>
      <w:pPr>
        <w:pStyle w:val="Style37"/>
        <w:keepNext w:val="0"/>
        <w:keepLines w:val="0"/>
        <w:widowControl w:val="0"/>
        <w:shd w:val="clear" w:color="auto" w:fill="auto"/>
        <w:bidi w:val="0"/>
        <w:spacing w:before="0" w:line="313" w:lineRule="exact"/>
        <w:ind w:left="0" w:right="0" w:firstLine="440"/>
        <w:jc w:val="both"/>
      </w:pPr>
      <w:bookmarkStart w:id="116" w:name="bookmark116"/>
      <w:r>
        <w:rPr>
          <w:rFonts w:ascii="Times New Roman" w:eastAsia="Times New Roman" w:hAnsi="Times New Roman" w:cs="Times New Roman"/>
          <w:b/>
          <w:bCs/>
          <w:color w:val="000000"/>
          <w:spacing w:val="0"/>
          <w:w w:val="100"/>
          <w:position w:val="0"/>
        </w:rPr>
        <w:t>1</w:t>
      </w:r>
      <w:bookmarkEnd w:id="116"/>
      <w:r>
        <w:rPr>
          <w:b/>
          <w:bCs/>
          <w:color w:val="000000"/>
          <w:spacing w:val="0"/>
          <w:w w:val="100"/>
          <w:position w:val="0"/>
        </w:rPr>
        <w:t>、数字技术驱动的金融科技产品与解决方案稳定增长</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报告期内，公司从“五大解决方案</w:t>
      </w:r>
      <w:r>
        <w:rPr>
          <w:rFonts w:ascii="Times New Roman" w:eastAsia="Times New Roman" w:hAnsi="Times New Roman" w:cs="Times New Roman"/>
          <w:color w:val="000000"/>
          <w:spacing w:val="0"/>
          <w:w w:val="100"/>
          <w:position w:val="0"/>
        </w:rPr>
        <w:t>+</w:t>
      </w:r>
      <w:r>
        <w:rPr>
          <w:color w:val="000000"/>
          <w:spacing w:val="0"/>
          <w:w w:val="100"/>
          <w:position w:val="0"/>
        </w:rPr>
        <w:t>咨询服务”扩充为“七大解决方案</w:t>
      </w:r>
      <w:r>
        <w:rPr>
          <w:rFonts w:ascii="Times New Roman" w:eastAsia="Times New Roman" w:hAnsi="Times New Roman" w:cs="Times New Roman"/>
          <w:color w:val="000000"/>
          <w:spacing w:val="0"/>
          <w:w w:val="100"/>
          <w:position w:val="0"/>
        </w:rPr>
        <w:t>+</w:t>
      </w:r>
      <w:r>
        <w:rPr>
          <w:color w:val="000000"/>
          <w:spacing w:val="0"/>
          <w:w w:val="100"/>
          <w:position w:val="0"/>
        </w:rPr>
        <w:t>咨询服务”，巩固支柱解决方案市场领先地位的 同时，加快新型解决方案的快速落地。其中，分布式核心业务系统发力大行和海外市场，企业级微服务平台及</w:t>
      </w:r>
      <w:r>
        <w:rPr>
          <w:rFonts w:ascii="Times New Roman" w:eastAsia="Times New Roman" w:hAnsi="Times New Roman" w:cs="Times New Roman"/>
          <w:color w:val="000000"/>
          <w:spacing w:val="0"/>
          <w:w w:val="100"/>
          <w:position w:val="0"/>
        </w:rPr>
        <w:t>ESB</w:t>
      </w:r>
      <w:r>
        <w:rPr>
          <w:color w:val="000000"/>
          <w:spacing w:val="0"/>
          <w:w w:val="100"/>
          <w:position w:val="0"/>
        </w:rPr>
        <w:t>解决方 案保持市场绝对领先，以数字钱包为代表的解决方案在大行完成落地，并购云核网络完善金融前端及移动端解决方案。公司 运用大数据、自然语言处理、机器学习、远程视频交互、区块链等创新技术，一方面有效赋能现有解决方案，并在风控、反 欺诈、大零售等业务领域进行研究和创新，全面强化服务金融机构的能力；另一方面，推动区块链平台等新产品落地应用及 推广，并取得了较好成绩。</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报告期内，公司持续迭代分布式应用平台，并基于“分布式</w:t>
      </w:r>
      <w:r>
        <w:rPr>
          <w:rFonts w:ascii="Times New Roman" w:eastAsia="Times New Roman" w:hAnsi="Times New Roman" w:cs="Times New Roman"/>
          <w:color w:val="000000"/>
          <w:spacing w:val="0"/>
          <w:w w:val="100"/>
          <w:position w:val="0"/>
        </w:rPr>
        <w:t>+</w:t>
      </w:r>
      <w:r>
        <w:rPr>
          <w:color w:val="000000"/>
          <w:spacing w:val="0"/>
          <w:w w:val="100"/>
          <w:position w:val="0"/>
        </w:rPr>
        <w:t>微服务</w:t>
      </w:r>
      <w:r>
        <w:rPr>
          <w:rFonts w:ascii="Times New Roman" w:eastAsia="Times New Roman" w:hAnsi="Times New Roman" w:cs="Times New Roman"/>
          <w:color w:val="000000"/>
          <w:spacing w:val="0"/>
          <w:w w:val="100"/>
          <w:position w:val="0"/>
        </w:rPr>
        <w:t>+</w:t>
      </w:r>
      <w:r>
        <w:rPr>
          <w:color w:val="000000"/>
          <w:spacing w:val="0"/>
          <w:w w:val="100"/>
          <w:position w:val="0"/>
        </w:rPr>
        <w:t>云原生”的理念，对银行核心业务系统进行全面 升级，通过微服务化产品模块，实现了核心业务系统功能灵活组装，与国产主流分布式数据库全部实现适配，充分满足银行 信创的需求。</w:t>
      </w:r>
      <w:r>
        <w:rPr>
          <w:rFonts w:ascii="Times New Roman" w:eastAsia="Times New Roman" w:hAnsi="Times New Roman" w:cs="Times New Roman"/>
          <w:color w:val="000000"/>
          <w:spacing w:val="0"/>
          <w:w w:val="100"/>
          <w:position w:val="0"/>
        </w:rPr>
        <w:t>2020</w:t>
      </w:r>
      <w:r>
        <w:rPr>
          <w:color w:val="000000"/>
          <w:spacing w:val="0"/>
          <w:w w:val="100"/>
          <w:position w:val="0"/>
        </w:rPr>
        <w:t>年，分布式应用平台、分布式核心业务系统中标、签约中国银行、唐山银行、常熟银行、天津银行、秦 皇岛银行、厦门国际银行、广东农信、广州农商、摩根士丹利银行、长安汽车金融等</w:t>
      </w:r>
      <w:r>
        <w:rPr>
          <w:rFonts w:ascii="Times New Roman" w:eastAsia="Times New Roman" w:hAnsi="Times New Roman" w:cs="Times New Roman"/>
          <w:color w:val="000000"/>
          <w:spacing w:val="0"/>
          <w:w w:val="100"/>
          <w:position w:val="0"/>
        </w:rPr>
        <w:t>15</w:t>
      </w:r>
      <w:r>
        <w:rPr>
          <w:color w:val="000000"/>
          <w:spacing w:val="0"/>
          <w:w w:val="100"/>
          <w:position w:val="0"/>
        </w:rPr>
        <w:t>家客户。承接中国银行分布式技术 中台建设及技术组件总架构设计，制定相关技术标准及规范，为中行全面探索核心系统主机下移打下坚实基础。在邮储银行 新一代核心系统建设中，承担产品装配及差异化定价的设计及开发工作，产品装配及差异化定价是新核心建设中最重要的两 个业务支点，决定了全行金融产品的创新速度以及对业务发展的支撑能力。同时，实施完成邮储银行信用卡综合前置系统的 建设，在国内率先完成国有大行信用卡双核心并行支持工作。在某海外银行的分布式核心项目中，突破了交付内容多、技术 难点多、交付周期短等多项挑战，成功实现首次海外敏捷交付，助力“一带一路”沿线国家金融数字化转型。</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传统系统架构难以满足金融机构海量、高并发、敏捷响应等新业务需求，转型升级迫在眉睫。公司企业级微服务平台 </w:t>
      </w:r>
      <w:r>
        <w:rPr>
          <w:color w:val="000000"/>
          <w:spacing w:val="0"/>
          <w:w w:val="100"/>
          <w:position w:val="0"/>
        </w:rPr>
        <w:t xml:space="preserve">能够提供完善的服务拆分方法和业务参考模型，将单体系统拆分为多个松耦合、功能单一、相互协同的轻量化系统，降低 </w:t>
      </w:r>
      <w:r>
        <w:rPr>
          <w:rFonts w:ascii="Times New Roman" w:eastAsia="Times New Roman" w:hAnsi="Times New Roman" w:cs="Times New Roman"/>
          <w:color w:val="000000"/>
          <w:spacing w:val="0"/>
          <w:w w:val="100"/>
          <w:position w:val="0"/>
        </w:rPr>
        <w:t>IT</w:t>
      </w:r>
      <w:r>
        <w:rPr>
          <w:color w:val="000000"/>
          <w:spacing w:val="0"/>
          <w:w w:val="100"/>
          <w:position w:val="0"/>
        </w:rPr>
        <w:t>维护成本，提升业务敏捷度和业务弹性。能够帮助金融机构解决异构系统对接问题，满足多数据中心、混合云环境的应 用部署和管理，最终实现业务整体上云，助力大中台战略建设。企业级微服务平台获</w:t>
      </w:r>
      <w:r>
        <w:rPr>
          <w:rFonts w:ascii="Times New Roman" w:eastAsia="Times New Roman" w:hAnsi="Times New Roman" w:cs="Times New Roman"/>
          <w:color w:val="000000"/>
          <w:spacing w:val="0"/>
          <w:w w:val="100"/>
          <w:position w:val="0"/>
        </w:rPr>
        <w:t>2020</w:t>
      </w:r>
      <w:r>
        <w:rPr>
          <w:color w:val="000000"/>
          <w:spacing w:val="0"/>
          <w:w w:val="100"/>
          <w:position w:val="0"/>
        </w:rPr>
        <w:t>年中国银行业金融科技应用成果 大赛最佳解决方案。报告期内，中标、签约贵州银行、唐山银行、宁波银行、华兴银行等</w:t>
      </w:r>
      <w:r>
        <w:rPr>
          <w:rFonts w:ascii="Times New Roman" w:eastAsia="Times New Roman" w:hAnsi="Times New Roman" w:cs="Times New Roman"/>
          <w:color w:val="000000"/>
          <w:spacing w:val="0"/>
          <w:w w:val="100"/>
          <w:position w:val="0"/>
        </w:rPr>
        <w:t>10</w:t>
      </w:r>
      <w:r>
        <w:rPr>
          <w:color w:val="000000"/>
          <w:spacing w:val="0"/>
          <w:w w:val="100"/>
          <w:position w:val="0"/>
        </w:rPr>
        <w:t>余家银行。承建的广发银行微 服务平台获</w:t>
      </w:r>
      <w:r>
        <w:rPr>
          <w:rFonts w:ascii="Times New Roman" w:eastAsia="Times New Roman" w:hAnsi="Times New Roman" w:cs="Times New Roman"/>
          <w:color w:val="000000"/>
          <w:spacing w:val="0"/>
          <w:w w:val="100"/>
          <w:position w:val="0"/>
        </w:rPr>
        <w:t xml:space="preserve">IDC </w:t>
      </w:r>
      <w:r>
        <w:rPr>
          <w:rFonts w:ascii="Times New Roman" w:eastAsia="Times New Roman" w:hAnsi="Times New Roman" w:cs="Times New Roman"/>
          <w:color w:val="000000"/>
          <w:spacing w:val="0"/>
          <w:w w:val="100"/>
          <w:position w:val="0"/>
        </w:rPr>
        <w:t>2020</w:t>
      </w:r>
      <w:r>
        <w:rPr>
          <w:color w:val="000000"/>
          <w:spacing w:val="0"/>
          <w:w w:val="100"/>
          <w:position w:val="0"/>
        </w:rPr>
        <w:t>年度中国金融行业技术应用场景创新奖。</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随着金融科技的快速兴起，科技从支持、支撑，到驱动、引领，科技甚至开始改变金融服务形式，银行业乃至整个金 融业正在发生深刻的变革。在此背景下，“开放、合作”成为银行业应对各类挑战的重要措施，构建开放银行，也成为越来 越多银行的选择。公司以“三大平台（互金</w:t>
      </w:r>
      <w:r>
        <w:rPr>
          <w:rFonts w:ascii="Times New Roman" w:eastAsia="Times New Roman" w:hAnsi="Times New Roman" w:cs="Times New Roman"/>
          <w:color w:val="000000"/>
          <w:spacing w:val="0"/>
          <w:w w:val="100"/>
          <w:position w:val="0"/>
        </w:rPr>
        <w:t>+</w:t>
      </w:r>
      <w:r>
        <w:rPr>
          <w:color w:val="000000"/>
          <w:spacing w:val="0"/>
          <w:w w:val="100"/>
          <w:position w:val="0"/>
        </w:rPr>
        <w:t>互开</w:t>
      </w:r>
      <w:r>
        <w:rPr>
          <w:rFonts w:ascii="Times New Roman" w:eastAsia="Times New Roman" w:hAnsi="Times New Roman" w:cs="Times New Roman"/>
          <w:color w:val="000000"/>
          <w:spacing w:val="0"/>
          <w:w w:val="100"/>
          <w:position w:val="0"/>
        </w:rPr>
        <w:t>+</w:t>
      </w:r>
      <w:r>
        <w:rPr>
          <w:color w:val="000000"/>
          <w:spacing w:val="0"/>
          <w:w w:val="100"/>
          <w:position w:val="0"/>
        </w:rPr>
        <w:t>分布式应用平台）</w:t>
      </w:r>
      <w:r>
        <w:rPr>
          <w:rFonts w:ascii="Times New Roman" w:eastAsia="Times New Roman" w:hAnsi="Times New Roman" w:cs="Times New Roman"/>
          <w:color w:val="000000"/>
          <w:spacing w:val="0"/>
          <w:w w:val="100"/>
          <w:position w:val="0"/>
        </w:rPr>
        <w:t>+</w:t>
      </w:r>
      <w:r>
        <w:rPr>
          <w:color w:val="000000"/>
          <w:spacing w:val="0"/>
          <w:w w:val="100"/>
          <w:position w:val="0"/>
        </w:rPr>
        <w:t>两大能力（场景引入</w:t>
      </w:r>
      <w:r>
        <w:rPr>
          <w:rFonts w:ascii="Times New Roman" w:eastAsia="Times New Roman" w:hAnsi="Times New Roman" w:cs="Times New Roman"/>
          <w:color w:val="000000"/>
          <w:spacing w:val="0"/>
          <w:w w:val="100"/>
          <w:position w:val="0"/>
        </w:rPr>
        <w:t>+</w:t>
      </w:r>
      <w:r>
        <w:rPr>
          <w:color w:val="000000"/>
          <w:spacing w:val="0"/>
          <w:w w:val="100"/>
          <w:position w:val="0"/>
        </w:rPr>
        <w:t>客户运营）</w:t>
      </w:r>
      <w:r>
        <w:rPr>
          <w:rFonts w:ascii="Times New Roman" w:eastAsia="Times New Roman" w:hAnsi="Times New Roman" w:cs="Times New Roman"/>
          <w:color w:val="000000"/>
          <w:spacing w:val="0"/>
          <w:w w:val="100"/>
          <w:position w:val="0"/>
        </w:rPr>
        <w:t>+</w:t>
      </w:r>
      <w:r>
        <w:rPr>
          <w:color w:val="000000"/>
          <w:spacing w:val="0"/>
          <w:w w:val="100"/>
          <w:position w:val="0"/>
        </w:rPr>
        <w:t>数千种金融输出场 景”构建了成熟的开放银行建设体系，是市场上金融行业构建开放金融生态体系的首选厂商之一。报告期内，新增广州农商、 广东农信、北京银行等</w:t>
      </w:r>
      <w:r>
        <w:rPr>
          <w:rFonts w:ascii="Times New Roman" w:eastAsia="Times New Roman" w:hAnsi="Times New Roman" w:cs="Times New Roman"/>
          <w:color w:val="000000"/>
          <w:spacing w:val="0"/>
          <w:w w:val="100"/>
          <w:position w:val="0"/>
        </w:rPr>
        <w:t>20</w:t>
      </w:r>
      <w:r>
        <w:rPr>
          <w:color w:val="000000"/>
          <w:spacing w:val="0"/>
          <w:w w:val="100"/>
          <w:position w:val="0"/>
        </w:rPr>
        <w:t>余家客户，累计帮助</w:t>
      </w:r>
      <w:r>
        <w:rPr>
          <w:rFonts w:ascii="Times New Roman" w:eastAsia="Times New Roman" w:hAnsi="Times New Roman" w:cs="Times New Roman"/>
          <w:color w:val="000000"/>
          <w:spacing w:val="0"/>
          <w:w w:val="100"/>
          <w:position w:val="0"/>
        </w:rPr>
        <w:t>80+</w:t>
      </w:r>
      <w:r>
        <w:rPr>
          <w:color w:val="000000"/>
          <w:spacing w:val="0"/>
          <w:w w:val="100"/>
          <w:position w:val="0"/>
        </w:rPr>
        <w:t>客户构建开放银行，覆盖国有大行、股份制、城商行及省级农信等各类 商业银行。</w:t>
      </w:r>
    </w:p>
    <w:p>
      <w:pPr>
        <w:pStyle w:val="Style37"/>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全面提升大数据、人工智能、区块链等金融科技关键技术能力，并利用科技创新成果优化金融产品、经营模式和业务 流程，助力业务部门创造价值，是现阶段金融机构的重要任务。大数据领域，公司形成了从数据计算、数据整合到数据赋能 三个层次的产品体系，发布了数据治理及管控平台、数据智能服务平台、数据建模平台、数据资产管理平台等系列新品，帮 助金融机构提升数据应用水平。其中，在数据建模平台领域，开创了同类产品国产化先河。</w:t>
      </w:r>
      <w:r>
        <w:rPr>
          <w:rFonts w:ascii="Times New Roman" w:eastAsia="Times New Roman" w:hAnsi="Times New Roman" w:cs="Times New Roman"/>
          <w:color w:val="000000"/>
          <w:spacing w:val="0"/>
          <w:w w:val="100"/>
          <w:position w:val="0"/>
        </w:rPr>
        <w:t>2020</w:t>
      </w:r>
      <w:r>
        <w:rPr>
          <w:color w:val="000000"/>
          <w:spacing w:val="0"/>
          <w:w w:val="100"/>
          <w:position w:val="0"/>
        </w:rPr>
        <w:t>年树立了包括兴业银行、 光大银行、中国农业发展银行、广州银行、天津银行、南京银行等在内的</w:t>
      </w:r>
      <w:r>
        <w:rPr>
          <w:rFonts w:ascii="Times New Roman" w:eastAsia="Times New Roman" w:hAnsi="Times New Roman" w:cs="Times New Roman"/>
          <w:color w:val="000000"/>
          <w:spacing w:val="0"/>
          <w:w w:val="100"/>
          <w:position w:val="0"/>
        </w:rPr>
        <w:t>20</w:t>
      </w:r>
      <w:r>
        <w:rPr>
          <w:color w:val="000000"/>
          <w:spacing w:val="0"/>
          <w:w w:val="100"/>
          <w:position w:val="0"/>
        </w:rPr>
        <w:t>余家标杆案例。人工智能领域，公司形成了知 识图谱与图算法、</w:t>
      </w:r>
      <w:r>
        <w:rPr>
          <w:rFonts w:ascii="Times New Roman" w:eastAsia="Times New Roman" w:hAnsi="Times New Roman" w:cs="Times New Roman"/>
          <w:color w:val="000000"/>
          <w:spacing w:val="0"/>
          <w:w w:val="100"/>
          <w:position w:val="0"/>
        </w:rPr>
        <w:t>AI</w:t>
      </w:r>
      <w:r>
        <w:rPr>
          <w:color w:val="000000"/>
          <w:spacing w:val="0"/>
          <w:w w:val="100"/>
          <w:position w:val="0"/>
        </w:rPr>
        <w:t>算法平台、人机交互多模态三大类产品体系，发布了智能头寸管理平台、金融视频营业厅、容器云平 台</w:t>
      </w:r>
      <w:r>
        <w:rPr>
          <w:rFonts w:ascii="Times New Roman" w:eastAsia="Times New Roman" w:hAnsi="Times New Roman" w:cs="Times New Roman"/>
          <w:color w:val="000000"/>
          <w:spacing w:val="0"/>
          <w:w w:val="100"/>
          <w:position w:val="0"/>
        </w:rPr>
        <w:t>-</w:t>
      </w:r>
      <w:r>
        <w:rPr>
          <w:color w:val="000000"/>
          <w:spacing w:val="0"/>
          <w:w w:val="100"/>
          <w:position w:val="0"/>
        </w:rPr>
        <w:t>神州云鼎、基于</w:t>
      </w:r>
      <w:r>
        <w:rPr>
          <w:rFonts w:ascii="Times New Roman" w:eastAsia="Times New Roman" w:hAnsi="Times New Roman" w:cs="Times New Roman"/>
          <w:color w:val="000000"/>
          <w:spacing w:val="0"/>
          <w:w w:val="100"/>
          <w:position w:val="0"/>
        </w:rPr>
        <w:t>AI</w:t>
      </w:r>
      <w:r>
        <w:rPr>
          <w:color w:val="000000"/>
          <w:spacing w:val="0"/>
          <w:w w:val="100"/>
          <w:position w:val="0"/>
        </w:rPr>
        <w:t>引擎的自动化测试平台等新产品，逐步形成了具有市场竞争力的</w:t>
      </w:r>
      <w:r>
        <w:rPr>
          <w:rFonts w:ascii="Times New Roman" w:eastAsia="Times New Roman" w:hAnsi="Times New Roman" w:cs="Times New Roman"/>
          <w:color w:val="000000"/>
          <w:spacing w:val="0"/>
          <w:w w:val="100"/>
          <w:position w:val="0"/>
        </w:rPr>
        <w:t>AI</w:t>
      </w:r>
      <w:r>
        <w:rPr>
          <w:color w:val="000000"/>
          <w:spacing w:val="0"/>
          <w:w w:val="100"/>
          <w:position w:val="0"/>
        </w:rPr>
        <w:t>相关拳头产品体系，在苏州银行、 天津银行、浦发硅谷、晋商银行、青海银行、泉州银行、长安银行等十余家金融机构落地推广。</w:t>
      </w:r>
    </w:p>
    <w:p>
      <w:pPr>
        <w:pStyle w:val="Style37"/>
        <w:keepNext w:val="0"/>
        <w:keepLines w:val="0"/>
        <w:widowControl w:val="0"/>
        <w:shd w:val="clear" w:color="auto" w:fill="auto"/>
        <w:tabs>
          <w:tab w:pos="734" w:val="left"/>
        </w:tabs>
        <w:bidi w:val="0"/>
        <w:spacing w:before="0" w:after="0"/>
        <w:ind w:left="0" w:right="0" w:firstLine="440"/>
        <w:jc w:val="both"/>
      </w:pPr>
      <w:bookmarkStart w:id="117" w:name="bookmark117"/>
      <w:r>
        <w:rPr>
          <w:rFonts w:ascii="Times New Roman" w:eastAsia="Times New Roman" w:hAnsi="Times New Roman" w:cs="Times New Roman"/>
          <w:b/>
          <w:bCs/>
          <w:color w:val="000000"/>
          <w:spacing w:val="0"/>
          <w:w w:val="100"/>
          <w:position w:val="0"/>
        </w:rPr>
        <w:t>2</w:t>
      </w:r>
      <w:bookmarkEnd w:id="117"/>
      <w:r>
        <w:rPr>
          <w:b/>
          <w:bCs/>
          <w:color w:val="000000"/>
          <w:spacing w:val="0"/>
          <w:w w:val="100"/>
          <w:position w:val="0"/>
        </w:rPr>
        <w:t>、</w:t>
        <w:tab/>
        <w:t>金融行业信息技术应用创新抢占先机</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国家金融基础设施安全和经济安全是当前金融机构面临的挑战，试点金融机构开展产品适配和选型工作已经提上日程。 在党政信创的实践基础上，从芯片、整机、操作系统、数据库、中间件到云计算平台，产品的性能和稳定性逐步提高，已经 可以满足国内金融机构信创需求，而部分大型金融机构瞄准核心业务系统的改造和下移，并成功落地，极大激发了行业信心。</w:t>
      </w:r>
    </w:p>
    <w:p>
      <w:pPr>
        <w:pStyle w:val="Style37"/>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金融信创是公司金融科技战略的重要组成部分，</w:t>
      </w:r>
      <w:r>
        <w:rPr>
          <w:rFonts w:ascii="Times New Roman" w:eastAsia="Times New Roman" w:hAnsi="Times New Roman" w:cs="Times New Roman"/>
          <w:color w:val="000000"/>
          <w:spacing w:val="0"/>
          <w:w w:val="100"/>
          <w:position w:val="0"/>
        </w:rPr>
        <w:t>2020</w:t>
      </w:r>
      <w:r>
        <w:rPr>
          <w:color w:val="000000"/>
          <w:spacing w:val="0"/>
          <w:w w:val="100"/>
          <w:position w:val="0"/>
        </w:rPr>
        <w:t>年陆续中标某国有大行、某政策性银行、多家股份制银行、多家 头部城商行等客户的信创基础建设或信创软件项目。目前公司在金融科技领域具备完整的信创产业链，针对主机下移、数仓 建设、核心业务系统信创适配、一般应用系统信创实施，积累了丰富的信创规划咨询、技术选型、基础设施建设等经验。同 时，依托公司在私有云、云灾备、数据中心等领域系统规划与建设的能力，为工商银行、建设银行、农业银行、邮储银行、 中国银行、渤海银行、光大银行、华夏银行、民生银行、平安银行、兴业银行等实施了包括大数据集群、私有云等基础设施 建设工作。</w:t>
      </w:r>
    </w:p>
    <w:p>
      <w:pPr>
        <w:pStyle w:val="Style37"/>
        <w:keepNext w:val="0"/>
        <w:keepLines w:val="0"/>
        <w:widowControl w:val="0"/>
        <w:shd w:val="clear" w:color="auto" w:fill="auto"/>
        <w:tabs>
          <w:tab w:pos="734" w:val="left"/>
        </w:tabs>
        <w:bidi w:val="0"/>
        <w:spacing w:before="0" w:after="220"/>
        <w:ind w:left="0" w:right="0" w:firstLine="440"/>
        <w:jc w:val="both"/>
      </w:pPr>
      <w:bookmarkStart w:id="118" w:name="bookmark118"/>
      <w:r>
        <w:rPr>
          <w:rFonts w:ascii="Times New Roman" w:eastAsia="Times New Roman" w:hAnsi="Times New Roman" w:cs="Times New Roman"/>
          <w:b/>
          <w:bCs/>
          <w:color w:val="000000"/>
          <w:spacing w:val="0"/>
          <w:w w:val="100"/>
          <w:position w:val="0"/>
        </w:rPr>
        <w:t>3</w:t>
      </w:r>
      <w:bookmarkEnd w:id="118"/>
      <w:r>
        <w:rPr>
          <w:b/>
          <w:bCs/>
          <w:color w:val="000000"/>
          <w:spacing w:val="0"/>
          <w:w w:val="100"/>
          <w:position w:val="0"/>
        </w:rPr>
        <w:t>、</w:t>
        <w:tab/>
        <w:t>金融科技场景业务快速增长</w:t>
      </w:r>
    </w:p>
    <w:p>
      <w:pPr>
        <w:pStyle w:val="Style37"/>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b/>
          <w:bCs/>
          <w:color w:val="000000"/>
          <w:spacing w:val="0"/>
          <w:w w:val="100"/>
          <w:position w:val="0"/>
        </w:rPr>
        <w:t>3.1</w:t>
      </w:r>
      <w:r>
        <w:rPr>
          <w:b/>
          <w:bCs/>
          <w:color w:val="000000"/>
          <w:spacing w:val="0"/>
          <w:w w:val="100"/>
          <w:position w:val="0"/>
        </w:rPr>
        <w:t>农村金融场景</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我国农村征信体系薄弱，金融基础设施匮乏，融资难、融资贵，导致金融资本难以介入农业生产过程，是三农和扶贫 的重要痛点之一。基于政策导向和业务扩张的双重需求，银行逐步加大在农业农村领域的拓展力度，亟需找到联通的关键点。 公司在参与农村数字化建设过程中，发掘并找到了解决这一难点的实现路径，</w:t>
      </w:r>
      <w:r>
        <w:rPr>
          <w:rFonts w:ascii="Times New Roman" w:eastAsia="Times New Roman" w:hAnsi="Times New Roman" w:cs="Times New Roman"/>
          <w:color w:val="000000"/>
          <w:spacing w:val="0"/>
          <w:w w:val="100"/>
          <w:position w:val="0"/>
        </w:rPr>
        <w:t>2019</w:t>
      </w:r>
      <w:r>
        <w:rPr>
          <w:color w:val="000000"/>
          <w:spacing w:val="0"/>
          <w:w w:val="100"/>
          <w:position w:val="0"/>
        </w:rPr>
        <w:t>年适时推出适用于农村场景的集体资金 非现金结算系统“银农直连”平台，帮助银行建设农业农村金融账户、交易结算和信贷生态，打造农村金融产品体系，帮助 金融机构跨出了金融服务下沉乡村基层的第一步。</w:t>
      </w:r>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银农业务在</w:t>
      </w:r>
      <w:r>
        <w:rPr>
          <w:rFonts w:ascii="Times New Roman" w:eastAsia="Times New Roman" w:hAnsi="Times New Roman" w:cs="Times New Roman"/>
          <w:color w:val="000000"/>
          <w:spacing w:val="0"/>
          <w:w w:val="100"/>
          <w:position w:val="0"/>
        </w:rPr>
        <w:t>2020</w:t>
      </w:r>
      <w:r>
        <w:rPr>
          <w:color w:val="000000"/>
          <w:spacing w:val="0"/>
          <w:w w:val="100"/>
          <w:position w:val="0"/>
        </w:rPr>
        <w:t>年实现了跨越式增长，年度签约总额</w:t>
      </w:r>
      <w:r>
        <w:rPr>
          <w:rFonts w:ascii="Times New Roman" w:eastAsia="Times New Roman" w:hAnsi="Times New Roman" w:cs="Times New Roman"/>
          <w:color w:val="000000"/>
          <w:spacing w:val="0"/>
          <w:w w:val="100"/>
          <w:position w:val="0"/>
        </w:rPr>
        <w:t>1.93</w:t>
      </w:r>
      <w:r>
        <w:rPr>
          <w:color w:val="000000"/>
          <w:spacing w:val="0"/>
          <w:w w:val="100"/>
          <w:position w:val="0"/>
        </w:rPr>
        <w:t>亿，同比增长高达</w:t>
      </w:r>
      <w:r>
        <w:rPr>
          <w:rFonts w:ascii="Times New Roman" w:eastAsia="Times New Roman" w:hAnsi="Times New Roman" w:cs="Times New Roman"/>
          <w:color w:val="000000"/>
          <w:spacing w:val="0"/>
          <w:w w:val="100"/>
          <w:position w:val="0"/>
        </w:rPr>
        <w:t>837%</w:t>
      </w:r>
      <w:r>
        <w:rPr>
          <w:color w:val="000000"/>
          <w:spacing w:val="0"/>
          <w:w w:val="100"/>
          <w:position w:val="0"/>
        </w:rPr>
        <w:t>。公司以银农直连产品为核心，增 加农经综合平台、三资监管平台和农村产权交易服务平台等金融服务场景模块，实现了面向各省、市、区、县多层次的快速 推广和覆盖，助力金融服务下沉农村基层。报告期内，帮助建设银行、农业银行、中国银行、邮政储蓄银行、地方农商</w:t>
      </w:r>
      <w:r>
        <w:rPr>
          <w:rFonts w:ascii="Times New Roman" w:eastAsia="Times New Roman" w:hAnsi="Times New Roman" w:cs="Times New Roman"/>
          <w:color w:val="000000"/>
          <w:spacing w:val="0"/>
          <w:w w:val="100"/>
          <w:position w:val="0"/>
        </w:rPr>
        <w:t>/</w:t>
      </w:r>
      <w:r>
        <w:rPr>
          <w:color w:val="000000"/>
          <w:spacing w:val="0"/>
          <w:w w:val="100"/>
          <w:position w:val="0"/>
        </w:rPr>
        <w:t>农 信行等数十家银行搭建“银农直连”平台，签约覆盖</w:t>
      </w:r>
      <w:r>
        <w:rPr>
          <w:rFonts w:ascii="Times New Roman" w:eastAsia="Times New Roman" w:hAnsi="Times New Roman" w:cs="Times New Roman"/>
          <w:color w:val="000000"/>
          <w:spacing w:val="0"/>
          <w:w w:val="100"/>
          <w:position w:val="0"/>
        </w:rPr>
        <w:t>21</w:t>
      </w:r>
      <w:r>
        <w:rPr>
          <w:color w:val="000000"/>
          <w:spacing w:val="0"/>
          <w:w w:val="100"/>
          <w:position w:val="0"/>
        </w:rPr>
        <w:t>个省市，</w:t>
      </w:r>
      <w:r>
        <w:rPr>
          <w:rFonts w:ascii="Times New Roman" w:eastAsia="Times New Roman" w:hAnsi="Times New Roman" w:cs="Times New Roman"/>
          <w:color w:val="000000"/>
          <w:spacing w:val="0"/>
          <w:w w:val="100"/>
          <w:position w:val="0"/>
        </w:rPr>
        <w:t>300</w:t>
      </w:r>
      <w:r>
        <w:rPr>
          <w:color w:val="000000"/>
          <w:spacing w:val="0"/>
          <w:w w:val="100"/>
          <w:position w:val="0"/>
        </w:rPr>
        <w:t>个区县。帮助中国银行搭建的“中银</w:t>
      </w:r>
      <w:r>
        <w:rPr>
          <w:rFonts w:ascii="Times New Roman" w:eastAsia="Times New Roman" w:hAnsi="Times New Roman" w:cs="Times New Roman"/>
          <w:color w:val="000000"/>
          <w:spacing w:val="0"/>
          <w:w w:val="100"/>
          <w:position w:val="0"/>
        </w:rPr>
        <w:t>E</w:t>
      </w:r>
      <w:r>
        <w:rPr>
          <w:color w:val="000000"/>
          <w:spacing w:val="0"/>
          <w:w w:val="100"/>
          <w:position w:val="0"/>
        </w:rPr>
        <w:t>农通”平台， 以金融科技优化乡村治理机制，一个平台、全景监督，营造阳光的乡村治理氛围，已实现行内全面推广。</w:t>
      </w:r>
    </w:p>
    <w:p>
      <w:pPr>
        <w:pStyle w:val="Style37"/>
        <w:keepNext w:val="0"/>
        <w:keepLines w:val="0"/>
        <w:widowControl w:val="0"/>
        <w:shd w:val="clear" w:color="auto" w:fill="auto"/>
        <w:bidi w:val="0"/>
        <w:spacing w:before="0" w:line="314" w:lineRule="exact"/>
        <w:ind w:left="0" w:right="0" w:firstLine="440"/>
        <w:jc w:val="left"/>
      </w:pPr>
      <w:r>
        <w:rPr>
          <w:rFonts w:ascii="Times New Roman" w:eastAsia="Times New Roman" w:hAnsi="Times New Roman" w:cs="Times New Roman"/>
          <w:b/>
          <w:bCs/>
          <w:color w:val="000000"/>
          <w:spacing w:val="0"/>
          <w:w w:val="100"/>
          <w:position w:val="0"/>
        </w:rPr>
        <w:t>3.2</w:t>
      </w:r>
      <w:r>
        <w:rPr>
          <w:b/>
          <w:bCs/>
          <w:color w:val="000000"/>
          <w:spacing w:val="0"/>
          <w:w w:val="100"/>
          <w:position w:val="0"/>
        </w:rPr>
        <w:t>中小微企业金融场景</w:t>
      </w:r>
    </w:p>
    <w:p>
      <w:pPr>
        <w:pStyle w:val="Style3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中小微企业是中国市场经济发展的重要贡献者，在当前经济下行与疫情冲击的双重压力下，金融监管部门和财税部门 出台了一系列中小微企业扶持政策，缓解中小微企业融资难、融资贵问题。基于对税务数据的深度挖掘实现获客与风控，成 为金融机构解决中小微金融服务缺失问题的重要抓手。</w:t>
      </w:r>
    </w:p>
    <w:p>
      <w:pPr>
        <w:pStyle w:val="Style37"/>
        <w:keepNext w:val="0"/>
        <w:keepLines w:val="0"/>
        <w:widowControl w:val="0"/>
        <w:shd w:val="clear" w:color="auto" w:fill="auto"/>
        <w:bidi w:val="0"/>
        <w:spacing w:before="0" w:line="31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年，公司税银平台对接了 </w:t>
      </w:r>
      <w:r>
        <w:rPr>
          <w:rFonts w:ascii="Times New Roman" w:eastAsia="Times New Roman" w:hAnsi="Times New Roman" w:cs="Times New Roman"/>
          <w:color w:val="000000"/>
          <w:spacing w:val="0"/>
          <w:w w:val="100"/>
          <w:position w:val="0"/>
        </w:rPr>
        <w:t>8</w:t>
      </w:r>
      <w:r>
        <w:rPr>
          <w:color w:val="000000"/>
          <w:spacing w:val="0"/>
          <w:w w:val="100"/>
          <w:position w:val="0"/>
        </w:rPr>
        <w:t>个省、直辖市，</w:t>
      </w:r>
      <w:r>
        <w:rPr>
          <w:rFonts w:ascii="Times New Roman" w:eastAsia="Times New Roman" w:hAnsi="Times New Roman" w:cs="Times New Roman"/>
          <w:color w:val="000000"/>
          <w:spacing w:val="0"/>
          <w:w w:val="100"/>
          <w:position w:val="0"/>
        </w:rPr>
        <w:t>100</w:t>
      </w:r>
      <w:r>
        <w:rPr>
          <w:color w:val="000000"/>
          <w:spacing w:val="0"/>
          <w:w w:val="100"/>
          <w:position w:val="0"/>
        </w:rPr>
        <w:t>多家银行及金融机构，为银行与税务局搭建了合作纽带。基于税 银互动开放的税务字段信息，自主加工完成业内独家可输出的</w:t>
      </w:r>
      <w:r>
        <w:rPr>
          <w:rFonts w:ascii="Times New Roman" w:eastAsia="Times New Roman" w:hAnsi="Times New Roman" w:cs="Times New Roman"/>
          <w:color w:val="000000"/>
          <w:spacing w:val="0"/>
          <w:w w:val="100"/>
          <w:position w:val="0"/>
        </w:rPr>
        <w:t>3200+</w:t>
      </w:r>
      <w:r>
        <w:rPr>
          <w:color w:val="000000"/>
          <w:spacing w:val="0"/>
          <w:w w:val="100"/>
          <w:position w:val="0"/>
        </w:rPr>
        <w:t>全量税务数据指标，拓宽了金融机构对客户的信用评价 体系，对银行风控起到有效支撑，该指标体系目前已得到多家银行的认可并实施上线。同时，公司为金融机构打造的以税务 数据为核心的</w:t>
      </w:r>
      <w:r>
        <w:rPr>
          <w:rFonts w:ascii="Times New Roman" w:eastAsia="Times New Roman" w:hAnsi="Times New Roman" w:cs="Times New Roman"/>
          <w:color w:val="000000"/>
          <w:spacing w:val="0"/>
          <w:w w:val="100"/>
          <w:position w:val="0"/>
        </w:rPr>
        <w:t>B</w:t>
      </w:r>
      <w:r>
        <w:rPr>
          <w:color w:val="000000"/>
          <w:spacing w:val="0"/>
          <w:w w:val="100"/>
          <w:position w:val="0"/>
        </w:rPr>
        <w:t>端信贷产品解决方案，帮助银行覆盖了小规模纳税人和一般纳税人客户群体。帮助工商银行深圳分行部署 上线的税</w:t>
      </w:r>
      <w:r>
        <w:rPr>
          <w:rFonts w:ascii="Times New Roman" w:eastAsia="Times New Roman" w:hAnsi="Times New Roman" w:cs="Times New Roman"/>
          <w:color w:val="000000"/>
          <w:spacing w:val="0"/>
          <w:w w:val="100"/>
          <w:position w:val="0"/>
        </w:rPr>
        <w:t>e</w:t>
      </w:r>
      <w:r>
        <w:rPr>
          <w:color w:val="000000"/>
          <w:spacing w:val="0"/>
          <w:w w:val="100"/>
          <w:position w:val="0"/>
        </w:rPr>
        <w:t>贷产品，涵盖数据解析、衍生指标加工、客户准入规则、风险初筛模型、授信额度策略和贷后监控服务等功能， 放款规模持续上升，风控表现良好。</w:t>
      </w:r>
    </w:p>
    <w:p>
      <w:pPr>
        <w:pStyle w:val="Style37"/>
        <w:keepNext w:val="0"/>
        <w:keepLines w:val="0"/>
        <w:widowControl w:val="0"/>
        <w:shd w:val="clear" w:color="auto" w:fill="auto"/>
        <w:bidi w:val="0"/>
        <w:spacing w:before="0" w:line="314" w:lineRule="exact"/>
        <w:ind w:left="0" w:right="0" w:firstLine="440"/>
        <w:jc w:val="left"/>
      </w:pPr>
      <w:r>
        <w:rPr>
          <w:rFonts w:ascii="Times New Roman" w:eastAsia="Times New Roman" w:hAnsi="Times New Roman" w:cs="Times New Roman"/>
          <w:b/>
          <w:bCs/>
          <w:color w:val="000000"/>
          <w:spacing w:val="0"/>
          <w:w w:val="100"/>
          <w:position w:val="0"/>
        </w:rPr>
        <w:t>3.3</w:t>
      </w:r>
      <w:r>
        <w:rPr>
          <w:b/>
          <w:bCs/>
          <w:color w:val="000000"/>
          <w:spacing w:val="0"/>
          <w:w w:val="100"/>
          <w:position w:val="0"/>
        </w:rPr>
        <w:t>数字人民币应用场景</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数字人民币试点应用已经进入提档加速阶段，随着未来大规模的推广和应用部署，或将迎来新一轮的建设机会。数字 人民币作为人民币数字化的价值载体，与区块链、智能合约、人工智能等创新技术的结合，也打开了 “数字人民币</w:t>
      </w:r>
      <w:r>
        <w:rPr>
          <w:rFonts w:ascii="Times New Roman" w:eastAsia="Times New Roman" w:hAnsi="Times New Roman" w:cs="Times New Roman"/>
          <w:color w:val="000000"/>
          <w:spacing w:val="0"/>
          <w:w w:val="100"/>
          <w:position w:val="0"/>
        </w:rPr>
        <w:t>+</w:t>
      </w:r>
      <w:r>
        <w:rPr>
          <w:color w:val="000000"/>
          <w:spacing w:val="0"/>
          <w:w w:val="100"/>
          <w:position w:val="0"/>
        </w:rPr>
        <w:t>”的全 新赛道。</w:t>
      </w:r>
    </w:p>
    <w:p>
      <w:pPr>
        <w:pStyle w:val="Style37"/>
        <w:keepNext w:val="0"/>
        <w:keepLines w:val="0"/>
        <w:widowControl w:val="0"/>
        <w:shd w:val="clear" w:color="auto" w:fill="auto"/>
        <w:bidi w:val="0"/>
        <w:spacing w:before="0" w:line="314"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年是公司数字人民币场景创新的布局之年，抢占市场、确立行业地位尤为重要。报告期内，公司领先市场发布区 块链平台</w:t>
      </w:r>
      <w:r>
        <w:rPr>
          <w:rFonts w:ascii="Times New Roman" w:eastAsia="Times New Roman" w:hAnsi="Times New Roman" w:cs="Times New Roman"/>
          <w:color w:val="000000"/>
          <w:spacing w:val="0"/>
          <w:w w:val="100"/>
          <w:position w:val="0"/>
        </w:rPr>
        <w:t>Sm@rtGAS</w:t>
      </w:r>
      <w:r>
        <w:rPr>
          <w:color w:val="000000"/>
          <w:spacing w:val="0"/>
          <w:w w:val="100"/>
          <w:position w:val="0"/>
        </w:rPr>
        <w:t>和数字钱包解决方案。数字钱包系统作为承接数字人民币、发展数字人民币相关业务的重要系统，目 前已在建设银行、广发银行、北京银行实现落地，围绕区块链等方向拓展试点场景，试点工作取得阶段性成果。在农业领域， 公司目前已能够实现将农业相关的农民、农权和过程中的金融业务上链，实现多方数据共享，打造人力链、农权链和金融链， 支持金融机构开展农业金融服务。</w:t>
      </w:r>
    </w:p>
    <w:p>
      <w:pPr>
        <w:pStyle w:val="Style37"/>
        <w:keepNext w:val="0"/>
        <w:keepLines w:val="0"/>
        <w:widowControl w:val="0"/>
        <w:shd w:val="clear" w:color="auto" w:fill="auto"/>
        <w:bidi w:val="0"/>
        <w:spacing w:before="0" w:line="314" w:lineRule="exact"/>
        <w:ind w:left="0" w:right="0" w:firstLine="440"/>
        <w:jc w:val="left"/>
      </w:pPr>
      <w:bookmarkStart w:id="119" w:name="bookmark119"/>
      <w:r>
        <w:rPr>
          <w:b/>
          <w:bCs/>
          <w:color w:val="000000"/>
          <w:spacing w:val="0"/>
          <w:w w:val="100"/>
          <w:position w:val="0"/>
        </w:rPr>
        <w:t>（</w:t>
      </w:r>
      <w:bookmarkEnd w:id="119"/>
      <w:r>
        <w:rPr>
          <w:b/>
          <w:bCs/>
          <w:color w:val="000000"/>
          <w:spacing w:val="0"/>
          <w:w w:val="100"/>
          <w:position w:val="0"/>
        </w:rPr>
        <w:t>三）行业数字化业务稳健增长</w:t>
      </w:r>
    </w:p>
    <w:p>
      <w:pPr>
        <w:pStyle w:val="Style3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政企行业实现收入</w:t>
      </w:r>
      <w:r>
        <w:rPr>
          <w:rFonts w:ascii="Times New Roman" w:eastAsia="Times New Roman" w:hAnsi="Times New Roman" w:cs="Times New Roman"/>
          <w:color w:val="000000"/>
          <w:spacing w:val="0"/>
          <w:w w:val="100"/>
          <w:position w:val="0"/>
        </w:rPr>
        <w:t>35.25</w:t>
      </w:r>
      <w:r>
        <w:rPr>
          <w:color w:val="000000"/>
          <w:spacing w:val="0"/>
          <w:w w:val="100"/>
          <w:position w:val="0"/>
        </w:rPr>
        <w:t>亿元，同比增长</w:t>
      </w:r>
      <w:r>
        <w:rPr>
          <w:rFonts w:ascii="Times New Roman" w:eastAsia="Times New Roman" w:hAnsi="Times New Roman" w:cs="Times New Roman"/>
          <w:color w:val="000000"/>
          <w:spacing w:val="0"/>
          <w:w w:val="100"/>
          <w:position w:val="0"/>
        </w:rPr>
        <w:t>28.65%</w:t>
      </w:r>
      <w:r>
        <w:rPr>
          <w:color w:val="000000"/>
          <w:spacing w:val="0"/>
          <w:w w:val="100"/>
          <w:position w:val="0"/>
        </w:rPr>
        <w:t>,毛利率</w:t>
      </w:r>
      <w:r>
        <w:rPr>
          <w:rFonts w:ascii="Times New Roman" w:eastAsia="Times New Roman" w:hAnsi="Times New Roman" w:cs="Times New Roman"/>
          <w:color w:val="000000"/>
          <w:spacing w:val="0"/>
          <w:w w:val="100"/>
          <w:position w:val="0"/>
        </w:rPr>
        <w:t>14.57%</w:t>
      </w:r>
      <w:r>
        <w:rPr>
          <w:color w:val="000000"/>
          <w:spacing w:val="0"/>
          <w:w w:val="100"/>
          <w:position w:val="0"/>
        </w:rPr>
        <w:t>。其中软件和服务业务实现收入</w:t>
      </w:r>
      <w:r>
        <w:rPr>
          <w:rFonts w:ascii="Times New Roman" w:eastAsia="Times New Roman" w:hAnsi="Times New Roman" w:cs="Times New Roman"/>
          <w:color w:val="000000"/>
          <w:spacing w:val="0"/>
          <w:w w:val="100"/>
          <w:position w:val="0"/>
        </w:rPr>
        <w:t>8.63</w:t>
      </w:r>
      <w:r>
        <w:rPr>
          <w:color w:val="000000"/>
          <w:spacing w:val="0"/>
          <w:w w:val="100"/>
          <w:position w:val="0"/>
        </w:rPr>
        <w:t xml:space="preserve">亿元，毛利率 </w:t>
      </w:r>
      <w:r>
        <w:rPr>
          <w:rFonts w:ascii="Times New Roman" w:eastAsia="Times New Roman" w:hAnsi="Times New Roman" w:cs="Times New Roman"/>
          <w:color w:val="000000"/>
          <w:spacing w:val="0"/>
          <w:w w:val="100"/>
          <w:position w:val="0"/>
        </w:rPr>
        <w:t>25.42%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年公司在党政信创软硬件领域均取得突破，中标北京、浙江、陕西、山西等</w:t>
      </w:r>
      <w:r>
        <w:rPr>
          <w:rFonts w:ascii="Times New Roman" w:eastAsia="Times New Roman" w:hAnsi="Times New Roman" w:cs="Times New Roman"/>
          <w:color w:val="000000"/>
          <w:spacing w:val="0"/>
          <w:w w:val="100"/>
          <w:position w:val="0"/>
        </w:rPr>
        <w:t>16</w:t>
      </w:r>
      <w:r>
        <w:rPr>
          <w:color w:val="000000"/>
          <w:spacing w:val="0"/>
          <w:w w:val="100"/>
          <w:position w:val="0"/>
        </w:rPr>
        <w:t>个省市，中标项目</w:t>
      </w:r>
      <w:r>
        <w:rPr>
          <w:rFonts w:ascii="Times New Roman" w:eastAsia="Times New Roman" w:hAnsi="Times New Roman" w:cs="Times New Roman"/>
          <w:color w:val="000000"/>
          <w:spacing w:val="0"/>
          <w:w w:val="100"/>
          <w:position w:val="0"/>
        </w:rPr>
        <w:t>71</w:t>
      </w:r>
      <w:r>
        <w:rPr>
          <w:color w:val="000000"/>
          <w:spacing w:val="0"/>
          <w:w w:val="100"/>
          <w:position w:val="0"/>
        </w:rPr>
        <w:t>个，总 金额超</w:t>
      </w:r>
      <w:r>
        <w:rPr>
          <w:rFonts w:ascii="Times New Roman" w:eastAsia="Times New Roman" w:hAnsi="Times New Roman" w:cs="Times New Roman"/>
          <w:color w:val="000000"/>
          <w:spacing w:val="0"/>
          <w:w w:val="100"/>
          <w:position w:val="0"/>
        </w:rPr>
        <w:t>10</w:t>
      </w:r>
      <w:r>
        <w:rPr>
          <w:color w:val="000000"/>
          <w:spacing w:val="0"/>
          <w:w w:val="100"/>
          <w:position w:val="0"/>
        </w:rPr>
        <w:t>亿元，帮助多个省市地区完成信创环境适配和替换，并落地了千万级政府机关核心业务系统信创软件项目。税务 领域，完成公司在税务行业首个云化应用系统“税库银”的建设，并在深圳、辽宁、吉林、天津等地实现区块链技术在税局 场景的应用。农业领域，中标江苏省镇江市、江苏省响水县、广东省惠州市、重庆市开州区等地区农业农村大数据系统建设 项目；中标山东省烟台市苹果大数据、国家橡胶全产业链大数据、国家油料全产业链大数据等国家级、省市级单品大数据项 目。量子通信领域，中标国家广域量子保密通信骨干网络建设工程项目（北京</w:t>
      </w:r>
      <w:r>
        <w:rPr>
          <w:rFonts w:ascii="Times New Roman" w:eastAsia="Times New Roman" w:hAnsi="Times New Roman" w:cs="Times New Roman"/>
          <w:color w:val="000000"/>
          <w:spacing w:val="0"/>
          <w:w w:val="100"/>
          <w:position w:val="0"/>
        </w:rPr>
        <w:t>-</w:t>
      </w:r>
      <w:r>
        <w:rPr>
          <w:color w:val="000000"/>
          <w:spacing w:val="0"/>
          <w:w w:val="100"/>
          <w:position w:val="0"/>
        </w:rPr>
        <w:t>武汉、武汉</w:t>
      </w:r>
      <w:r>
        <w:rPr>
          <w:rFonts w:ascii="Times New Roman" w:eastAsia="Times New Roman" w:hAnsi="Times New Roman" w:cs="Times New Roman"/>
          <w:color w:val="000000"/>
          <w:spacing w:val="0"/>
          <w:w w:val="100"/>
          <w:position w:val="0"/>
        </w:rPr>
        <w:t>-</w:t>
      </w:r>
      <w:r>
        <w:rPr>
          <w:color w:val="000000"/>
          <w:spacing w:val="0"/>
          <w:w w:val="100"/>
          <w:position w:val="0"/>
        </w:rPr>
        <w:t>广州）、京汉干线延长线成渝汉 段、济青干线，为后续骨干网和城域网项目的签约打下基础。</w:t>
      </w:r>
    </w:p>
    <w:p>
      <w:pPr>
        <w:pStyle w:val="Style37"/>
        <w:keepNext w:val="0"/>
        <w:keepLines w:val="0"/>
        <w:widowControl w:val="0"/>
        <w:shd w:val="clear" w:color="auto" w:fill="auto"/>
        <w:bidi w:val="0"/>
        <w:spacing w:before="0" w:line="312" w:lineRule="exact"/>
        <w:ind w:left="0" w:right="0" w:firstLine="440"/>
        <w:jc w:val="left"/>
      </w:pPr>
      <w:r>
        <w:rPr>
          <w:color w:val="000000"/>
          <w:spacing w:val="0"/>
          <w:w w:val="100"/>
          <w:position w:val="0"/>
        </w:rPr>
        <w:t>运营商行业实现收入</w:t>
      </w:r>
      <w:r>
        <w:rPr>
          <w:rFonts w:ascii="Times New Roman" w:eastAsia="Times New Roman" w:hAnsi="Times New Roman" w:cs="Times New Roman"/>
          <w:color w:val="000000"/>
          <w:spacing w:val="0"/>
          <w:w w:val="100"/>
          <w:position w:val="0"/>
        </w:rPr>
        <w:t>24.84</w:t>
      </w:r>
      <w:r>
        <w:rPr>
          <w:color w:val="000000"/>
          <w:spacing w:val="0"/>
          <w:w w:val="100"/>
          <w:position w:val="0"/>
        </w:rPr>
        <w:t>亿元，毛利率</w:t>
      </w:r>
      <w:r>
        <w:rPr>
          <w:rFonts w:ascii="Times New Roman" w:eastAsia="Times New Roman" w:hAnsi="Times New Roman" w:cs="Times New Roman"/>
          <w:color w:val="000000"/>
          <w:spacing w:val="0"/>
          <w:w w:val="100"/>
          <w:position w:val="0"/>
        </w:rPr>
        <w:t>15.69%</w:t>
      </w:r>
      <w:r>
        <w:rPr>
          <w:color w:val="000000"/>
          <w:spacing w:val="0"/>
          <w:w w:val="100"/>
          <w:position w:val="0"/>
        </w:rPr>
        <w:t>。其中软件和服务业务实现收入</w:t>
      </w:r>
      <w:r>
        <w:rPr>
          <w:rFonts w:ascii="Times New Roman" w:eastAsia="Times New Roman" w:hAnsi="Times New Roman" w:cs="Times New Roman"/>
          <w:color w:val="000000"/>
          <w:spacing w:val="0"/>
          <w:w w:val="100"/>
          <w:position w:val="0"/>
        </w:rPr>
        <w:t>15.00</w:t>
      </w:r>
      <w:r>
        <w:rPr>
          <w:color w:val="000000"/>
          <w:spacing w:val="0"/>
          <w:w w:val="100"/>
          <w:position w:val="0"/>
        </w:rPr>
        <w:t>亿元，毛利率</w:t>
      </w:r>
      <w:r>
        <w:rPr>
          <w:rFonts w:ascii="Times New Roman" w:eastAsia="Times New Roman" w:hAnsi="Times New Roman" w:cs="Times New Roman"/>
          <w:color w:val="000000"/>
          <w:spacing w:val="0"/>
          <w:w w:val="100"/>
          <w:position w:val="0"/>
        </w:rPr>
        <w:t>19.08%</w:t>
      </w:r>
      <w:r>
        <w:rPr>
          <w:color w:val="000000"/>
          <w:spacing w:val="0"/>
          <w:w w:val="100"/>
          <w:position w:val="0"/>
        </w:rPr>
        <w:t>，同比增 长</w:t>
      </w:r>
      <w:r>
        <w:rPr>
          <w:rFonts w:ascii="Times New Roman" w:eastAsia="Times New Roman" w:hAnsi="Times New Roman" w:cs="Times New Roman"/>
          <w:color w:val="000000"/>
          <w:spacing w:val="0"/>
          <w:w w:val="100"/>
          <w:position w:val="0"/>
        </w:rPr>
        <w:t>0.46</w:t>
      </w:r>
      <w:r>
        <w:rPr>
          <w:color w:val="000000"/>
          <w:spacing w:val="0"/>
          <w:w w:val="100"/>
          <w:position w:val="0"/>
        </w:rPr>
        <w:t>个百分点。作为国内领先的第三方优化和工程维护服务厂商之一，积极参与全国</w:t>
      </w:r>
      <w:r>
        <w:rPr>
          <w:rFonts w:ascii="Times New Roman" w:eastAsia="Times New Roman" w:hAnsi="Times New Roman" w:cs="Times New Roman"/>
          <w:color w:val="000000"/>
          <w:spacing w:val="0"/>
          <w:w w:val="100"/>
          <w:position w:val="0"/>
        </w:rPr>
        <w:t>5G</w:t>
      </w:r>
      <w:r>
        <w:rPr>
          <w:color w:val="000000"/>
          <w:spacing w:val="0"/>
          <w:w w:val="100"/>
          <w:position w:val="0"/>
        </w:rPr>
        <w:t>建设，在基站开通后的性能验证 和入网验证工作方面，负责站点上万个，保障</w:t>
      </w:r>
      <w:r>
        <w:rPr>
          <w:rFonts w:ascii="Times New Roman" w:eastAsia="Times New Roman" w:hAnsi="Times New Roman" w:cs="Times New Roman"/>
          <w:color w:val="000000"/>
          <w:spacing w:val="0"/>
          <w:w w:val="100"/>
          <w:position w:val="0"/>
        </w:rPr>
        <w:t>5G</w:t>
      </w:r>
      <w:r>
        <w:rPr>
          <w:color w:val="000000"/>
          <w:spacing w:val="0"/>
          <w:w w:val="100"/>
          <w:position w:val="0"/>
        </w:rPr>
        <w:t>网络成功部署。报告期内，网络优化集中采购中标情况符合预期，继续保 持第三方厂商份额第一。</w:t>
      </w:r>
      <w:r>
        <w:br w:type="page"/>
      </w:r>
    </w:p>
    <w:p>
      <w:pPr>
        <w:pStyle w:val="Style41"/>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2</w:t>
      </w:r>
      <w:bookmarkEnd w:id="122"/>
      <w:r>
        <w:rPr>
          <w:color w:val="000000"/>
          <w:spacing w:val="0"/>
          <w:w w:val="100"/>
          <w:position w:val="0"/>
        </w:rPr>
        <w:t>、收入与成本</w:t>
      </w:r>
      <w:bookmarkEnd w:id="120"/>
      <w:bookmarkEnd w:id="121"/>
      <w:bookmarkEnd w:id="123"/>
    </w:p>
    <w:p>
      <w:pPr>
        <w:pStyle w:val="Style41"/>
        <w:keepNext/>
        <w:keepLines/>
        <w:widowControl w:val="0"/>
        <w:numPr>
          <w:ilvl w:val="0"/>
          <w:numId w:val="3"/>
        </w:numPr>
        <w:shd w:val="clear" w:color="auto" w:fill="auto"/>
        <w:bidi w:val="0"/>
        <w:spacing w:before="0" w:line="240" w:lineRule="auto"/>
        <w:ind w:left="0" w:right="0" w:firstLine="0"/>
        <w:jc w:val="left"/>
      </w:pPr>
      <w:bookmarkStart w:id="120" w:name="bookmark120"/>
      <w:bookmarkStart w:id="121" w:name="bookmark121"/>
      <w:bookmarkStart w:id="124" w:name="bookmark124"/>
      <w:bookmarkStart w:id="125" w:name="bookmark125"/>
      <w:bookmarkEnd w:id="124"/>
      <w:r>
        <w:rPr>
          <w:color w:val="000000"/>
          <w:spacing w:val="0"/>
          <w:w w:val="100"/>
          <w:position w:val="0"/>
        </w:rPr>
        <w:t>营业收入构成</w:t>
      </w:r>
      <w:bookmarkEnd w:id="120"/>
      <w:bookmarkEnd w:id="121"/>
      <w:bookmarkEnd w:id="125"/>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16"/>
        <w:gridCol w:w="1522"/>
        <w:gridCol w:w="1598"/>
        <w:gridCol w:w="1594"/>
        <w:gridCol w:w="1603"/>
      </w:tblGrid>
      <w:tr>
        <w:trPr>
          <w:trHeight w:val="47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6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10,685,976,832.00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10,146,008,170.91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r>
      <w:tr>
        <w:trPr>
          <w:trHeight w:val="466"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4,243,847,549.86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3,899,247,635.86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3,525,238,962.48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2,740,141,449.98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2,483,716,545.79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2,915,737,460.77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433,173,773.87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590,881,624.30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w:t>
            </w:r>
          </w:p>
        </w:tc>
      </w:tr>
      <w:tr>
        <w:trPr>
          <w:trHeight w:val="466"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6,081,206,555.56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4,731,889,461.89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4,598,778,258.38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5,407,995,244.99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5,992,018.06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6,123,464.03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466"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10,555,957,619.70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10,076,040,798.33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130,019,212.30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69,967,372.58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13"/>
        <w:gridCol w:w="1003"/>
        <w:gridCol w:w="1003"/>
        <w:gridCol w:w="1003"/>
        <w:gridCol w:w="1013"/>
      </w:tblGrid>
      <w:tr>
        <w:trPr>
          <w:trHeight w:val="470"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3"/>
                <w:szCs w:val="13"/>
              </w:rPr>
              <w:t>年度</w:t>
            </w:r>
          </w:p>
        </w:tc>
      </w:tr>
      <w:tr>
        <w:trPr>
          <w:trHeight w:val="46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第三季度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第四季度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第四季度</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2,123,304,206.17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2,251,072,873.03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2,385,948,742.50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3,925,651,010.30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2,164,640,060.19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1,965,553,943.28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2,104,043,896.30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3,911,770,271.14</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归属于上市公司股东的净</w:t>
            </w:r>
          </w:p>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29,464,993.65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127,235,879.31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61,960,293.61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257,012,764.21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34,135,746.97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95,008,008.21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61,170,421.26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185,293,576.33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7"/>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公司季度性经营活动波动主要与公司行业周期特点与客户需求节奏相关。由于公司主要客户为银行、政企、运营商等行 业用户，客户通常在一季度启动全年采购计划及履行申请、审批等程序，二、三季度陆续进行项目的招标、谈判、签约、实 施等，三、四季度完成交付并付款，因此相对前三季度，公司第四季度产品交付、验收、确认收入较为集中。</w:t>
      </w:r>
      <w:r>
        <w:br w:type="page"/>
      </w:r>
    </w:p>
    <w:p>
      <w:pPr>
        <w:pStyle w:val="Style41"/>
        <w:keepNext/>
        <w:keepLines/>
        <w:widowControl w:val="0"/>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6"/>
      <w:bookmarkEnd w:id="127"/>
      <w:bookmarkEnd w:id="129"/>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704"/>
        <w:gridCol w:w="1560"/>
        <w:gridCol w:w="989"/>
        <w:gridCol w:w="1277"/>
        <w:gridCol w:w="1277"/>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毛利率比上</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66"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4,243,847,549.86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3,429,135,789.26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3,525,238,962.48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3,011,516,376.38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2,483,716,545.79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2,093,957,920.93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r>
      <w:tr>
        <w:trPr>
          <w:trHeight w:val="466"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6,081,206,555.56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5,354,798,896.07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4,598,778,258.38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3,504,433,233.86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r>
        <w:trPr>
          <w:trHeight w:val="466"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10,555,957,619.70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8,798,503,266.25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bl>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4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0"/>
      <w:bookmarkEnd w:id="131"/>
      <w:bookmarkEnd w:id="133"/>
    </w:p>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4"/>
      <w:bookmarkEnd w:id="135"/>
      <w:bookmarkEnd w:id="137"/>
    </w:p>
    <w:p>
      <w:pPr>
        <w:pStyle w:val="Style37"/>
        <w:keepNext w:val="0"/>
        <w:keepLines w:val="0"/>
        <w:widowControl w:val="0"/>
        <w:shd w:val="clear" w:color="auto" w:fill="auto"/>
        <w:bidi w:val="0"/>
        <w:spacing w:before="0" w:after="240" w:line="40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4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37"/>
        <w:keepNext w:val="0"/>
        <w:keepLines w:val="0"/>
        <w:widowControl w:val="0"/>
        <w:shd w:val="clear" w:color="auto" w:fill="auto"/>
        <w:bidi w:val="0"/>
        <w:spacing w:before="0" w:after="120" w:line="346" w:lineRule="exact"/>
        <w:ind w:left="0" w:right="0" w:firstLine="0"/>
        <w:jc w:val="both"/>
      </w:pPr>
      <w:r>
        <w:rPr>
          <w:color w:val="000000"/>
          <w:spacing w:val="0"/>
          <w:w w:val="100"/>
          <w:position w:val="0"/>
        </w:rPr>
        <w:t>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037"/>
        <w:gridCol w:w="1368"/>
        <w:gridCol w:w="1363"/>
        <w:gridCol w:w="1368"/>
        <w:gridCol w:w="1368"/>
        <w:gridCol w:w="1378"/>
      </w:tblGrid>
      <w:tr>
        <w:trPr>
          <w:trHeight w:val="47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5,354,798,896.07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4,163,541,165.81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3,504,433,233.86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4,097,817,721.36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371,450.68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说明：无</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7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设备类采购款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5,213,004,316.53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4,302,089,406.98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人工及技术协作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3,491,635,786.71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3,489,606,484.85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154,963,477.37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470,034,446.02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-67.03%</w:t>
            </w:r>
          </w:p>
        </w:tc>
      </w:tr>
    </w:tbl>
    <w:p>
      <w:pPr>
        <w:widowControl w:val="0"/>
        <w:spacing w:after="319" w:line="1" w:lineRule="exact"/>
      </w:pPr>
    </w:p>
    <w:p>
      <w:pPr>
        <w:pStyle w:val="Style41"/>
        <w:keepNext/>
        <w:keepLines/>
        <w:widowControl w:val="0"/>
        <w:shd w:val="clear" w:color="auto" w:fill="auto"/>
        <w:bidi w:val="0"/>
        <w:spacing w:before="0" w:after="2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2"/>
      <w:bookmarkEnd w:id="143"/>
      <w:bookmarkEnd w:id="145"/>
    </w:p>
    <w:p>
      <w:pPr>
        <w:pStyle w:val="Style3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7"/>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本集团合并财务报表范围包括本公司、神州数码系统集成服务有限公司、神州数码信息系统有限公司等</w:t>
      </w:r>
      <w:r>
        <w:rPr>
          <w:rFonts w:ascii="Times New Roman" w:eastAsia="Times New Roman" w:hAnsi="Times New Roman" w:cs="Times New Roman"/>
          <w:color w:val="000000"/>
          <w:spacing w:val="0"/>
          <w:w w:val="100"/>
          <w:position w:val="0"/>
        </w:rPr>
        <w:t>49</w:t>
      </w:r>
      <w:r>
        <w:rPr>
          <w:color w:val="000000"/>
          <w:spacing w:val="0"/>
          <w:w w:val="100"/>
          <w:position w:val="0"/>
        </w:rPr>
        <w:t>家公司。与 上年相比，本年因非同一控制下企业合并增加北京云核网络技术有限公司，因新设增加神州龙安（成都）信息技术服务有限 公司、神州龙安（青海）信息技术服务有限公司、神州国信（北京）信息科技有限公司、神州龙安（内蒙古）信息技术服务 有限公司、神州龙安（江苏）信息技术服务有限公司、神州龙安（河北）信息技术服务有限公司、神州龙安（山西）信息技 术服务有限公司、北京神州数字科技有限公司（原名为神州金科（北京）科技发展有限公司）、北京神州数码方圆科技有限 公司、</w:t>
      </w:r>
      <w:r>
        <w:rPr>
          <w:rFonts w:ascii="Times New Roman" w:eastAsia="Times New Roman" w:hAnsi="Times New Roman" w:cs="Times New Roman"/>
          <w:color w:val="000000"/>
          <w:spacing w:val="0"/>
          <w:w w:val="100"/>
          <w:position w:val="0"/>
        </w:rPr>
        <w:t>Digital China Information Technology Co.Limited</w:t>
      </w:r>
      <w:r>
        <w:rPr>
          <w:color w:val="000000"/>
          <w:spacing w:val="0"/>
          <w:w w:val="100"/>
          <w:position w:val="0"/>
        </w:rPr>
        <w:t>，因处置减少北京神州邦邦技术服务有限公司、神州灵云（北京）科 技有限公司、枣强县农村产权交易服务有限公司。</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6"/>
      <w:bookmarkEnd w:id="147"/>
      <w:bookmarkEnd w:id="149"/>
    </w:p>
    <w:p>
      <w:pPr>
        <w:pStyle w:val="Style37"/>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0"/>
      <w:bookmarkEnd w:id="151"/>
      <w:bookmarkEnd w:id="15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0"/>
        <w:gridCol w:w="4901"/>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2,645,903,678.59</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827,525,035.75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7.74%</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814,433,918.92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7.62%</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506,120,188.88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4.74%</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253,712,182.87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2.37%</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244,112,352.17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2,645,903,678.59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w:t>
            </w:r>
          </w:p>
        </w:tc>
      </w:tr>
    </w:tbl>
    <w:p>
      <w:pPr>
        <w:widowControl w:val="0"/>
        <w:spacing w:after="5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80"/>
        <w:gridCol w:w="4901"/>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3,574,815,316.99</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842"/>
        <w:gridCol w:w="2630"/>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2,606,167,629.57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33.99%</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470,306,929.29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205,790,614.32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156,866,630.81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135,683,513.00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3,574,815,316.99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w:t>
            </w:r>
          </w:p>
        </w:tc>
      </w:tr>
    </w:tbl>
    <w:p>
      <w:pPr>
        <w:widowControl w:val="0"/>
        <w:spacing w:after="5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3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464"/>
        <w:gridCol w:w="1464"/>
        <w:gridCol w:w="1469"/>
        <w:gridCol w:w="3763"/>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450,067,152.97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503,924,867.26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-10.69%</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287,022,794.82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402,457,791.98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-28.68%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38,596,004.87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81,486,158.49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主要变动原因是本期融资规模减少所致</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510,818,151.26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374,946,590.50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主要变动原因是本期增加了对研发的投入所致</w:t>
            </w:r>
          </w:p>
        </w:tc>
      </w:tr>
    </w:tbl>
    <w:p>
      <w:pPr>
        <w:widowControl w:val="0"/>
        <w:spacing w:after="319" w:line="1" w:lineRule="exact"/>
      </w:pPr>
    </w:p>
    <w:p>
      <w:pPr>
        <w:pStyle w:val="Style41"/>
        <w:keepNext/>
        <w:keepLines/>
        <w:widowControl w:val="0"/>
        <w:shd w:val="clear" w:color="auto" w:fill="auto"/>
        <w:bidi w:val="0"/>
        <w:spacing w:before="0" w:after="26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37"/>
        <w:keepNext w:val="0"/>
        <w:keepLines w:val="0"/>
        <w:widowControl w:val="0"/>
        <w:shd w:val="clear" w:color="auto" w:fill="auto"/>
        <w:bidi w:val="0"/>
        <w:spacing w:before="0" w:after="6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rPr>
        <w:t>5.5</w:t>
      </w:r>
      <w:r>
        <w:rPr>
          <w:rFonts w:ascii="Times New Roman" w:eastAsia="Times New Roman" w:hAnsi="Times New Roman" w:cs="Times New Roman"/>
          <w:color w:val="000000"/>
          <w:spacing w:val="0"/>
          <w:w w:val="100"/>
          <w:position w:val="0"/>
        </w:rPr>
        <w:t>0</w:t>
      </w:r>
      <w:r>
        <w:rPr>
          <w:color w:val="000000"/>
          <w:spacing w:val="0"/>
          <w:w w:val="100"/>
          <w:position w:val="0"/>
        </w:rPr>
        <w:t>亿元，占营业收入的</w:t>
      </w:r>
      <w:r>
        <w:rPr>
          <w:rFonts w:ascii="Times New Roman" w:eastAsia="Times New Roman" w:hAnsi="Times New Roman" w:cs="Times New Roman"/>
          <w:color w:val="000000"/>
          <w:spacing w:val="0"/>
          <w:w w:val="100"/>
          <w:position w:val="0"/>
        </w:rPr>
        <w:t>5.14%</w:t>
      </w:r>
      <w:r>
        <w:rPr>
          <w:color w:val="000000"/>
          <w:spacing w:val="0"/>
          <w:w w:val="100"/>
          <w:position w:val="0"/>
        </w:rPr>
        <w:t>,占软件和服务业务收入的</w:t>
      </w:r>
      <w:r>
        <w:rPr>
          <w:rFonts w:ascii="Times New Roman" w:eastAsia="Times New Roman" w:hAnsi="Times New Roman" w:cs="Times New Roman"/>
          <w:color w:val="000000"/>
          <w:spacing w:val="0"/>
          <w:w w:val="100"/>
          <w:position w:val="0"/>
        </w:rPr>
        <w:t>11.96%</w:t>
      </w:r>
      <w:r>
        <w:rPr>
          <w:color w:val="000000"/>
          <w:spacing w:val="0"/>
          <w:w w:val="100"/>
          <w:position w:val="0"/>
        </w:rPr>
        <w:t>,维持了业内较高的研发 投入水平，其中研发投入资本化</w:t>
      </w:r>
      <w:r>
        <w:rPr>
          <w:rFonts w:ascii="Times New Roman" w:eastAsia="Times New Roman" w:hAnsi="Times New Roman" w:cs="Times New Roman"/>
          <w:color w:val="000000"/>
          <w:spacing w:val="0"/>
          <w:w w:val="100"/>
          <w:position w:val="0"/>
        </w:rPr>
        <w:t>3,897.01</w:t>
      </w:r>
      <w:r>
        <w:rPr>
          <w:color w:val="000000"/>
          <w:spacing w:val="0"/>
          <w:w w:val="100"/>
          <w:position w:val="0"/>
        </w:rPr>
        <w:t>万元，占研发投入的</w:t>
      </w:r>
      <w:r>
        <w:rPr>
          <w:rFonts w:ascii="Times New Roman" w:eastAsia="Times New Roman" w:hAnsi="Times New Roman" w:cs="Times New Roman"/>
          <w:color w:val="000000"/>
          <w:spacing w:val="0"/>
          <w:w w:val="100"/>
          <w:position w:val="0"/>
        </w:rPr>
        <w:t>7.09%</w:t>
      </w:r>
      <w:r>
        <w:rPr>
          <w:color w:val="000000"/>
          <w:spacing w:val="0"/>
          <w:w w:val="100"/>
          <w:position w:val="0"/>
        </w:rPr>
        <w:t>。报告期内，公司完成了对众多产品的迭代升级，并结 合不断衍生的新技术孵化新产品，满足客户更加多元化的需求。在分布式核心系统与微服务领域，实现了对产品重要功能的 升级，产品竞争力持续提升；在数据智能类解决方案领域，围绕金融数据中台理念持续拓展产品线，整体数据相关能力实现</w:t>
        <w:br w:type="page"/>
      </w:r>
      <w:r>
        <w:rPr>
          <w:color w:val="000000"/>
          <w:spacing w:val="0"/>
          <w:w w:val="100"/>
          <w:position w:val="0"/>
        </w:rPr>
        <w:t>大幅提升；围绕智能银行、开放银行、移动互联等解决方案产品间的融合与创新方面取得突破。在反欺诈、智能头寸、反洗 钱等应用领域，基于人工智能技术形成了诸多面向银行应用的新型解决方案。研发了能够为金融、政府等行业提供一站式云 服务平台一神州云鼎，实现了模块化容器云、微服务治理、</w:t>
      </w:r>
      <w:r>
        <w:rPr>
          <w:rFonts w:ascii="Times New Roman" w:eastAsia="Times New Roman" w:hAnsi="Times New Roman" w:cs="Times New Roman"/>
          <w:color w:val="000000"/>
          <w:spacing w:val="0"/>
          <w:w w:val="100"/>
          <w:position w:val="0"/>
        </w:rPr>
        <w:t>DevOps</w:t>
      </w:r>
      <w:r>
        <w:rPr>
          <w:color w:val="000000"/>
          <w:spacing w:val="0"/>
          <w:w w:val="100"/>
          <w:position w:val="0"/>
        </w:rPr>
        <w:t>、</w:t>
      </w:r>
      <w:r>
        <w:rPr>
          <w:color w:val="000000"/>
          <w:spacing w:val="0"/>
          <w:w w:val="100"/>
          <w:position w:val="0"/>
        </w:rPr>
        <w:t>混合云管、智能运维功能。围绕税银场景，打造税 银直连平台，并形成了在银行端落地应用的信贷产品解决方案。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1"/>
        <w:gridCol w:w="2198"/>
        <w:gridCol w:w="2194"/>
        <w:gridCol w:w="2208"/>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549,788,222.72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514,001,677.82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38,970,071.46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24,238,073.53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60.78%</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16"/>
        <w:gridCol w:w="5669"/>
        <w:gridCol w:w="1214"/>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实施进度</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金融科技研发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9,194,556.61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项目面向</w:t>
            </w:r>
            <w:r>
              <w:rPr>
                <w:rFonts w:ascii="Times New Roman" w:eastAsia="Times New Roman" w:hAnsi="Times New Roman" w:cs="Times New Roman"/>
                <w:color w:val="000000"/>
                <w:spacing w:val="0"/>
                <w:w w:val="100"/>
                <w:position w:val="0"/>
              </w:rPr>
              <w:t>“</w:t>
            </w:r>
            <w:r>
              <w:rPr>
                <w:color w:val="000000"/>
                <w:spacing w:val="0"/>
                <w:w w:val="100"/>
                <w:position w:val="0"/>
              </w:rPr>
              <w:t>税银互动</w:t>
            </w:r>
            <w:r>
              <w:rPr>
                <w:rFonts w:ascii="Times New Roman" w:eastAsia="Times New Roman" w:hAnsi="Times New Roman" w:cs="Times New Roman"/>
                <w:color w:val="000000"/>
                <w:spacing w:val="0"/>
                <w:w w:val="100"/>
                <w:position w:val="0"/>
              </w:rPr>
              <w:t>”</w:t>
            </w:r>
            <w:r>
              <w:rPr>
                <w:color w:val="000000"/>
                <w:spacing w:val="0"/>
                <w:w w:val="100"/>
                <w:position w:val="0"/>
              </w:rPr>
              <w:t>场景金融产品的打造，包括：</w:t>
            </w:r>
            <w:r>
              <w:rPr>
                <w:rFonts w:ascii="Times New Roman" w:eastAsia="Times New Roman" w:hAnsi="Times New Roman" w:cs="Times New Roman"/>
                <w:color w:val="000000"/>
                <w:spacing w:val="0"/>
                <w:w w:val="100"/>
                <w:position w:val="0"/>
              </w:rPr>
              <w:t>1</w:t>
            </w:r>
            <w:r>
              <w:rPr>
                <w:color w:val="000000"/>
                <w:spacing w:val="0"/>
                <w:w w:val="100"/>
                <w:position w:val="0"/>
              </w:rPr>
              <w:t>、面向局端的税银直 连平台，实现税务数据到银行端的共享；</w:t>
            </w:r>
            <w:r>
              <w:rPr>
                <w:rFonts w:ascii="Times New Roman" w:eastAsia="Times New Roman" w:hAnsi="Times New Roman" w:cs="Times New Roman"/>
                <w:color w:val="000000"/>
                <w:spacing w:val="0"/>
                <w:w w:val="100"/>
                <w:position w:val="0"/>
              </w:rPr>
              <w:t>2</w:t>
            </w:r>
            <w:r>
              <w:rPr>
                <w:color w:val="000000"/>
                <w:spacing w:val="0"/>
                <w:w w:val="100"/>
                <w:position w:val="0"/>
              </w:rPr>
              <w:t>、深挖税务数据价值，围绕产 业链，开展产业经济分析；</w:t>
            </w:r>
            <w:r>
              <w:rPr>
                <w:rFonts w:ascii="Times New Roman" w:eastAsia="Times New Roman" w:hAnsi="Times New Roman" w:cs="Times New Roman"/>
                <w:color w:val="000000"/>
                <w:spacing w:val="0"/>
                <w:w w:val="100"/>
                <w:position w:val="0"/>
              </w:rPr>
              <w:t>3</w:t>
            </w:r>
            <w:r>
              <w:rPr>
                <w:color w:val="000000"/>
                <w:spacing w:val="0"/>
                <w:w w:val="100"/>
                <w:position w:val="0"/>
              </w:rPr>
              <w:t>、整合</w:t>
            </w:r>
            <w:r>
              <w:rPr>
                <w:rFonts w:ascii="Times New Roman" w:eastAsia="Times New Roman" w:hAnsi="Times New Roman" w:cs="Times New Roman"/>
                <w:color w:val="000000"/>
                <w:spacing w:val="0"/>
                <w:w w:val="100"/>
                <w:position w:val="0"/>
              </w:rPr>
              <w:t>ITS</w:t>
            </w:r>
            <w:r>
              <w:rPr>
                <w:color w:val="000000"/>
                <w:spacing w:val="0"/>
                <w:w w:val="100"/>
                <w:position w:val="0"/>
              </w:rPr>
              <w:t>内部资源，形成面向银行端的一 体化解决方案。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2,652,740.69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项目研发以现有的产品需求为切入点，开展金融知识图谱、文本信息挖 掘、自然语言理解等若干问题的研发，以此为基础需要完成的业务融合。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ITSM/SaaS </w:t>
            </w:r>
            <w:r>
              <w:rPr>
                <w:color w:val="000000"/>
                <w:spacing w:val="0"/>
                <w:w w:val="100"/>
                <w:position w:val="0"/>
              </w:rPr>
              <w:t>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台研发项目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2,517,700.24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项目基于</w:t>
            </w:r>
            <w:r>
              <w:rPr>
                <w:rFonts w:ascii="Times New Roman" w:eastAsia="Times New Roman" w:hAnsi="Times New Roman" w:cs="Times New Roman"/>
                <w:color w:val="000000"/>
                <w:spacing w:val="0"/>
                <w:w w:val="100"/>
                <w:position w:val="0"/>
              </w:rPr>
              <w:t>“</w:t>
            </w:r>
            <w:r>
              <w:rPr>
                <w:color w:val="000000"/>
                <w:spacing w:val="0"/>
                <w:w w:val="100"/>
                <w:position w:val="0"/>
              </w:rPr>
              <w:t>平台化工具</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的理念，采用线上交付与线下服务相结合的 模式，向企业级客户提供面向混合</w:t>
            </w:r>
            <w:r>
              <w:rPr>
                <w:rFonts w:ascii="Times New Roman" w:eastAsia="Times New Roman" w:hAnsi="Times New Roman" w:cs="Times New Roman"/>
                <w:color w:val="000000"/>
                <w:spacing w:val="0"/>
                <w:w w:val="100"/>
                <w:position w:val="0"/>
              </w:rPr>
              <w:t>IT</w:t>
            </w:r>
            <w:r>
              <w:rPr>
                <w:color w:val="000000"/>
                <w:spacing w:val="0"/>
                <w:w w:val="100"/>
                <w:position w:val="0"/>
              </w:rPr>
              <w:t>环境的一站式智能监控、分析、管 理和操控管理服务，帮助客户高效、稳定地达成以应用为中心的运维服 务目标。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获客平台研发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2,144,437.84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项目主要定位于财税服务市场的客户，借助神州信息三十余年在多个省 市税务局的税务服务经验和所沉淀的财税服务能力，通过打造获客平台 来构建传统的财税服务、财税信息化增值服务，提升平台注册的企业用 户的财税能力，增强客户粘性，实现用户转化，沉淀私有用户。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22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智能数据工厂</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1,918,309.03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项目主要包括：</w:t>
            </w:r>
            <w:r>
              <w:rPr>
                <w:rFonts w:ascii="Times New Roman" w:eastAsia="Times New Roman" w:hAnsi="Times New Roman" w:cs="Times New Roman"/>
                <w:color w:val="000000"/>
                <w:spacing w:val="0"/>
                <w:w w:val="100"/>
                <w:position w:val="0"/>
              </w:rPr>
              <w:t>1</w:t>
            </w:r>
            <w:r>
              <w:rPr>
                <w:color w:val="000000"/>
                <w:spacing w:val="0"/>
                <w:w w:val="100"/>
                <w:position w:val="0"/>
              </w:rPr>
              <w:t>、数据采集工具开发（集成）：完成结构化、半结构化、 非结构化的批量数据采集与实时采集；</w:t>
            </w:r>
            <w:r>
              <w:rPr>
                <w:rFonts w:ascii="Times New Roman" w:eastAsia="Times New Roman" w:hAnsi="Times New Roman" w:cs="Times New Roman"/>
                <w:color w:val="000000"/>
                <w:spacing w:val="0"/>
                <w:w w:val="100"/>
                <w:position w:val="0"/>
              </w:rPr>
              <w:t>2</w:t>
            </w:r>
            <w:r>
              <w:rPr>
                <w:color w:val="000000"/>
                <w:spacing w:val="0"/>
                <w:w w:val="100"/>
                <w:position w:val="0"/>
              </w:rPr>
              <w:t>、可视化数据模型与数据转换开 具：屏蔽主流大数据组件、复杂加工算法、全量加工与增量加工的不同 以及批量加工与流式加工的不同；</w:t>
            </w:r>
            <w:r>
              <w:rPr>
                <w:rFonts w:ascii="Times New Roman" w:eastAsia="Times New Roman" w:hAnsi="Times New Roman" w:cs="Times New Roman"/>
                <w:color w:val="000000"/>
                <w:spacing w:val="0"/>
                <w:w w:val="100"/>
                <w:position w:val="0"/>
              </w:rPr>
              <w:t>3</w:t>
            </w:r>
            <w:r>
              <w:rPr>
                <w:color w:val="000000"/>
                <w:spacing w:val="0"/>
                <w:w w:val="100"/>
                <w:position w:val="0"/>
              </w:rPr>
              <w:t>、运维监控工具：以数据加工任务为 线索的运维监控工具、以版本导入与导出为主要功能的版本升级工具；</w:t>
            </w:r>
            <w:r>
              <w:rPr>
                <w:rFonts w:ascii="Times New Roman" w:eastAsia="Times New Roman" w:hAnsi="Times New Roman" w:cs="Times New Roman"/>
                <w:color w:val="000000"/>
                <w:spacing w:val="0"/>
                <w:w w:val="100"/>
                <w:position w:val="0"/>
              </w:rPr>
              <w:t>4</w:t>
            </w:r>
            <w:r>
              <w:rPr>
                <w:color w:val="000000"/>
                <w:spacing w:val="0"/>
                <w:w w:val="100"/>
                <w:position w:val="0"/>
              </w:rPr>
              <w:t>、 数据平台建设方法论：对数据平台的各类用户的工作职责进行梳理，并 形成一个统一的流程，相关的功能固化在工具中。</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bl>
    <w:p>
      <w:pPr>
        <w:spacing w:lineRule="exact" w:line="1"/>
        <w:rPr>
          <w:sz w:val="2"/>
          <w:szCs w:val="2"/>
        </w:rPr>
      </w:pPr>
      <w:r>
        <w:br w:type="page"/>
      </w:r>
    </w:p>
    <w:tbl>
      <w:tblPr>
        <w:tblOverlap w:val="never"/>
        <w:jc w:val="center"/>
        <w:tblLayout w:type="fixed"/>
      </w:tblPr>
      <w:tblGrid>
        <w:gridCol w:w="1282"/>
        <w:gridCol w:w="1416"/>
        <w:gridCol w:w="5669"/>
        <w:gridCol w:w="1214"/>
      </w:tblGrid>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混合</w:t>
            </w:r>
            <w:r>
              <w:rPr>
                <w:rFonts w:ascii="Times New Roman" w:eastAsia="Times New Roman" w:hAnsi="Times New Roman" w:cs="Times New Roman"/>
                <w:color w:val="000000"/>
                <w:spacing w:val="0"/>
                <w:w w:val="100"/>
                <w:position w:val="0"/>
              </w:rPr>
              <w:t>IT</w:t>
            </w:r>
            <w:r>
              <w:rPr>
                <w:color w:val="000000"/>
                <w:spacing w:val="0"/>
                <w:w w:val="100"/>
                <w:position w:val="0"/>
              </w:rPr>
              <w:t>自动化 研发项目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1,880,536.49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本项目基于</w:t>
            </w:r>
            <w:r>
              <w:rPr>
                <w:rFonts w:ascii="Times New Roman" w:eastAsia="Times New Roman" w:hAnsi="Times New Roman" w:cs="Times New Roman"/>
                <w:color w:val="000000"/>
                <w:spacing w:val="0"/>
                <w:w w:val="100"/>
                <w:position w:val="0"/>
              </w:rPr>
              <w:t>“</w:t>
            </w:r>
            <w:r>
              <w:rPr>
                <w:color w:val="000000"/>
                <w:spacing w:val="0"/>
                <w:w w:val="100"/>
                <w:position w:val="0"/>
              </w:rPr>
              <w:t>工具</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的理念，向企业级客户提供面向混合</w:t>
            </w:r>
            <w:r>
              <w:rPr>
                <w:rFonts w:ascii="Times New Roman" w:eastAsia="Times New Roman" w:hAnsi="Times New Roman" w:cs="Times New Roman"/>
                <w:color w:val="000000"/>
                <w:spacing w:val="0"/>
                <w:w w:val="100"/>
                <w:position w:val="0"/>
              </w:rPr>
              <w:t>IT</w:t>
            </w:r>
            <w:r>
              <w:rPr>
                <w:color w:val="000000"/>
                <w:spacing w:val="0"/>
                <w:w w:val="100"/>
                <w:position w:val="0"/>
              </w:rPr>
              <w:t>环境的 一站式智能巡检、分析、管理和操控的能力，通过自动化和智能化手段, 帮助客户实现组织级运维效率提升，实现以应用为中心的稳定运行和业 务持续创新。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智能柜面项目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1,775,555.92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项目主要包括：</w:t>
            </w:r>
            <w:r>
              <w:rPr>
                <w:rFonts w:ascii="Times New Roman" w:eastAsia="Times New Roman" w:hAnsi="Times New Roman" w:cs="Times New Roman"/>
                <w:color w:val="000000"/>
                <w:spacing w:val="0"/>
                <w:w w:val="100"/>
                <w:position w:val="0"/>
              </w:rPr>
              <w:t>1</w:t>
            </w:r>
            <w:r>
              <w:rPr>
                <w:color w:val="000000"/>
                <w:spacing w:val="0"/>
                <w:w w:val="100"/>
                <w:position w:val="0"/>
              </w:rPr>
              <w:t>、支持组件化、场景化，实现真正以客户为中心的业务 处理能力；</w:t>
            </w:r>
            <w:r>
              <w:rPr>
                <w:rFonts w:ascii="Times New Roman" w:eastAsia="Times New Roman" w:hAnsi="Times New Roman" w:cs="Times New Roman"/>
                <w:color w:val="000000"/>
                <w:spacing w:val="0"/>
                <w:w w:val="100"/>
                <w:position w:val="0"/>
              </w:rPr>
              <w:t>2</w:t>
            </w:r>
            <w:r>
              <w:rPr>
                <w:color w:val="000000"/>
                <w:spacing w:val="0"/>
                <w:w w:val="100"/>
                <w:position w:val="0"/>
              </w:rPr>
              <w:t>、提升开发及运维效率，实现组件的积累和复用，并对自动 化测试工具进行完善；</w:t>
            </w:r>
            <w:r>
              <w:rPr>
                <w:rFonts w:ascii="Times New Roman" w:eastAsia="Times New Roman" w:hAnsi="Times New Roman" w:cs="Times New Roman"/>
                <w:color w:val="000000"/>
                <w:spacing w:val="0"/>
                <w:w w:val="100"/>
                <w:position w:val="0"/>
              </w:rPr>
              <w:t>3</w:t>
            </w:r>
            <w:r>
              <w:rPr>
                <w:color w:val="000000"/>
                <w:spacing w:val="0"/>
                <w:w w:val="100"/>
                <w:position w:val="0"/>
              </w:rPr>
              <w:t>、支持全渠道协同能力，优先实现线下渠道的服 务协同；</w:t>
            </w:r>
            <w:r>
              <w:rPr>
                <w:rFonts w:ascii="Times New Roman" w:eastAsia="Times New Roman" w:hAnsi="Times New Roman" w:cs="Times New Roman"/>
                <w:color w:val="000000"/>
                <w:spacing w:val="0"/>
                <w:w w:val="100"/>
                <w:position w:val="0"/>
              </w:rPr>
              <w:t>4</w:t>
            </w:r>
            <w:r>
              <w:rPr>
                <w:color w:val="000000"/>
                <w:spacing w:val="0"/>
                <w:w w:val="100"/>
                <w:position w:val="0"/>
              </w:rPr>
              <w:t>、支持数字化运营，能通过数据埋点的运用，实现用户体验的 量化分析；</w:t>
            </w:r>
            <w:r>
              <w:rPr>
                <w:rFonts w:ascii="Times New Roman" w:eastAsia="Times New Roman" w:hAnsi="Times New Roman" w:cs="Times New Roman"/>
                <w:color w:val="000000"/>
                <w:spacing w:val="0"/>
                <w:w w:val="100"/>
                <w:position w:val="0"/>
              </w:rPr>
              <w:t>5</w:t>
            </w:r>
            <w:r>
              <w:rPr>
                <w:color w:val="000000"/>
                <w:spacing w:val="0"/>
                <w:w w:val="100"/>
                <w:position w:val="0"/>
              </w:rPr>
              <w:t>、满足国产化要求，实现外设功能在国产化系统的适配；</w:t>
            </w:r>
            <w:r>
              <w:rPr>
                <w:rFonts w:ascii="Times New Roman" w:eastAsia="Times New Roman" w:hAnsi="Times New Roman" w:cs="Times New Roman"/>
                <w:color w:val="000000"/>
                <w:spacing w:val="0"/>
                <w:w w:val="100"/>
                <w:position w:val="0"/>
              </w:rPr>
              <w:t>6</w:t>
            </w:r>
            <w:r>
              <w:rPr>
                <w:color w:val="000000"/>
                <w:spacing w:val="0"/>
                <w:w w:val="100"/>
                <w:position w:val="0"/>
              </w:rPr>
              <w:t>、 与公司</w:t>
            </w:r>
            <w:r>
              <w:rPr>
                <w:rFonts w:ascii="Times New Roman" w:eastAsia="Times New Roman" w:hAnsi="Times New Roman" w:cs="Times New Roman"/>
                <w:color w:val="000000"/>
                <w:spacing w:val="0"/>
                <w:w w:val="100"/>
                <w:position w:val="0"/>
              </w:rPr>
              <w:t>Galaxy3.0</w:t>
            </w:r>
            <w:r>
              <w:rPr>
                <w:color w:val="000000"/>
                <w:spacing w:val="0"/>
                <w:w w:val="100"/>
                <w:position w:val="0"/>
              </w:rPr>
              <w:t>平台打通，实现分布式微服务架构的功能迁移。</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互联网金融项</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1,748,198.85</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3355" w:val="left"/>
              </w:tabs>
              <w:bidi w:val="0"/>
              <w:spacing w:before="0" w:after="80" w:line="240" w:lineRule="auto"/>
              <w:ind w:left="0" w:right="0" w:firstLine="0"/>
              <w:jc w:val="left"/>
            </w:pPr>
            <w:r>
              <w:rPr>
                <w:color w:val="000000"/>
                <w:spacing w:val="0"/>
                <w:w w:val="100"/>
                <w:position w:val="0"/>
              </w:rPr>
              <w:t>项目主要包括：</w:t>
            </w:r>
            <w:r>
              <w:rPr>
                <w:rFonts w:ascii="Times New Roman" w:eastAsia="Times New Roman" w:hAnsi="Times New Roman" w:cs="Times New Roman"/>
                <w:color w:val="000000"/>
                <w:spacing w:val="0"/>
                <w:w w:val="100"/>
                <w:position w:val="0"/>
              </w:rPr>
              <w:t>1</w:t>
            </w:r>
            <w:r>
              <w:rPr>
                <w:color w:val="000000"/>
                <w:spacing w:val="0"/>
                <w:w w:val="100"/>
                <w:position w:val="0"/>
              </w:rPr>
              <w:t>、互联网用户管理</w:t>
            </w:r>
            <w:r>
              <w:rPr>
                <w:rFonts w:ascii="Times New Roman" w:eastAsia="Times New Roman" w:hAnsi="Times New Roman" w:cs="Times New Roman"/>
                <w:color w:val="000000"/>
                <w:spacing w:val="0"/>
                <w:w w:val="100"/>
                <w:position w:val="0"/>
              </w:rPr>
              <w:t>-ICIF</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、互联网账户体系；</w:t>
            </w:r>
            <w:r>
              <w:rPr>
                <w:rFonts w:ascii="Times New Roman" w:eastAsia="Times New Roman" w:hAnsi="Times New Roman" w:cs="Times New Roman"/>
                <w:color w:val="000000"/>
                <w:spacing w:val="0"/>
                <w:w w:val="100"/>
                <w:position w:val="0"/>
              </w:rPr>
              <w:t>3.</w:t>
            </w:r>
            <w:r>
              <w:rPr>
                <w:color w:val="000000"/>
                <w:spacing w:val="0"/>
                <w:w w:val="100"/>
                <w:position w:val="0"/>
              </w:rPr>
              <w:t>互</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联网业务整合；</w:t>
            </w:r>
            <w:r>
              <w:rPr>
                <w:rFonts w:ascii="Times New Roman" w:eastAsia="Times New Roman" w:hAnsi="Times New Roman" w:cs="Times New Roman"/>
                <w:color w:val="000000"/>
                <w:spacing w:val="0"/>
                <w:w w:val="100"/>
                <w:position w:val="0"/>
              </w:rPr>
              <w:t>4</w:t>
            </w:r>
            <w:r>
              <w:rPr>
                <w:color w:val="000000"/>
                <w:spacing w:val="0"/>
                <w:w w:val="100"/>
                <w:position w:val="0"/>
              </w:rPr>
              <w:t>、四大核心引擎；</w:t>
            </w:r>
            <w:r>
              <w:rPr>
                <w:rFonts w:ascii="Times New Roman" w:eastAsia="Times New Roman" w:hAnsi="Times New Roman" w:cs="Times New Roman"/>
                <w:color w:val="000000"/>
                <w:spacing w:val="0"/>
                <w:w w:val="100"/>
                <w:position w:val="0"/>
              </w:rPr>
              <w:t>5</w:t>
            </w:r>
            <w:r>
              <w:rPr>
                <w:color w:val="000000"/>
                <w:spacing w:val="0"/>
                <w:w w:val="100"/>
                <w:position w:val="0"/>
              </w:rPr>
              <w:t>、互联网产品营销。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数据分析研发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1,482,215.84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项目包括：</w:t>
            </w:r>
            <w:r>
              <w:rPr>
                <w:rFonts w:ascii="Times New Roman" w:eastAsia="Times New Roman" w:hAnsi="Times New Roman" w:cs="Times New Roman"/>
                <w:color w:val="000000"/>
                <w:spacing w:val="0"/>
                <w:w w:val="100"/>
                <w:position w:val="0"/>
              </w:rPr>
              <w:t>1</w:t>
            </w:r>
            <w:r>
              <w:rPr>
                <w:color w:val="000000"/>
                <w:spacing w:val="0"/>
                <w:w w:val="100"/>
                <w:position w:val="0"/>
              </w:rPr>
              <w:t>、智能分析系统（简称</w:t>
            </w:r>
            <w:r>
              <w:rPr>
                <w:rFonts w:ascii="Times New Roman" w:eastAsia="Times New Roman" w:hAnsi="Times New Roman" w:cs="Times New Roman"/>
                <w:color w:val="000000"/>
                <w:spacing w:val="0"/>
                <w:w w:val="100"/>
                <w:position w:val="0"/>
              </w:rPr>
              <w:t>ID@ata</w:t>
            </w:r>
            <w:r>
              <w:rPr>
                <w:color w:val="000000"/>
                <w:spacing w:val="0"/>
                <w:w w:val="100"/>
                <w:position w:val="0"/>
              </w:rPr>
              <w:t>）,</w:t>
            </w:r>
            <w:r>
              <w:rPr>
                <w:color w:val="000000"/>
                <w:spacing w:val="0"/>
                <w:w w:val="100"/>
                <w:position w:val="0"/>
              </w:rPr>
              <w:t xml:space="preserve">面向税务局客户各业务部 门分析发票的需求，使用大数据、人工智能技术，智能高效地对发票票 面信息进行解读、分类、清洗处理问题数据，使深度分析利用成为可能。 在此基础上，逐步发展用于规范企业用票行为、涉税风险筛查、产业分 析等一系列业务应用。本系统兼顾了 </w:t>
            </w:r>
            <w:r>
              <w:rPr>
                <w:rFonts w:ascii="Times New Roman" w:eastAsia="Times New Roman" w:hAnsi="Times New Roman" w:cs="Times New Roman"/>
                <w:color w:val="000000"/>
                <w:spacing w:val="0"/>
                <w:w w:val="100"/>
                <w:position w:val="0"/>
              </w:rPr>
              <w:t>SBU</w:t>
            </w:r>
            <w:r>
              <w:rPr>
                <w:color w:val="000000"/>
                <w:spacing w:val="0"/>
                <w:w w:val="100"/>
                <w:position w:val="0"/>
              </w:rPr>
              <w:t>金融科技战略需要（税收经济 分析）、行业拓展需要（风险筛查系列）；</w:t>
            </w:r>
            <w:r>
              <w:rPr>
                <w:rFonts w:ascii="Times New Roman" w:eastAsia="Times New Roman" w:hAnsi="Times New Roman" w:cs="Times New Roman"/>
                <w:color w:val="000000"/>
                <w:spacing w:val="0"/>
                <w:w w:val="100"/>
                <w:position w:val="0"/>
              </w:rPr>
              <w:t>2</w:t>
            </w:r>
            <w:r>
              <w:rPr>
                <w:color w:val="000000"/>
                <w:spacing w:val="0"/>
                <w:w w:val="100"/>
                <w:position w:val="0"/>
              </w:rPr>
              <w:t>、商标图像智能检索的研发， 面向商标局现有商标检索能力提升，属于基础业务能力提升；并可支持 商标注册代理服务中的商标快速检索功能，满足金融科技战略需要。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聚合支付项目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1,401,234.47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项目主要包括：</w:t>
            </w:r>
            <w:r>
              <w:rPr>
                <w:rFonts w:ascii="Times New Roman" w:eastAsia="Times New Roman" w:hAnsi="Times New Roman" w:cs="Times New Roman"/>
                <w:color w:val="000000"/>
                <w:spacing w:val="0"/>
                <w:w w:val="100"/>
                <w:position w:val="0"/>
              </w:rPr>
              <w:t>1</w:t>
            </w:r>
            <w:r>
              <w:rPr>
                <w:color w:val="000000"/>
                <w:spacing w:val="0"/>
                <w:w w:val="100"/>
                <w:position w:val="0"/>
              </w:rPr>
              <w:t>、跨行业商户会员体系，</w:t>
            </w:r>
            <w:r>
              <w:rPr>
                <w:rFonts w:ascii="Times New Roman" w:eastAsia="Times New Roman" w:hAnsi="Times New Roman" w:cs="Times New Roman"/>
                <w:color w:val="000000"/>
                <w:spacing w:val="0"/>
                <w:w w:val="100"/>
                <w:position w:val="0"/>
              </w:rPr>
              <w:t>2</w:t>
            </w:r>
            <w:r>
              <w:rPr>
                <w:color w:val="000000"/>
                <w:spacing w:val="0"/>
                <w:w w:val="100"/>
                <w:position w:val="0"/>
              </w:rPr>
              <w:t>、集中商户管理，包括客户 经理移动管理、商户分级；</w:t>
            </w:r>
            <w:r>
              <w:rPr>
                <w:rFonts w:ascii="Times New Roman" w:eastAsia="Times New Roman" w:hAnsi="Times New Roman" w:cs="Times New Roman"/>
                <w:color w:val="000000"/>
                <w:spacing w:val="0"/>
                <w:w w:val="100"/>
                <w:position w:val="0"/>
              </w:rPr>
              <w:t>3</w:t>
            </w:r>
            <w:r>
              <w:rPr>
                <w:color w:val="000000"/>
                <w:spacing w:val="0"/>
                <w:w w:val="100"/>
                <w:position w:val="0"/>
              </w:rPr>
              <w:t>、商户增值服务，包括买单服务；</w:t>
            </w:r>
            <w:r>
              <w:rPr>
                <w:rFonts w:ascii="Times New Roman" w:eastAsia="Times New Roman" w:hAnsi="Times New Roman" w:cs="Times New Roman"/>
                <w:color w:val="000000"/>
                <w:spacing w:val="0"/>
                <w:w w:val="100"/>
                <w:position w:val="0"/>
              </w:rPr>
              <w:t>4</w:t>
            </w:r>
            <w:r>
              <w:rPr>
                <w:color w:val="000000"/>
                <w:spacing w:val="0"/>
                <w:w w:val="100"/>
                <w:position w:val="0"/>
              </w:rPr>
              <w:t>、支付 中心场景化展示，便于银行客户更直观的感受场景支付产品；</w:t>
            </w:r>
            <w:r>
              <w:rPr>
                <w:rFonts w:ascii="Times New Roman" w:eastAsia="Times New Roman" w:hAnsi="Times New Roman" w:cs="Times New Roman"/>
                <w:color w:val="000000"/>
                <w:spacing w:val="0"/>
                <w:w w:val="100"/>
                <w:position w:val="0"/>
              </w:rPr>
              <w:t>5</w:t>
            </w:r>
            <w:r>
              <w:rPr>
                <w:color w:val="000000"/>
                <w:spacing w:val="0"/>
                <w:w w:val="100"/>
                <w:position w:val="0"/>
              </w:rPr>
              <w:t>、研发过 程满足产品中心持续集成要求。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智慧网点项目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1,384,603.25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项目主要研发关于智能运营平台的视频银行、数字化运营、智慧网点群 系统。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大数据服务平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台研发项目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1,115,011.08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项目定位于专业的数据集成解决方案服务提供商</w:t>
            </w:r>
            <w:r>
              <w:rPr>
                <w:color w:val="000000"/>
                <w:spacing w:val="0"/>
                <w:w w:val="100"/>
                <w:position w:val="0"/>
              </w:rPr>
              <w:t>，</w:t>
            </w:r>
            <w:r>
              <w:rPr>
                <w:color w:val="000000"/>
                <w:spacing w:val="0"/>
                <w:w w:val="100"/>
                <w:position w:val="0"/>
              </w:rPr>
              <w:t>提供</w:t>
            </w:r>
            <w:r>
              <w:rPr>
                <w:rFonts w:ascii="Times New Roman" w:eastAsia="Times New Roman" w:hAnsi="Times New Roman" w:cs="Times New Roman"/>
                <w:color w:val="000000"/>
                <w:spacing w:val="0"/>
                <w:w w:val="100"/>
                <w:position w:val="0"/>
              </w:rPr>
              <w:t>TurboDX</w:t>
            </w:r>
            <w:r>
              <w:rPr>
                <w:color w:val="000000"/>
                <w:spacing w:val="0"/>
                <w:w w:val="100"/>
                <w:position w:val="0"/>
              </w:rPr>
              <w:t>企业级 数据集成服务平台产品，可用于异构数据复制同步、数据交换整合、数 据加载等数据集成应用场景。主要的目标客户为政府单位以及大型国有 企业单位。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收尾阶段</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基础研究与行</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9,754,971.15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主要涉及分布式、区块链、大数据、微服务、云计算、移动互联、金融 基础架构、人工智能、量子信息技术、智能运维等领域。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项目进行中</w:t>
            </w:r>
          </w:p>
        </w:tc>
      </w:tr>
      <w:tr>
        <w:trPr>
          <w:trHeight w:val="4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38,970,071.46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公司制定了《资本化研发项目管理办法》，对申报条件要求、评审流程及办法、组织职责、管理机制及财务核算原则等 进行了详细规定。上述资本化项目的立项评审、研发过程监控、变更控制及知识产权管理等，均按照《资本化研发项目管理 办法》实施，并按季度进行审计。公司在研发支出资本化方面有效执行相关制度，保证研发支出计量和确认的准确性、一致 性，公司研发支出资本化的处理符合《企业会计准则》的相关规定。</w:t>
      </w:r>
    </w:p>
    <w:p>
      <w:pPr>
        <w:pStyle w:val="Style3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研发投入资本化率大幅变动的原因及其合理性说明</w:t>
      </w:r>
    </w:p>
    <w:p>
      <w:pPr>
        <w:pStyle w:val="Style37"/>
        <w:keepNext w:val="0"/>
        <w:keepLines w:val="0"/>
        <w:widowControl w:val="0"/>
        <w:shd w:val="clear" w:color="auto" w:fill="auto"/>
        <w:bidi w:val="0"/>
        <w:spacing w:before="0" w:after="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2342"/>
        <w:gridCol w:w="2338"/>
        <w:gridCol w:w="2347"/>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11,382,775,270.98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10,580,639,357.22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11,060,918,528.41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10,290,671,805.02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321,856,742.57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289,967,552.20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12,366,204,506.53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12,855,948,194.22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11,834,006,518.17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12,489,359,131.87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532,197,988.36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366,589,062.35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1,101,414,075.90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1,037,335,312.45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1,523,610,574.46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1,825,616,653.87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-422,196,498.56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-788,281,341.42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46.44%</w:t>
            </w:r>
          </w:p>
        </w:tc>
      </w:tr>
      <w:tr>
        <w:trPr>
          <w:trHeight w:val="4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429,668,119.40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-133,506,732.22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421.83%</w:t>
            </w:r>
          </w:p>
        </w:tc>
      </w:tr>
    </w:tbl>
    <w:p>
      <w:pPr>
        <w:pStyle w:val="Style37"/>
        <w:keepNext w:val="0"/>
        <w:keepLines w:val="0"/>
        <w:widowControl w:val="0"/>
        <w:shd w:val="clear" w:color="auto" w:fill="auto"/>
        <w:bidi w:val="0"/>
        <w:spacing w:before="0" w:after="140" w:line="365" w:lineRule="exact"/>
        <w:ind w:left="0" w:right="0" w:firstLine="0"/>
        <w:jc w:val="left"/>
      </w:pPr>
      <w:r>
        <w:rPr>
          <w:color w:val="000000"/>
          <w:spacing w:val="0"/>
          <w:w w:val="100"/>
          <w:position w:val="0"/>
        </w:rPr>
        <w:t>相关数据同比发生重大变动的主要影响因素说明</w:t>
      </w:r>
    </w:p>
    <w:p>
      <w:pPr>
        <w:pStyle w:val="Style37"/>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tabs>
          <w:tab w:pos="334" w:val="left"/>
        </w:tabs>
        <w:bidi w:val="0"/>
        <w:spacing w:before="0" w:after="0" w:line="240" w:lineRule="auto"/>
        <w:ind w:left="0" w:right="0" w:firstLine="0"/>
        <w:jc w:val="left"/>
      </w:pPr>
      <w:bookmarkStart w:id="166" w:name="bookmark166"/>
      <w:r>
        <w:rPr>
          <w:color w:val="000000"/>
          <w:spacing w:val="0"/>
          <w:w w:val="100"/>
          <w:position w:val="0"/>
        </w:rPr>
        <w:t>1</w:t>
      </w:r>
      <w:bookmarkEnd w:id="166"/>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rPr>
        <w:t>45.18%</w:t>
      </w:r>
      <w:r>
        <w:rPr>
          <w:color w:val="000000"/>
          <w:spacing w:val="0"/>
          <w:w w:val="100"/>
          <w:position w:val="0"/>
        </w:rPr>
        <w:t>，主要原因是报告期内收回对外投资所致；</w:t>
      </w:r>
    </w:p>
    <w:p>
      <w:pPr>
        <w:pStyle w:val="Style37"/>
        <w:keepNext w:val="0"/>
        <w:keepLines w:val="0"/>
        <w:widowControl w:val="0"/>
        <w:shd w:val="clear" w:color="auto" w:fill="auto"/>
        <w:tabs>
          <w:tab w:pos="344" w:val="left"/>
        </w:tabs>
        <w:bidi w:val="0"/>
        <w:spacing w:before="0" w:after="140" w:line="365" w:lineRule="exact"/>
        <w:ind w:left="0" w:right="0" w:firstLine="0"/>
        <w:jc w:val="left"/>
      </w:pPr>
      <w:bookmarkStart w:id="167" w:name="bookmark167"/>
      <w:r>
        <w:rPr>
          <w:color w:val="000000"/>
          <w:spacing w:val="0"/>
          <w:w w:val="100"/>
          <w:position w:val="0"/>
        </w:rPr>
        <w:t>2</w:t>
      </w:r>
      <w:bookmarkEnd w:id="167"/>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rPr>
        <w:t>46.44%</w:t>
      </w:r>
      <w:r>
        <w:rPr>
          <w:color w:val="000000"/>
          <w:spacing w:val="0"/>
          <w:w w:val="100"/>
          <w:position w:val="0"/>
        </w:rPr>
        <w:t>，主要原因是报告期内净偿还贷款减少所致。 报告期内公司经营活动产生的现金净流量与本年度净利润存在重大差异的原因说明</w:t>
      </w:r>
    </w:p>
    <w:p>
      <w:pPr>
        <w:pStyle w:val="Style37"/>
        <w:keepNext w:val="0"/>
        <w:keepLines w:val="0"/>
        <w:widowControl w:val="0"/>
        <w:shd w:val="clear" w:color="auto" w:fill="auto"/>
        <w:bidi w:val="0"/>
        <w:spacing w:before="0" w:after="200" w:line="42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、非主营业务分析</w:t>
      </w:r>
      <w:bookmarkEnd w:id="168"/>
      <w:bookmarkEnd w:id="169"/>
      <w:bookmarkEnd w:id="171"/>
    </w:p>
    <w:p>
      <w:pPr>
        <w:pStyle w:val="Style37"/>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54"/>
        <w:gridCol w:w="1560"/>
        <w:gridCol w:w="2693"/>
        <w:gridCol w:w="2347"/>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309,333,562.02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处置长期股权投资及交易性金融 资产取得的投资收益、权益法核算 的长期股权投资收益等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处置长期股权投资及交易性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金融资产取得的投资收益不</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具有可持续性</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-5,971,463.87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交易性金融资产公允价值变动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-350,224,752.93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计提商誉减值损失、存货跌价、应 收款项预期信用损失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22,553,515.35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中农信达应收账款差额补偿、收取 违约金、处置固定资产利得等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10,773,547.91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支付退货赔偿金、对外捐赠、处置 固定资产损失等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、资产及负债状况分析</w:t>
      </w:r>
      <w:bookmarkEnd w:id="172"/>
      <w:bookmarkEnd w:id="173"/>
      <w:bookmarkEnd w:id="175"/>
    </w:p>
    <w:p>
      <w:pPr>
        <w:pStyle w:val="Style41"/>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25"/>
        <w:gridCol w:w="1277"/>
        <w:gridCol w:w="1416"/>
        <w:gridCol w:w="1277"/>
        <w:gridCol w:w="994"/>
        <w:gridCol w:w="1920"/>
      </w:tblGrid>
      <w:tr>
        <w:trPr>
          <w:trHeight w:val="47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6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1,941,313,168.04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1,448,892,189.10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主要系本期收到鼎捷软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件转让款所致</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1,946,829,284.49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1,900,262,240.49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2,784,103,976.38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2,781,307,306.90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13,630,176.99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14,001,627.67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163,000,470.68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477,177,638.66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主要系本期转让联营公 司鼎捷软件股权所致</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453,057,913.67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490,712,621.32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722,279,881.25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952,479,511.83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主要系本期融资规模下 降所致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1,640,000,224.71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1,187,173,243.20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主要系本期收入增长所 致</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750,007,662.48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796,579,126.35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998"/>
        <w:gridCol w:w="1133"/>
        <w:gridCol w:w="994"/>
        <w:gridCol w:w="1133"/>
        <w:gridCol w:w="710"/>
        <w:gridCol w:w="1272"/>
        <w:gridCol w:w="1277"/>
        <w:gridCol w:w="994"/>
        <w:gridCol w:w="107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本期公允价值</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计入权益的累计</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本期计提</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的减值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本期购买金额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本期出售金额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其他变动</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期末数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交易性金融 资产（不含衍 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796,579,126.35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-5,971,463.87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11,664,500,000.00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11,700,600,000.00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750,007,662.48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其他权益工</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113,274,212.00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51,320,671.62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9,765,470.06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154,829,413.56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金融资产小计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909,853,338.35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45,349,207.75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11,664,500,000.00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11,710,365,470.06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904,837,076.04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909,853,338.35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45,349,207.75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11,664,500,000.00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11,710,365,470.06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904,837,076.04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bl>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其他变动的内容</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其他变动原因为本年处置子公司北京神州邦邦技术服务有限公司而减少的交易性金融资产。</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报告期内公司主要资产计量属性是否发生重大变化</w:t>
      </w:r>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keepLines/>
        <w:widowControl w:val="0"/>
        <w:shd w:val="clear" w:color="auto" w:fill="auto"/>
        <w:bidi w:val="0"/>
        <w:spacing w:before="0" w:after="2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p>
      <w:pPr>
        <w:pStyle w:val="Style3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 xml:space="preserve">本报告期末受限货币资金余额为161, 476, 574, 49元，其中国内信用证付款保证金139, 980, </w:t>
      </w:r>
      <w:r>
        <w:rPr>
          <w:color w:val="000000"/>
          <w:spacing w:val="0"/>
          <w:w w:val="100"/>
          <w:position w:val="0"/>
        </w:rPr>
        <w:t xml:space="preserve">697. </w:t>
      </w:r>
      <w:r>
        <w:rPr>
          <w:color w:val="000000"/>
          <w:spacing w:val="0"/>
          <w:w w:val="100"/>
          <w:position w:val="0"/>
        </w:rPr>
        <w:t>36元、定期存款</w:t>
      </w:r>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10, 000, </w:t>
      </w:r>
      <w:r>
        <w:rPr>
          <w:color w:val="000000"/>
          <w:spacing w:val="0"/>
          <w:w w:val="100"/>
          <w:position w:val="0"/>
        </w:rPr>
        <w:t>000.00</w:t>
      </w:r>
      <w:r>
        <w:rPr>
          <w:color w:val="000000"/>
          <w:spacing w:val="0"/>
          <w:w w:val="100"/>
          <w:position w:val="0"/>
        </w:rPr>
        <w:t>元、保函保证金</w:t>
      </w:r>
      <w:r>
        <w:rPr>
          <w:color w:val="000000"/>
          <w:spacing w:val="0"/>
          <w:w w:val="100"/>
          <w:position w:val="0"/>
        </w:rPr>
        <w:t>2,398,513.6</w:t>
      </w:r>
      <w:r>
        <w:rPr>
          <w:color w:val="000000"/>
          <w:spacing w:val="0"/>
          <w:w w:val="100"/>
          <w:position w:val="0"/>
        </w:rPr>
        <w:t>0元、因尚未完成服务冻结的共管户资金</w:t>
      </w:r>
      <w:r>
        <w:rPr>
          <w:color w:val="000000"/>
          <w:spacing w:val="0"/>
          <w:w w:val="100"/>
          <w:position w:val="0"/>
        </w:rPr>
        <w:t>2,016,797.90</w:t>
      </w:r>
      <w:r>
        <w:rPr>
          <w:color w:val="000000"/>
          <w:spacing w:val="0"/>
          <w:w w:val="100"/>
          <w:position w:val="0"/>
        </w:rPr>
        <w:t>元、因未决诉讼被冻结的 资金</w:t>
      </w:r>
      <w:r>
        <w:rPr>
          <w:color w:val="000000"/>
          <w:spacing w:val="0"/>
          <w:w w:val="100"/>
          <w:position w:val="0"/>
        </w:rPr>
        <w:t>7,080,565.63</w:t>
      </w:r>
      <w:r>
        <w:rPr>
          <w:color w:val="000000"/>
          <w:spacing w:val="0"/>
          <w:w w:val="100"/>
          <w:position w:val="0"/>
        </w:rPr>
        <w:t>元。除此之外，截至报告期末，公司不存在其他主要资产被查封、扣押、冻结或者补抵押、质押的情况。</w:t>
      </w:r>
    </w:p>
    <w:p>
      <w:pPr>
        <w:pStyle w:val="Style35"/>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w:t>
      </w:r>
      <w:bookmarkEnd w:id="188"/>
      <w:bookmarkEnd w:id="189"/>
      <w:bookmarkEnd w:id="191"/>
    </w:p>
    <w:p>
      <w:pPr>
        <w:pStyle w:val="Style41"/>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142,243,000.00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355,931,627.20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w:t>
            </w:r>
          </w:p>
        </w:tc>
      </w:tr>
    </w:tbl>
    <w:p>
      <w:pPr>
        <w:widowControl w:val="0"/>
        <w:spacing w:after="359" w:line="1" w:lineRule="exact"/>
      </w:pPr>
    </w:p>
    <w:p>
      <w:pPr>
        <w:pStyle w:val="Style41"/>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报告期内获取的重大的股权投资情况</w:t>
      </w:r>
      <w:bookmarkEnd w:id="196"/>
      <w:bookmarkEnd w:id="197"/>
      <w:bookmarkEnd w:id="199"/>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金融资产投资</w:t>
      </w:r>
      <w:bookmarkEnd w:id="204"/>
      <w:bookmarkEnd w:id="205"/>
      <w:bookmarkEnd w:id="207"/>
    </w:p>
    <w:p>
      <w:pPr>
        <w:pStyle w:val="Style41"/>
        <w:keepNext/>
        <w:keepLines/>
        <w:widowControl w:val="0"/>
        <w:shd w:val="clear" w:color="auto" w:fill="auto"/>
        <w:tabs>
          <w:tab w:pos="493" w:val="left"/>
        </w:tabs>
        <w:bidi w:val="0"/>
        <w:spacing w:before="0" w:line="240" w:lineRule="auto"/>
        <w:ind w:left="0" w:right="0" w:firstLine="0"/>
        <w:jc w:val="left"/>
      </w:pPr>
      <w:bookmarkStart w:id="204" w:name="bookmark204"/>
      <w:bookmarkStart w:id="205" w:name="bookmark205"/>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4"/>
      <w:bookmarkEnd w:id="205"/>
      <w:bookmarkEnd w:id="209"/>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0"/>
      <w:bookmarkEnd w:id="211"/>
      <w:bookmarkEnd w:id="213"/>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41"/>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w:t>
        <w:tab/>
        <w:t>募集资金使用情况</w:t>
      </w:r>
      <w:bookmarkEnd w:id="214"/>
      <w:bookmarkEnd w:id="215"/>
      <w:bookmarkEnd w:id="21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41"/>
        <w:keepNext/>
        <w:keepLines/>
        <w:widowControl w:val="0"/>
        <w:numPr>
          <w:ilvl w:val="0"/>
          <w:numId w:val="5"/>
        </w:numPr>
        <w:shd w:val="clear" w:color="auto" w:fill="auto"/>
        <w:bidi w:val="0"/>
        <w:spacing w:before="0" w:after="34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募集资金总体使用情况</w:t>
      </w:r>
      <w:bookmarkEnd w:id="218"/>
      <w:bookmarkEnd w:id="219"/>
      <w:bookmarkEnd w:id="221"/>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9"/>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2,502.48</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96,264.19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2,502.48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2,502.48</w:t>
            </w:r>
          </w:p>
        </w:tc>
      </w:tr>
      <w:tr>
        <w:trPr>
          <w:trHeight w:val="461"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87" w:hRule="exact"/>
        </w:trPr>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numPr>
                <w:ilvl w:val="0"/>
                <w:numId w:val="7"/>
              </w:numPr>
              <w:shd w:val="clear" w:color="auto" w:fill="auto"/>
              <w:tabs>
                <w:tab w:pos="34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年变更募集资金</w:t>
            </w:r>
            <w:r>
              <w:rPr>
                <w:rFonts w:ascii="Times New Roman" w:eastAsia="Times New Roman" w:hAnsi="Times New Roman" w:cs="Times New Roman"/>
                <w:color w:val="000000"/>
                <w:spacing w:val="0"/>
                <w:w w:val="100"/>
                <w:position w:val="0"/>
              </w:rPr>
              <w:t>413.89</w:t>
            </w:r>
            <w:r>
              <w:rPr>
                <w:color w:val="000000"/>
                <w:spacing w:val="0"/>
                <w:w w:val="100"/>
                <w:position w:val="0"/>
              </w:rPr>
              <w:t>万元，系收购中农信达项目的募集资金节余自动转为补充流动资金；</w:t>
            </w:r>
          </w:p>
          <w:p>
            <w:pPr>
              <w:pStyle w:val="Style29"/>
              <w:keepNext w:val="0"/>
              <w:keepLines w:val="0"/>
              <w:widowControl w:val="0"/>
              <w:numPr>
                <w:ilvl w:val="0"/>
                <w:numId w:val="7"/>
              </w:numPr>
              <w:shd w:val="clear" w:color="auto" w:fill="auto"/>
              <w:tabs>
                <w:tab w:pos="427"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日，本公司召开第八届董事会第九次会议、第八届监事会第九次会议，会议审议通过了《关于变更剩 余募集资金用途用于永久补充流动资金的议案》，同意将公司</w:t>
            </w:r>
            <w:r>
              <w:rPr>
                <w:rFonts w:ascii="Times New Roman" w:eastAsia="Times New Roman" w:hAnsi="Times New Roman" w:cs="Times New Roman"/>
                <w:color w:val="000000"/>
                <w:spacing w:val="0"/>
                <w:w w:val="100"/>
                <w:position w:val="0"/>
              </w:rPr>
              <w:t>2013</w:t>
            </w:r>
            <w:r>
              <w:rPr>
                <w:color w:val="000000"/>
                <w:spacing w:val="0"/>
                <w:w w:val="100"/>
                <w:position w:val="0"/>
              </w:rPr>
              <w:t>年重大资产重组项目剩余募集资金</w:t>
            </w:r>
            <w:r>
              <w:rPr>
                <w:rFonts w:ascii="Times New Roman" w:eastAsia="Times New Roman" w:hAnsi="Times New Roman" w:cs="Times New Roman"/>
                <w:color w:val="000000"/>
                <w:spacing w:val="0"/>
                <w:w w:val="100"/>
                <w:position w:val="0"/>
              </w:rPr>
              <w:t>27,381,768.29</w:t>
            </w:r>
            <w:r>
              <w:rPr>
                <w:color w:val="000000"/>
                <w:spacing w:val="0"/>
                <w:w w:val="100"/>
                <w:position w:val="0"/>
              </w:rPr>
              <w:t>元(含 利息，具体结算金额由转入自有资金账户当日实际金额为准)用于永久补充流动资金。</w:t>
            </w:r>
          </w:p>
        </w:tc>
      </w:tr>
    </w:tbl>
    <w:p>
      <w:pPr>
        <w:widowControl w:val="0"/>
        <w:spacing w:after="339" w:line="1" w:lineRule="exact"/>
      </w:pPr>
    </w:p>
    <w:p>
      <w:pPr>
        <w:pStyle w:val="Style41"/>
        <w:keepNext/>
        <w:keepLines/>
        <w:widowControl w:val="0"/>
        <w:numPr>
          <w:ilvl w:val="0"/>
          <w:numId w:val="5"/>
        </w:numPr>
        <w:shd w:val="clear" w:color="auto" w:fill="auto"/>
        <w:bidi w:val="0"/>
        <w:spacing w:before="0" w:after="34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募集资金承诺项目情况</w:t>
      </w:r>
      <w:bookmarkEnd w:id="222"/>
      <w:bookmarkEnd w:id="223"/>
      <w:bookmarkEnd w:id="225"/>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9"/>
              <w:keepNext w:val="0"/>
              <w:keepLines w:val="0"/>
              <w:widowControl w:val="0"/>
              <w:shd w:val="clear" w:color="auto" w:fill="auto"/>
              <w:bidi w:val="0"/>
              <w:spacing w:before="0" w:after="0" w:line="36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2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实现的效</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66"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偿还欠付昆山开发 区国投控股有限公司 债务</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13,830.42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中介机构费用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迁址费用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人员安置费用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其他并购整合费用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支付中农信达股权 转让款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支付收购中农信达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的中介机构费用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支付收购中农信达</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支付华苏科技股权 转让款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96,264.18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66"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98,766.67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96,264.18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未达到计划进度或预 计收益的情况和原因</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超募资金的金额、用途</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6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本公司先期已经以自有资金支付的购买中农信达募集配套资金项目</w:t>
            </w:r>
            <w:r>
              <w:rPr>
                <w:rFonts w:ascii="Times New Roman" w:eastAsia="Times New Roman" w:hAnsi="Times New Roman" w:cs="Times New Roman"/>
                <w:color w:val="000000"/>
                <w:spacing w:val="0"/>
                <w:w w:val="100"/>
                <w:position w:val="0"/>
              </w:rPr>
              <w:t>2,367,691.95</w:t>
            </w:r>
            <w:r>
              <w:rPr>
                <w:color w:val="000000"/>
                <w:spacing w:val="0"/>
                <w:w w:val="100"/>
                <w:position w:val="0"/>
              </w:rPr>
              <w:t>元，于</w:t>
            </w:r>
            <w:r>
              <w:rPr>
                <w:rFonts w:ascii="Times New Roman" w:eastAsia="Times New Roman" w:hAnsi="Times New Roman" w:cs="Times New Roman"/>
                <w:color w:val="000000"/>
                <w:spacing w:val="0"/>
                <w:w w:val="100"/>
                <w:position w:val="0"/>
              </w:rPr>
              <w:t>2015</w:t>
            </w:r>
            <w:r>
              <w:rPr>
                <w:color w:val="000000"/>
                <w:spacing w:val="0"/>
                <w:w w:val="100"/>
                <w:position w:val="0"/>
              </w:rPr>
              <w:t>年自募 集配套资金中置换。该事项业经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日信永中和会计师事务所以</w:t>
            </w:r>
            <w:r>
              <w:rPr>
                <w:rFonts w:ascii="Times New Roman" w:eastAsia="Times New Roman" w:hAnsi="Times New Roman" w:cs="Times New Roman"/>
                <w:color w:val="000000"/>
                <w:spacing w:val="0"/>
                <w:w w:val="100"/>
                <w:position w:val="0"/>
              </w:rPr>
              <w:t>“XYZH/2013A1054-7”</w:t>
            </w:r>
            <w:r>
              <w:rPr>
                <w:color w:val="000000"/>
                <w:spacing w:val="0"/>
                <w:w w:val="100"/>
                <w:position w:val="0"/>
              </w:rPr>
              <w:t>号 鉴证报告予以鉴证。本公司第六届董事会</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年第一次临时会议审议通过以非公开发行股票募集配 套资金</w:t>
            </w:r>
            <w:r>
              <w:rPr>
                <w:rFonts w:ascii="Times New Roman" w:eastAsia="Times New Roman" w:hAnsi="Times New Roman" w:cs="Times New Roman"/>
                <w:color w:val="000000"/>
                <w:spacing w:val="0"/>
                <w:w w:val="100"/>
                <w:position w:val="0"/>
              </w:rPr>
              <w:t>2,367,691.95</w:t>
            </w:r>
            <w:r>
              <w:rPr>
                <w:color w:val="000000"/>
                <w:spacing w:val="0"/>
                <w:w w:val="100"/>
                <w:position w:val="0"/>
              </w:rPr>
              <w:t>元置换预先投入募集配套资金使用项目的自筹资金。</w:t>
            </w:r>
          </w:p>
        </w:tc>
      </w:tr>
      <w:tr>
        <w:trPr>
          <w:trHeight w:val="46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93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310"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日召开的第七届董事会第一次会议审议通过了《关于使用部分闲置募集资 金暂时补充流动资金的议案》，使用不超过</w:t>
            </w:r>
            <w:r>
              <w:rPr>
                <w:rFonts w:ascii="Times New Roman" w:eastAsia="Times New Roman" w:hAnsi="Times New Roman" w:cs="Times New Roman"/>
                <w:color w:val="000000"/>
                <w:spacing w:val="0"/>
                <w:w w:val="100"/>
                <w:position w:val="0"/>
              </w:rPr>
              <w:t>2,500</w:t>
            </w:r>
            <w:r>
              <w:rPr>
                <w:color w:val="000000"/>
                <w:spacing w:val="0"/>
                <w:w w:val="100"/>
                <w:position w:val="0"/>
              </w:rPr>
              <w:t>万元闲置募集资金暂时补充流动资金，使用期限不 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个月。补充的流动资金仅限用于与公司主营业务相关的生产经营活动。此部分流动资金已于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日一次性全部归还至募集资金专用账户。</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日召开的第七届董事会第三次临时会议审议通过了《关于使用闲置募集资 金暂时补充流动资金的议案》，使用不超过</w:t>
            </w:r>
            <w:r>
              <w:rPr>
                <w:rFonts w:ascii="Times New Roman" w:eastAsia="Times New Roman" w:hAnsi="Times New Roman" w:cs="Times New Roman"/>
                <w:color w:val="000000"/>
                <w:spacing w:val="0"/>
                <w:w w:val="100"/>
                <w:position w:val="0"/>
              </w:rPr>
              <w:t>2,643</w:t>
            </w:r>
            <w:r>
              <w:rPr>
                <w:color w:val="000000"/>
                <w:spacing w:val="0"/>
                <w:w w:val="100"/>
                <w:position w:val="0"/>
              </w:rPr>
              <w:t>万元（含本数）闲置募集资金暂时补充流动资金， 使用期限为自董事会审议通过之日起不超过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个月。补充的流动资金仅限用于与公司主营业务相关 的生产经营活动。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日，公司将上述用于暂时补充流动资金的</w:t>
            </w:r>
            <w:r>
              <w:rPr>
                <w:rFonts w:ascii="Times New Roman" w:eastAsia="Times New Roman" w:hAnsi="Times New Roman" w:cs="Times New Roman"/>
                <w:color w:val="000000"/>
                <w:spacing w:val="0"/>
                <w:w w:val="100"/>
                <w:position w:val="0"/>
              </w:rPr>
              <w:t>2,643</w:t>
            </w:r>
            <w:r>
              <w:rPr>
                <w:color w:val="000000"/>
                <w:spacing w:val="0"/>
                <w:w w:val="100"/>
                <w:position w:val="0"/>
              </w:rPr>
              <w:t>万元闲置募集资金 一次性全部归还至募集资金专用账户。</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日止，中农信达募集资金使用计划均已完成，将募集资金专用账户中国光大银</w:t>
            </w:r>
          </w:p>
        </w:tc>
      </w:tr>
    </w:tbl>
    <w:tbl>
      <w:tblPr>
        <w:tblOverlap w:val="never"/>
        <w:jc w:val="center"/>
        <w:tblLayout w:type="fixed"/>
      </w:tblPr>
      <w:tblGrid>
        <w:gridCol w:w="1776"/>
        <w:gridCol w:w="7805"/>
      </w:tblGrid>
      <w:tr>
        <w:trPr>
          <w:trHeight w:val="677"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行中关村支行剩余资金</w:t>
            </w:r>
            <w:r>
              <w:rPr>
                <w:rFonts w:ascii="Times New Roman" w:eastAsia="Times New Roman" w:hAnsi="Times New Roman" w:cs="Times New Roman"/>
                <w:color w:val="000000"/>
                <w:spacing w:val="0"/>
                <w:w w:val="100"/>
                <w:position w:val="0"/>
              </w:rPr>
              <w:t>413.89</w:t>
            </w:r>
            <w:r>
              <w:rPr>
                <w:color w:val="000000"/>
                <w:spacing w:val="0"/>
                <w:w w:val="100"/>
                <w:position w:val="0"/>
              </w:rPr>
              <w:t>万元转为永久补充流动资金，并注销该募集资金专用账户（中国光大 银行北京中关村支行账户：</w:t>
            </w:r>
            <w:r>
              <w:rPr>
                <w:rFonts w:ascii="Times New Roman" w:eastAsia="Times New Roman" w:hAnsi="Times New Roman" w:cs="Times New Roman"/>
                <w:color w:val="000000"/>
                <w:spacing w:val="0"/>
                <w:w w:val="100"/>
                <w:position w:val="0"/>
              </w:rPr>
              <w:t>75080188000114242</w:t>
            </w:r>
            <w:r>
              <w:rPr>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日，本公司召开第八届董事会第九次会议、第八届监事会第九次会议，会议审议通 过了《关于变更剩余募集资金用途用于永久补充流动资金的议案》，同意将公司</w:t>
            </w:r>
            <w:r>
              <w:rPr>
                <w:rFonts w:ascii="Times New Roman" w:eastAsia="Times New Roman" w:hAnsi="Times New Roman" w:cs="Times New Roman"/>
                <w:color w:val="000000"/>
                <w:spacing w:val="0"/>
                <w:w w:val="100"/>
                <w:position w:val="0"/>
              </w:rPr>
              <w:t>2013</w:t>
            </w:r>
            <w:r>
              <w:rPr>
                <w:color w:val="000000"/>
                <w:spacing w:val="0"/>
                <w:w w:val="100"/>
                <w:position w:val="0"/>
              </w:rPr>
              <w:t>年重大资产重 组项目剩余募集资金</w:t>
            </w:r>
            <w:r>
              <w:rPr>
                <w:rFonts w:ascii="Times New Roman" w:eastAsia="Times New Roman" w:hAnsi="Times New Roman" w:cs="Times New Roman"/>
                <w:color w:val="000000"/>
                <w:spacing w:val="0"/>
                <w:w w:val="100"/>
                <w:position w:val="0"/>
              </w:rPr>
              <w:t>27,381,768.29</w:t>
            </w:r>
            <w:r>
              <w:rPr>
                <w:color w:val="000000"/>
                <w:spacing w:val="0"/>
                <w:w w:val="100"/>
                <w:position w:val="0"/>
              </w:rPr>
              <w:t>元（含利息，具体结算金额由转入自有资金账户当日实际金额为 准）用于永久补充流动资金。</w:t>
            </w:r>
          </w:p>
        </w:tc>
      </w:tr>
      <w:tr>
        <w:trPr>
          <w:trHeight w:val="10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、因评估基准日后，本公司对昆山开发区国投控股有限公司的债务金额有所变化，故按实际偿还 日的债务金额偿还债务。</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、中介机构费按照本公司签约额支付。</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6"/>
      <w:bookmarkEnd w:id="227"/>
      <w:bookmarkEnd w:id="229"/>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5"/>
        <w:keepNext/>
        <w:keepLines/>
        <w:widowControl w:val="0"/>
        <w:shd w:val="clear" w:color="auto" w:fill="auto"/>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六</w:t>
      </w:r>
      <w:bookmarkEnd w:id="232"/>
      <w:r>
        <w:rPr>
          <w:color w:val="000000"/>
          <w:spacing w:val="0"/>
          <w:w w:val="100"/>
          <w:position w:val="0"/>
          <w:sz w:val="24"/>
          <w:szCs w:val="24"/>
        </w:rPr>
        <w:t>、重大资产和股权出售</w:t>
      </w:r>
      <w:bookmarkEnd w:id="230"/>
      <w:bookmarkEnd w:id="231"/>
      <w:bookmarkEnd w:id="233"/>
    </w:p>
    <w:p>
      <w:pPr>
        <w:pStyle w:val="Style41"/>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、出售重大资产情况</w:t>
      </w:r>
      <w:bookmarkEnd w:id="234"/>
      <w:bookmarkEnd w:id="235"/>
      <w:bookmarkEnd w:id="237"/>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65" w:bottom="1522" w:left="1057" w:header="0" w:footer="3" w:gutter="0"/>
          <w:cols w:space="720"/>
          <w:noEndnote/>
          <w:rtlGutter w:val="0"/>
          <w:docGrid w:linePitch="360"/>
        </w:sectPr>
      </w:pPr>
      <w:r>
        <w:rPr>
          <w:color w:val="000000"/>
          <w:spacing w:val="0"/>
          <w:w w:val="100"/>
          <w:position w:val="0"/>
        </w:rPr>
        <w:t>公司报告期未出售重大资产。</w:t>
      </w:r>
    </w:p>
    <w:p>
      <w:pPr>
        <w:pStyle w:val="Style41"/>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2</w:t>
      </w:r>
      <w:bookmarkEnd w:id="240"/>
      <w:r>
        <w:rPr>
          <w:color w:val="000000"/>
          <w:spacing w:val="0"/>
          <w:w w:val="100"/>
          <w:position w:val="0"/>
        </w:rPr>
        <w:t>、出售重大股权情况</w:t>
      </w:r>
      <w:bookmarkEnd w:id="238"/>
      <w:bookmarkEnd w:id="239"/>
      <w:bookmarkEnd w:id="241"/>
    </w:p>
    <w:p>
      <w:pPr>
        <w:pStyle w:val="Style2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49"/>
        <w:gridCol w:w="1272"/>
        <w:gridCol w:w="710"/>
        <w:gridCol w:w="850"/>
        <w:gridCol w:w="941"/>
        <w:gridCol w:w="2462"/>
        <w:gridCol w:w="850"/>
        <w:gridCol w:w="850"/>
        <w:gridCol w:w="710"/>
        <w:gridCol w:w="850"/>
        <w:gridCol w:w="710"/>
        <w:gridCol w:w="1133"/>
        <w:gridCol w:w="850"/>
        <w:gridCol w:w="1099"/>
      </w:tblGrid>
      <w:tr>
        <w:trPr>
          <w:trHeight w:val="228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被出售股权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本期初起 至出售日 该股权为 上市公司 贡献的净 利润（万 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出售对公司的影响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股权出售 定价原则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与交易对 方的关联 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是否按计划 如期实施，如</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未按计划实 施，应当说明</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原因及公司 已采取的措 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22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富士康 工业互 联网股 份有限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310" w:lineRule="exact"/>
              <w:ind w:left="0" w:right="0" w:firstLine="0"/>
              <w:jc w:val="left"/>
            </w:pPr>
            <w:r>
              <w:rPr>
                <w:color w:val="000000"/>
                <w:spacing w:val="0"/>
                <w:w w:val="100"/>
                <w:position w:val="0"/>
              </w:rPr>
              <w:t>鼎捷软件股份 有限公司无限 售流通股</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39,971,265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55,959.77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1,951.88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本次交易有利于公司集中资源 把握金融科技发展机遇，强化 对分布式与云计算、人工智能、 大数据等新兴技术的研发，助 力公司在金融信创、场景金融 等领域的发展，进一步提高公 司资产流动性及使用效率。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协议转让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.cninfo.com.c</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七</w:t>
      </w:r>
      <w:bookmarkEnd w:id="244"/>
      <w:r>
        <w:rPr>
          <w:color w:val="000000"/>
          <w:spacing w:val="0"/>
          <w:w w:val="100"/>
          <w:position w:val="0"/>
          <w:sz w:val="24"/>
          <w:szCs w:val="24"/>
        </w:rPr>
        <w:t>、主要控股参股公司分析</w:t>
      </w:r>
      <w:bookmarkEnd w:id="242"/>
      <w:bookmarkEnd w:id="243"/>
      <w:bookmarkEnd w:id="245"/>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3014"/>
        <w:gridCol w:w="994"/>
        <w:gridCol w:w="1555"/>
        <w:gridCol w:w="1704"/>
        <w:gridCol w:w="1416"/>
        <w:gridCol w:w="1421"/>
        <w:gridCol w:w="1416"/>
        <w:gridCol w:w="1262"/>
        <w:gridCol w:w="1253"/>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r>
              <w:rPr>
                <w:color w:val="000000"/>
                <w:spacing w:val="0"/>
                <w:w w:val="100"/>
                <w:position w:val="0"/>
              </w:rPr>
              <w:t>万元人民币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6,052,979,756.04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1,472,996,449.70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6,880,465,299.67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259,370,191.46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239,826,050.36</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10337.7</w:t>
            </w:r>
            <w:r>
              <w:rPr>
                <w:color w:val="000000"/>
                <w:spacing w:val="0"/>
                <w:w w:val="100"/>
                <w:position w:val="0"/>
              </w:rPr>
              <w:t>万元人民币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1,525,825,876.88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923,062,381.00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1,094,529,276.04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160,925,356.54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146,849,840.29</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SOFTWARE(BVI)</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5000</w:t>
            </w:r>
            <w:r>
              <w:rPr>
                <w:color w:val="000000"/>
                <w:spacing w:val="0"/>
                <w:w w:val="100"/>
                <w:position w:val="0"/>
              </w:rPr>
              <w:t>万港元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611,317,351.08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610,508,047.69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241,677,006.24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206,308,705.52</w:t>
            </w:r>
          </w:p>
        </w:tc>
      </w:tr>
    </w:tbl>
    <w:p>
      <w:pPr>
        <w:spacing w:lineRule="exact" w:line="1"/>
        <w:rPr>
          <w:sz w:val="2"/>
          <w:szCs w:val="2"/>
        </w:rPr>
      </w:pPr>
      <w:r>
        <w:br w:type="page"/>
      </w:r>
    </w:p>
    <w:tbl>
      <w:tblPr>
        <w:tblOverlap w:val="never"/>
        <w:jc w:val="center"/>
        <w:tblLayout w:type="fixed"/>
      </w:tblPr>
      <w:tblGrid>
        <w:gridCol w:w="3014"/>
        <w:gridCol w:w="994"/>
        <w:gridCol w:w="1555"/>
        <w:gridCol w:w="1704"/>
        <w:gridCol w:w="1416"/>
        <w:gridCol w:w="1421"/>
        <w:gridCol w:w="1416"/>
        <w:gridCol w:w="1262"/>
        <w:gridCol w:w="1253"/>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网络优化服务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10234</w:t>
            </w:r>
            <w:r>
              <w:rPr>
                <w:color w:val="000000"/>
                <w:spacing w:val="0"/>
                <w:w w:val="100"/>
                <w:position w:val="0"/>
              </w:rPr>
              <w:t>万元人民币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986,166,064.28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592,016,452.20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1,013,974,678.75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74,960,342.51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71,009,468.21</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测绘服务软件销售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611,516,360.08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269,009,836.72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162,592,823.26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-159,686,956.30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-150,027,893.88</w:t>
            </w:r>
          </w:p>
        </w:tc>
      </w:tr>
    </w:tbl>
    <w:p>
      <w:pPr>
        <w:widowControl w:val="0"/>
        <w:spacing w:after="43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707"/>
        <w:gridCol w:w="4680"/>
        <w:gridCol w:w="3648"/>
      </w:tblGrid>
      <w:tr>
        <w:trPr>
          <w:trHeight w:val="44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神州龙安（成都）信息技术服务有限公司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神州龙安（青海）信息技术服务有限公司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神州龙安（内蒙古）信息技术服务有限公司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神州龙安（江苏）信息技术服务有限公司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神州龙安（河北）信息技术服务有限公司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神州龙安（山西）信息技术服务有限公司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北京神州数字科技有限公司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北京云核网络技术有限公司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现金购买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北京神州数码方圆科技有限公司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INFORMATION TECHNOLOGY CO.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新设增加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4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枣强县农村产权交易服务有限公司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股权转让减少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主要控股参股公司情况说明</w:t>
      </w:r>
    </w:p>
    <w:p>
      <w:pPr>
        <w:pStyle w:val="Style37"/>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神州数码融信软件有限公司实现营业收入</w:t>
      </w:r>
      <w:r>
        <w:rPr>
          <w:rFonts w:ascii="Times New Roman" w:eastAsia="Times New Roman" w:hAnsi="Times New Roman" w:cs="Times New Roman"/>
          <w:color w:val="000000"/>
          <w:spacing w:val="0"/>
          <w:w w:val="100"/>
          <w:position w:val="0"/>
        </w:rPr>
        <w:t>10.95</w:t>
      </w:r>
      <w:r>
        <w:rPr>
          <w:color w:val="000000"/>
          <w:spacing w:val="0"/>
          <w:w w:val="100"/>
          <w:position w:val="0"/>
        </w:rPr>
        <w:t>亿，净利润</w:t>
      </w:r>
      <w:r>
        <w:rPr>
          <w:rFonts w:ascii="Times New Roman" w:eastAsia="Times New Roman" w:hAnsi="Times New Roman" w:cs="Times New Roman"/>
          <w:color w:val="000000"/>
          <w:spacing w:val="0"/>
          <w:w w:val="100"/>
          <w:position w:val="0"/>
        </w:rPr>
        <w:t>1.47</w:t>
      </w:r>
      <w:r>
        <w:rPr>
          <w:color w:val="000000"/>
          <w:spacing w:val="0"/>
          <w:w w:val="100"/>
          <w:position w:val="0"/>
        </w:rPr>
        <w:t>亿，同比增长</w:t>
      </w:r>
      <w:r>
        <w:rPr>
          <w:rFonts w:ascii="Times New Roman" w:eastAsia="Times New Roman" w:hAnsi="Times New Roman" w:cs="Times New Roman"/>
          <w:color w:val="000000"/>
          <w:spacing w:val="0"/>
          <w:w w:val="100"/>
          <w:position w:val="0"/>
        </w:rPr>
        <w:t>30.35%</w:t>
      </w:r>
      <w:r>
        <w:rPr>
          <w:color w:val="000000"/>
          <w:spacing w:val="0"/>
          <w:w w:val="100"/>
          <w:position w:val="0"/>
        </w:rPr>
        <w:t>。虽受年初疫情影响，但受益于过往持续的研发投入，相关产品及解决方案成熟度得 到进一步提升，项目管理体系持续优化，使得整体净利润同比明显增长。神州数码系统集成服务有限公司实现营业收入</w:t>
      </w:r>
      <w:r>
        <w:rPr>
          <w:rFonts w:ascii="Times New Roman" w:eastAsia="Times New Roman" w:hAnsi="Times New Roman" w:cs="Times New Roman"/>
          <w:color w:val="000000"/>
          <w:spacing w:val="0"/>
          <w:w w:val="100"/>
          <w:position w:val="0"/>
        </w:rPr>
        <w:t>68.8</w:t>
      </w:r>
      <w:r>
        <w:rPr>
          <w:rFonts w:ascii="Times New Roman" w:eastAsia="Times New Roman" w:hAnsi="Times New Roman" w:cs="Times New Roman"/>
          <w:color w:val="000000"/>
          <w:spacing w:val="0"/>
          <w:w w:val="100"/>
          <w:position w:val="0"/>
        </w:rPr>
        <w:t>0</w:t>
      </w:r>
      <w:r>
        <w:rPr>
          <w:color w:val="000000"/>
          <w:spacing w:val="0"/>
          <w:w w:val="100"/>
          <w:position w:val="0"/>
        </w:rPr>
        <w:t>亿，净利润</w:t>
      </w:r>
      <w:r>
        <w:rPr>
          <w:rFonts w:ascii="Times New Roman" w:eastAsia="Times New Roman" w:hAnsi="Times New Roman" w:cs="Times New Roman"/>
          <w:color w:val="000000"/>
          <w:spacing w:val="0"/>
          <w:w w:val="100"/>
          <w:position w:val="0"/>
        </w:rPr>
        <w:t>2.40</w:t>
      </w:r>
      <w:r>
        <w:rPr>
          <w:color w:val="000000"/>
          <w:spacing w:val="0"/>
          <w:w w:val="100"/>
          <w:position w:val="0"/>
        </w:rPr>
        <w:t>亿，同比增长</w:t>
      </w:r>
      <w:r>
        <w:rPr>
          <w:rFonts w:ascii="Times New Roman" w:eastAsia="Times New Roman" w:hAnsi="Times New Roman" w:cs="Times New Roman"/>
          <w:color w:val="000000"/>
          <w:spacing w:val="0"/>
          <w:w w:val="100"/>
          <w:position w:val="0"/>
        </w:rPr>
        <w:t>83.93%</w:t>
      </w:r>
      <w:r>
        <w:rPr>
          <w:color w:val="000000"/>
          <w:spacing w:val="0"/>
          <w:w w:val="100"/>
          <w:position w:val="0"/>
        </w:rPr>
        <w:t>,主要受益于 公司在行业中深耕多年，业务质量及经营管理效率实现了提升。受农村疫情管控政策影响，较长时间无法开展交付工作，致使北京中农信达信息技术有限公司整体收入、回款受 到较大影响，同时，地信类业务向业务质量更高的场景融合、农业大数据等软件业务转型，以银农直连为代表的场景融合业务取得了高速发展，签约</w:t>
      </w:r>
      <w:r>
        <w:rPr>
          <w:rFonts w:ascii="Times New Roman" w:eastAsia="Times New Roman" w:hAnsi="Times New Roman" w:cs="Times New Roman"/>
          <w:color w:val="000000"/>
          <w:spacing w:val="0"/>
          <w:w w:val="100"/>
          <w:position w:val="0"/>
        </w:rPr>
        <w:t>1.93</w:t>
      </w:r>
      <w:r>
        <w:rPr>
          <w:color w:val="000000"/>
          <w:spacing w:val="0"/>
          <w:w w:val="100"/>
          <w:position w:val="0"/>
        </w:rPr>
        <w:t>亿，但大部分签约未在 当年确认收入，该子公司</w:t>
      </w:r>
      <w:r>
        <w:rPr>
          <w:rFonts w:ascii="Times New Roman" w:eastAsia="Times New Roman" w:hAnsi="Times New Roman" w:cs="Times New Roman"/>
          <w:color w:val="000000"/>
          <w:spacing w:val="0"/>
          <w:w w:val="100"/>
          <w:position w:val="0"/>
        </w:rPr>
        <w:t>2020</w:t>
      </w:r>
      <w:r>
        <w:rPr>
          <w:color w:val="000000"/>
          <w:spacing w:val="0"/>
          <w:w w:val="100"/>
          <w:position w:val="0"/>
        </w:rPr>
        <w:t>年度签约金额</w:t>
      </w:r>
      <w:r>
        <w:rPr>
          <w:rFonts w:ascii="Times New Roman" w:eastAsia="Times New Roman" w:hAnsi="Times New Roman" w:cs="Times New Roman"/>
          <w:color w:val="000000"/>
          <w:spacing w:val="0"/>
          <w:w w:val="100"/>
          <w:position w:val="0"/>
        </w:rPr>
        <w:t>3.23</w:t>
      </w:r>
      <w:r>
        <w:rPr>
          <w:color w:val="000000"/>
          <w:spacing w:val="0"/>
          <w:w w:val="100"/>
          <w:position w:val="0"/>
        </w:rPr>
        <w:t>亿，同比增长</w:t>
      </w:r>
      <w:r>
        <w:rPr>
          <w:rFonts w:ascii="Times New Roman" w:eastAsia="Times New Roman" w:hAnsi="Times New Roman" w:cs="Times New Roman"/>
          <w:color w:val="000000"/>
          <w:spacing w:val="0"/>
          <w:w w:val="100"/>
          <w:position w:val="0"/>
        </w:rPr>
        <w:t>9%</w:t>
      </w:r>
      <w:r>
        <w:rPr>
          <w:color w:val="000000"/>
          <w:spacing w:val="0"/>
          <w:w w:val="100"/>
          <w:position w:val="0"/>
        </w:rPr>
        <w:t>，年末已签未销存量</w:t>
      </w:r>
      <w:r>
        <w:rPr>
          <w:rFonts w:ascii="Times New Roman" w:eastAsia="Times New Roman" w:hAnsi="Times New Roman" w:cs="Times New Roman"/>
          <w:color w:val="000000"/>
          <w:spacing w:val="0"/>
          <w:w w:val="100"/>
          <w:position w:val="0"/>
        </w:rPr>
        <w:t>2.6</w:t>
      </w:r>
      <w:r>
        <w:rPr>
          <w:color w:val="000000"/>
          <w:spacing w:val="0"/>
          <w:w w:val="100"/>
          <w:position w:val="0"/>
        </w:rPr>
        <w:t>亿，同比增长</w:t>
      </w:r>
      <w:r>
        <w:rPr>
          <w:rFonts w:ascii="Times New Roman" w:eastAsia="Times New Roman" w:hAnsi="Times New Roman" w:cs="Times New Roman"/>
          <w:color w:val="000000"/>
          <w:spacing w:val="0"/>
          <w:w w:val="100"/>
          <w:position w:val="0"/>
        </w:rPr>
        <w:t>91%</w:t>
      </w:r>
      <w:r>
        <w:rPr>
          <w:color w:val="000000"/>
          <w:spacing w:val="0"/>
          <w:w w:val="100"/>
          <w:position w:val="0"/>
        </w:rPr>
        <w:t xml:space="preserve">„ </w:t>
      </w:r>
      <w:r>
        <w:rPr>
          <w:rFonts w:ascii="Times New Roman" w:eastAsia="Times New Roman" w:hAnsi="Times New Roman" w:cs="Times New Roman"/>
          <w:color w:val="000000"/>
          <w:spacing w:val="0"/>
          <w:w w:val="100"/>
          <w:position w:val="0"/>
        </w:rPr>
        <w:t>DIGITAL CHINA SOFTWARE(BVI) LIMITED</w:t>
      </w:r>
      <w:r>
        <w:rPr>
          <w:color w:val="000000"/>
          <w:spacing w:val="0"/>
          <w:w w:val="100"/>
          <w:position w:val="0"/>
        </w:rPr>
        <w:t>实现净利润</w:t>
      </w:r>
      <w:r>
        <w:rPr>
          <w:rFonts w:ascii="Times New Roman" w:eastAsia="Times New Roman" w:hAnsi="Times New Roman" w:cs="Times New Roman"/>
          <w:color w:val="000000"/>
          <w:spacing w:val="0"/>
          <w:w w:val="100"/>
          <w:position w:val="0"/>
        </w:rPr>
        <w:t>2.06</w:t>
      </w:r>
      <w:r>
        <w:rPr>
          <w:color w:val="000000"/>
          <w:spacing w:val="0"/>
          <w:w w:val="100"/>
          <w:position w:val="0"/>
        </w:rPr>
        <w:t>亿, 同比增长</w:t>
      </w:r>
      <w:r>
        <w:rPr>
          <w:rFonts w:ascii="Times New Roman" w:eastAsia="Times New Roman" w:hAnsi="Times New Roman" w:cs="Times New Roman"/>
          <w:color w:val="000000"/>
          <w:spacing w:val="0"/>
          <w:w w:val="100"/>
          <w:position w:val="0"/>
        </w:rPr>
        <w:t>285.75%</w:t>
      </w:r>
      <w:r>
        <w:rPr>
          <w:color w:val="000000"/>
          <w:spacing w:val="0"/>
          <w:w w:val="100"/>
          <w:position w:val="0"/>
        </w:rPr>
        <w:t>，主要原因系鼎捷软件股份转让，详情请参见十九、其他重大事项的说明中(一)关于下属子公司对外出售股票资产的情况说明。</w:t>
      </w:r>
    </w:p>
    <w:p>
      <w:pPr>
        <w:pStyle w:val="Style35"/>
        <w:keepNext/>
        <w:keepLines/>
        <w:widowControl w:val="0"/>
        <w:shd w:val="clear" w:color="auto" w:fill="auto"/>
        <w:bidi w:val="0"/>
        <w:spacing w:before="0" w:after="38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八</w:t>
      </w:r>
      <w:bookmarkEnd w:id="248"/>
      <w:r>
        <w:rPr>
          <w:color w:val="000000"/>
          <w:spacing w:val="0"/>
          <w:w w:val="100"/>
          <w:position w:val="0"/>
          <w:sz w:val="24"/>
          <w:szCs w:val="24"/>
        </w:rPr>
        <w:t>、公司控制的结构化主体情况</w:t>
      </w:r>
      <w:bookmarkEnd w:id="246"/>
      <w:bookmarkEnd w:id="247"/>
      <w:bookmarkEnd w:id="249"/>
    </w:p>
    <w:p>
      <w:pPr>
        <w:pStyle w:val="Style37"/>
        <w:keepNext w:val="0"/>
        <w:keepLines w:val="0"/>
        <w:widowControl w:val="0"/>
        <w:shd w:val="clear" w:color="auto" w:fill="auto"/>
        <w:bidi w:val="0"/>
        <w:spacing w:before="0" w:after="380"/>
        <w:ind w:left="0" w:right="0" w:firstLine="0"/>
        <w:jc w:val="left"/>
        <w:sectPr>
          <w:headerReference w:type="default" r:id="rId11"/>
          <w:footerReference w:type="default" r:id="rId12"/>
          <w:footnotePr>
            <w:pos w:val="pageBottom"/>
            <w:numFmt w:val="decimal"/>
            <w:numRestart w:val="continuous"/>
          </w:footnotePr>
          <w:pgSz w:w="16840" w:h="11900" w:orient="landscape"/>
          <w:pgMar w:top="1097" w:right="1402" w:bottom="1409" w:left="140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260" w:after="18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九</w:t>
      </w:r>
      <w:bookmarkEnd w:id="252"/>
      <w:r>
        <w:rPr>
          <w:color w:val="000000"/>
          <w:spacing w:val="0"/>
          <w:w w:val="100"/>
          <w:position w:val="0"/>
          <w:sz w:val="24"/>
          <w:szCs w:val="24"/>
        </w:rPr>
        <w:t>、公司未来发展的展望</w:t>
      </w:r>
      <w:bookmarkEnd w:id="250"/>
      <w:bookmarkEnd w:id="251"/>
      <w:bookmarkEnd w:id="253"/>
    </w:p>
    <w:p>
      <w:pPr>
        <w:pStyle w:val="Style37"/>
        <w:keepNext w:val="0"/>
        <w:keepLines w:val="0"/>
        <w:widowControl w:val="0"/>
        <w:shd w:val="clear" w:color="auto" w:fill="auto"/>
        <w:tabs>
          <w:tab w:pos="863" w:val="left"/>
        </w:tabs>
        <w:bidi w:val="0"/>
        <w:spacing w:before="0" w:after="0" w:line="350" w:lineRule="exact"/>
        <w:ind w:left="0" w:right="0" w:firstLine="380"/>
        <w:jc w:val="left"/>
      </w:pPr>
      <w:bookmarkStart w:id="254" w:name="bookmark254"/>
      <w:r>
        <w:rPr>
          <w:b/>
          <w:bCs/>
          <w:color w:val="000000"/>
          <w:spacing w:val="0"/>
          <w:w w:val="100"/>
          <w:position w:val="0"/>
        </w:rPr>
        <w:t>（</w:t>
      </w:r>
      <w:bookmarkEnd w:id="254"/>
      <w:r>
        <w:rPr>
          <w:b/>
          <w:bCs/>
          <w:color w:val="000000"/>
          <w:spacing w:val="0"/>
          <w:w w:val="100"/>
          <w:position w:val="0"/>
        </w:rPr>
        <w:t>一）</w:t>
        <w:tab/>
        <w:t>公司未来发展战略</w:t>
      </w:r>
    </w:p>
    <w:p>
      <w:pPr>
        <w:pStyle w:val="Style37"/>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公司将继续以金融科技战略为引领，持续发力金融信创和场景金融业务。一方面，紧跟信创试点项目机遇，发挥金融行 业分布式技术的先发优势，助力打造安全、可控、先进、高效的金融科技应用体系，巩固公司在金融信创领域的优势地位； 另一方面，紧跟技术前沿和政策引领，发挥场景资源优势，推动金融行业的深化改革，融合跨行业的数据和场景，更好地服 务实体经济。</w:t>
      </w:r>
    </w:p>
    <w:p>
      <w:pPr>
        <w:pStyle w:val="Style37"/>
        <w:keepNext w:val="0"/>
        <w:keepLines w:val="0"/>
        <w:widowControl w:val="0"/>
        <w:shd w:val="clear" w:color="auto" w:fill="auto"/>
        <w:tabs>
          <w:tab w:pos="863" w:val="left"/>
        </w:tabs>
        <w:bidi w:val="0"/>
        <w:spacing w:before="0" w:after="0" w:line="350" w:lineRule="exact"/>
        <w:ind w:left="0" w:right="0" w:firstLine="380"/>
        <w:jc w:val="both"/>
      </w:pPr>
      <w:bookmarkStart w:id="255" w:name="bookmark255"/>
      <w:r>
        <w:rPr>
          <w:b/>
          <w:bCs/>
          <w:color w:val="000000"/>
          <w:spacing w:val="0"/>
          <w:w w:val="100"/>
          <w:position w:val="0"/>
        </w:rPr>
        <w:t>（</w:t>
      </w:r>
      <w:bookmarkEnd w:id="255"/>
      <w:r>
        <w:rPr>
          <w:b/>
          <w:bCs/>
          <w:color w:val="000000"/>
          <w:spacing w:val="0"/>
          <w:w w:val="100"/>
          <w:position w:val="0"/>
        </w:rPr>
        <w:t>二）</w:t>
        <w:tab/>
        <w:t>2021年经营计划</w:t>
      </w:r>
    </w:p>
    <w:p>
      <w:pPr>
        <w:pStyle w:val="Style37"/>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在金融信创领域，加大对各条产品线的投入和推广力度，推动自主创新的应用软件和基于云的数字基建业务迅速增长。 深化与华为、龙芯、麒麟软件等信创厂商的伙伴关系，抓住窗口机遇，积极推动金融信创基础设施建设。注重大客户销售， 开拓更多国有大行、股份制银行的项目机会，持续加大研发投入，提升交付效率，不断扩充人才队伍，为大规模扩张提供支 撑。</w:t>
      </w:r>
    </w:p>
    <w:p>
      <w:pPr>
        <w:pStyle w:val="Style37"/>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在场景金融领域，以金融科技的手段推动农业、税务场景业务模式走向成熟，携手合作伙伴，发挥自身所积累的场景资 源优势，拓展合作场景的深度与广度。打造区块链技术在供应链金融、数字钱包、预付卡、农业溯源等场景的创新应用，随 着数字货币的推广与应用部署，打通金融与实体经济的连接，实现创新业务模式的落地。</w:t>
      </w:r>
    </w:p>
    <w:p>
      <w:pPr>
        <w:pStyle w:val="Style37"/>
        <w:keepNext w:val="0"/>
        <w:keepLines w:val="0"/>
        <w:widowControl w:val="0"/>
        <w:shd w:val="clear" w:color="auto" w:fill="auto"/>
        <w:tabs>
          <w:tab w:pos="863" w:val="left"/>
        </w:tabs>
        <w:bidi w:val="0"/>
        <w:spacing w:before="0" w:after="0" w:line="350" w:lineRule="exact"/>
        <w:ind w:left="0" w:right="0" w:firstLine="380"/>
        <w:jc w:val="left"/>
      </w:pPr>
      <w:bookmarkStart w:id="256" w:name="bookmark256"/>
      <w:r>
        <w:rPr>
          <w:b/>
          <w:bCs/>
          <w:color w:val="000000"/>
          <w:spacing w:val="0"/>
          <w:w w:val="100"/>
          <w:position w:val="0"/>
        </w:rPr>
        <w:t>（</w:t>
      </w:r>
      <w:bookmarkEnd w:id="256"/>
      <w:r>
        <w:rPr>
          <w:b/>
          <w:bCs/>
          <w:color w:val="000000"/>
          <w:spacing w:val="0"/>
          <w:w w:val="100"/>
          <w:position w:val="0"/>
        </w:rPr>
        <w:t>三）</w:t>
        <w:tab/>
        <w:t>公司发展过程中可能面对的风险</w:t>
      </w:r>
    </w:p>
    <w:p>
      <w:pPr>
        <w:pStyle w:val="Style37"/>
        <w:keepNext w:val="0"/>
        <w:keepLines w:val="0"/>
        <w:widowControl w:val="0"/>
        <w:shd w:val="clear" w:color="auto" w:fill="auto"/>
        <w:tabs>
          <w:tab w:pos="661" w:val="left"/>
        </w:tabs>
        <w:bidi w:val="0"/>
        <w:spacing w:before="0" w:after="0" w:line="350" w:lineRule="exact"/>
        <w:ind w:left="0" w:right="0" w:firstLine="380"/>
        <w:jc w:val="both"/>
      </w:pPr>
      <w:bookmarkStart w:id="257" w:name="bookmark257"/>
      <w:r>
        <w:rPr>
          <w:b/>
          <w:bCs/>
          <w:color w:val="000000"/>
          <w:spacing w:val="0"/>
          <w:w w:val="100"/>
          <w:position w:val="0"/>
        </w:rPr>
        <w:t>1</w:t>
      </w:r>
      <w:bookmarkEnd w:id="257"/>
      <w:r>
        <w:rPr>
          <w:b/>
          <w:bCs/>
          <w:color w:val="000000"/>
          <w:spacing w:val="0"/>
          <w:w w:val="100"/>
          <w:position w:val="0"/>
        </w:rPr>
        <w:t>、</w:t>
        <w:tab/>
        <w:t>市场竞争风险</w:t>
      </w:r>
    </w:p>
    <w:p>
      <w:pPr>
        <w:pStyle w:val="Style37"/>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随着近年来行业客户需求的增长以及分布式和云计算、大数据、人工智能、区块链等新技术和模式的出现，我国软件与 信息技术服务市场规模不断扩大，市场竞争也不断加剧。公司依旧面临着现有产品及服务市场竞争加剧的风险，在个别细分 市场或者项目上可能出现竞争态势进一步激化的情况。公司将坚持以自主创新为导向，同时，基于培养的一批既懂技术又对 所服务行业有深刻理解的复合型人才，紧跟前沿不断革新，为客户不断创造新的价值。</w:t>
      </w:r>
    </w:p>
    <w:p>
      <w:pPr>
        <w:pStyle w:val="Style37"/>
        <w:keepNext w:val="0"/>
        <w:keepLines w:val="0"/>
        <w:widowControl w:val="0"/>
        <w:shd w:val="clear" w:color="auto" w:fill="auto"/>
        <w:tabs>
          <w:tab w:pos="666" w:val="left"/>
        </w:tabs>
        <w:bidi w:val="0"/>
        <w:spacing w:before="0" w:after="0" w:line="350" w:lineRule="exact"/>
        <w:ind w:left="0" w:right="0" w:firstLine="380"/>
        <w:jc w:val="both"/>
      </w:pPr>
      <w:bookmarkStart w:id="258" w:name="bookmark258"/>
      <w:r>
        <w:rPr>
          <w:b/>
          <w:bCs/>
          <w:color w:val="000000"/>
          <w:spacing w:val="0"/>
          <w:w w:val="100"/>
          <w:position w:val="0"/>
        </w:rPr>
        <w:t>2</w:t>
      </w:r>
      <w:bookmarkEnd w:id="258"/>
      <w:r>
        <w:rPr>
          <w:b/>
          <w:bCs/>
          <w:color w:val="000000"/>
          <w:spacing w:val="0"/>
          <w:w w:val="100"/>
          <w:position w:val="0"/>
        </w:rPr>
        <w:t>、</w:t>
        <w:tab/>
        <w:t>产品技术风险</w:t>
      </w:r>
    </w:p>
    <w:p>
      <w:pPr>
        <w:pStyle w:val="Style37"/>
        <w:keepNext w:val="0"/>
        <w:keepLines w:val="0"/>
        <w:widowControl w:val="0"/>
        <w:shd w:val="clear" w:color="auto" w:fill="auto"/>
        <w:bidi w:val="0"/>
        <w:spacing w:before="0" w:after="0" w:line="350" w:lineRule="exact"/>
        <w:ind w:left="0" w:right="0" w:firstLine="380"/>
        <w:jc w:val="both"/>
      </w:pPr>
      <w:r>
        <w:rPr>
          <w:color w:val="000000"/>
          <w:spacing w:val="0"/>
          <w:w w:val="100"/>
          <w:position w:val="0"/>
        </w:rPr>
        <w:t>软件开发具有高度的复杂性，如果公司开发的软件技术产品出现质量问题，可能将对客户的业务运作产生不利影响，并 可能因此额外增加公司的成本。公司十分注重技术产品开发的质量，并依据</w:t>
      </w:r>
      <w:r>
        <w:rPr>
          <w:color w:val="000000"/>
          <w:spacing w:val="0"/>
          <w:w w:val="100"/>
          <w:position w:val="0"/>
        </w:rPr>
        <w:t xml:space="preserve">GB/T19001-2000 idt </w:t>
      </w:r>
      <w:r>
        <w:rPr>
          <w:color w:val="000000"/>
          <w:spacing w:val="0"/>
          <w:w w:val="100"/>
          <w:position w:val="0"/>
        </w:rPr>
        <w:t>1809001:2000和</w:t>
      </w:r>
      <w:r>
        <w:rPr>
          <w:color w:val="000000"/>
          <w:spacing w:val="0"/>
          <w:w w:val="100"/>
          <w:position w:val="0"/>
        </w:rPr>
        <w:t>CMMI</w:t>
      </w:r>
      <w:r>
        <w:rPr>
          <w:color w:val="000000"/>
          <w:spacing w:val="0"/>
          <w:w w:val="100"/>
          <w:position w:val="0"/>
        </w:rPr>
        <w:t>等标 准，运用</w:t>
      </w:r>
      <w:r>
        <w:rPr>
          <w:color w:val="000000"/>
          <w:spacing w:val="0"/>
          <w:w w:val="100"/>
          <w:position w:val="0"/>
        </w:rPr>
        <w:t>ITIL</w:t>
      </w:r>
      <w:r>
        <w:rPr>
          <w:color w:val="000000"/>
          <w:spacing w:val="0"/>
          <w:w w:val="100"/>
          <w:position w:val="0"/>
        </w:rPr>
        <w:t>和</w:t>
      </w:r>
      <w:r>
        <w:rPr>
          <w:color w:val="000000"/>
          <w:spacing w:val="0"/>
          <w:w w:val="100"/>
          <w:position w:val="0"/>
        </w:rPr>
        <w:t>P MB0K</w:t>
      </w:r>
      <w:r>
        <w:rPr>
          <w:color w:val="000000"/>
          <w:spacing w:val="0"/>
          <w:w w:val="100"/>
          <w:position w:val="0"/>
        </w:rPr>
        <w:t>知识体系，结合自身丰富的技术开发经验，形成了匹配客户业务视角的服务支持体系与贯穿交付全过 程的技术管理体系和质量控制标准，优化产品品质。</w:t>
      </w:r>
    </w:p>
    <w:p>
      <w:pPr>
        <w:pStyle w:val="Style37"/>
        <w:keepNext w:val="0"/>
        <w:keepLines w:val="0"/>
        <w:widowControl w:val="0"/>
        <w:shd w:val="clear" w:color="auto" w:fill="auto"/>
        <w:tabs>
          <w:tab w:pos="666" w:val="left"/>
        </w:tabs>
        <w:bidi w:val="0"/>
        <w:spacing w:before="0" w:after="0" w:line="350" w:lineRule="exact"/>
        <w:ind w:left="0" w:right="0" w:firstLine="380"/>
        <w:jc w:val="both"/>
      </w:pPr>
      <w:bookmarkStart w:id="259" w:name="bookmark259"/>
      <w:r>
        <w:rPr>
          <w:b/>
          <w:bCs/>
          <w:color w:val="000000"/>
          <w:spacing w:val="0"/>
          <w:w w:val="100"/>
          <w:position w:val="0"/>
        </w:rPr>
        <w:t>3</w:t>
      </w:r>
      <w:bookmarkEnd w:id="259"/>
      <w:r>
        <w:rPr>
          <w:b/>
          <w:bCs/>
          <w:color w:val="000000"/>
          <w:spacing w:val="0"/>
          <w:w w:val="100"/>
          <w:position w:val="0"/>
        </w:rPr>
        <w:t>、</w:t>
        <w:tab/>
        <w:t>人力资源风险</w:t>
      </w:r>
    </w:p>
    <w:p>
      <w:pPr>
        <w:pStyle w:val="Style37"/>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公司的技术研发和创新，对核心技术人员和关键管理人员的依赖性较大。面对日益激烈的信息技术人才竞争，仍存在着 人力资源成本上升，或因关键人才流失而对公司的业务发展造成一定影响的可能。因此，公司面临着人力成本压力增大，提 升核心技术人员的忠诚度和归属感、有效保留和吸引人才难度增大的风险。多年来，公司通过提供有竞争力的薪酬福利，建 立公平的晋升机制，创造开放、协作的工作环境和企业文化氛围，努力吸引人才、培养人才和保留人才。同时，公司通过股 权激励计划的方式，稳定核心团队，有效保留和吸引人才。</w:t>
      </w:r>
      <w:r>
        <w:br w:type="page"/>
      </w:r>
    </w:p>
    <w:p>
      <w:pPr>
        <w:pStyle w:val="Style35"/>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r>
        <w:rPr>
          <w:color w:val="000000"/>
          <w:spacing w:val="0"/>
          <w:w w:val="100"/>
          <w:position w:val="0"/>
          <w:sz w:val="24"/>
          <w:szCs w:val="24"/>
        </w:rPr>
        <w:t>十、接待调研、沟通、采访等活动情况</w:t>
      </w:r>
      <w:bookmarkEnd w:id="260"/>
      <w:bookmarkEnd w:id="261"/>
      <w:bookmarkEnd w:id="262"/>
    </w:p>
    <w:p>
      <w:pPr>
        <w:pStyle w:val="Style41"/>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3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1277"/>
        <w:gridCol w:w="850"/>
        <w:gridCol w:w="850"/>
        <w:gridCol w:w="1138"/>
        <w:gridCol w:w="1416"/>
        <w:gridCol w:w="319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东方证券、交</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银施罗德等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技领域优势及问 答交流，详见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237317&amp;announcementTime=2020-01-09 </w:t>
            </w:r>
            <w:r>
              <w:rPr>
                <w:rFonts w:ascii="Times New Roman" w:eastAsia="Times New Roman" w:hAnsi="Times New Roman" w:cs="Times New Roman"/>
                <w:color w:val="000000"/>
                <w:spacing w:val="0"/>
                <w:w w:val="100"/>
                <w:position w:val="0"/>
              </w:rPr>
              <w:t>15:58</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交银施罗德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金融科技业务相 关问答交流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240182&amp;announcementTime=2020-01 -10</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中金公司、长 盛基金等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技领域优势及问 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2513 95&amp;announcementTime=2020-01-15</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兴业证券、信 达澳银基金 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技领域优势及问 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256470&amp;announcementTime=2020-01-16</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中信证券、交 银施罗德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金融科技业务相 关问答交流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256471&amp;announcementTime=2020-01-16</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中泰证券、相 聚资本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金融科技业务相 关问答交流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262018&amp;announcementTime=2020-01-17</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东吴证券、新 华资产等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金融科技业务相 关问答交流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299372&amp;announcementTime=2020-02-10</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中金公司、鸿 道投资等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金融科技业务相 关问答交流</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303039&amp;announcementTime=2020-02-12</w:t>
            </w:r>
          </w:p>
        </w:tc>
      </w:tr>
    </w:tbl>
    <w:p>
      <w:pPr>
        <w:spacing w:lineRule="exact" w:line="1"/>
        <w:rPr>
          <w:sz w:val="2"/>
          <w:szCs w:val="2"/>
        </w:rPr>
      </w:pPr>
      <w:r>
        <w:br w:type="page"/>
      </w:r>
    </w:p>
    <w:tbl>
      <w:tblPr>
        <w:tblOverlap w:val="never"/>
        <w:jc w:val="center"/>
        <w:tblLayout w:type="fixed"/>
      </w:tblPr>
      <w:tblGrid>
        <w:gridCol w:w="854"/>
        <w:gridCol w:w="1277"/>
        <w:gridCol w:w="850"/>
        <w:gridCol w:w="850"/>
        <w:gridCol w:w="1138"/>
        <w:gridCol w:w="1416"/>
        <w:gridCol w:w="3197"/>
      </w:tblGrid>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西南证券、中 信建投等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公司金融科技业 务推进情况与疫 情对公司影响等 相关问题交流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305020&amp;announcementTime=2020-02-13</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中泰证券、嘉 实基金等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公司金融科技业 务推进情况与疫 情对公司影响等 相关问题交流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313431 &amp;announcementTime=2020-02-19</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华创证券、前 海人寿等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公司金融科技业 务推进情况与疫 情对公司影响等 相关问题交流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316799&amp;announcementTime=2020-02-21</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中信证券、淡 水泉投资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公司金融科技业 务推进情况与疫 情对公司影响等 相关问题交流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327422&amp;announcementTime=2020-02-27</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东北证券、民</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生加银基金 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公司金融科技业 务推进情况与疫 情对公司影响等 相关问题交流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337282&amp;announcementTime=2020-03-02</w:t>
            </w: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长盛基金、招 商基金等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技战略及战略推 进情况、</w:t>
            </w:r>
            <w:r>
              <w:rPr>
                <w:rFonts w:ascii="Times New Roman" w:eastAsia="Times New Roman" w:hAnsi="Times New Roman" w:cs="Times New Roman"/>
                <w:color w:val="000000"/>
                <w:spacing w:val="0"/>
                <w:w w:val="100"/>
                <w:position w:val="0"/>
              </w:rPr>
              <w:t>2019</w:t>
            </w:r>
            <w:r>
              <w:rPr>
                <w:color w:val="000000"/>
                <w:spacing w:val="0"/>
                <w:w w:val="100"/>
                <w:position w:val="0"/>
              </w:rPr>
              <w:t>年 度整体经营业绩 并展望公司发展 方向、业务相关问 答交流，详见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449271&amp;announcementTime=2020-04-01</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东北证券、民 生证券等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介绍公司一季度 经营情况及问答 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521363&amp;announcementTime=2020-04-17</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中泰证券、东 北证券、东方 证等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cn/new/disclo sure/ detail?plate=szse&amp;orgId=gssz0000555&amp;st ockCode=000555&amp;announcementId=1207 815142&amp;announcementTime=2020-05-15</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中泰证券、安 信证券等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815142&amp;announcementTime=2020-05-15</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西部证券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介绍公司金融科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技战略推进情况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detail?plate=szse&amp;orgId=gssz0000555&amp;st</w:t>
            </w:r>
          </w:p>
        </w:tc>
      </w:tr>
    </w:tbl>
    <w:p>
      <w:pPr>
        <w:spacing w:lineRule="exact" w:line="1"/>
        <w:rPr>
          <w:sz w:val="2"/>
          <w:szCs w:val="2"/>
        </w:rPr>
      </w:pPr>
      <w:r>
        <w:br w:type="page"/>
      </w:r>
    </w:p>
    <w:tbl>
      <w:tblPr>
        <w:tblOverlap w:val="never"/>
        <w:jc w:val="center"/>
        <w:tblLayout w:type="fixed"/>
      </w:tblPr>
      <w:tblGrid>
        <w:gridCol w:w="854"/>
        <w:gridCol w:w="1277"/>
        <w:gridCol w:w="850"/>
        <w:gridCol w:w="850"/>
        <w:gridCol w:w="1138"/>
        <w:gridCol w:w="1416"/>
        <w:gridCol w:w="319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ockCode=000555&amp;announcementId=1207</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869461&amp;announcementTime=2020-05-28</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信达证券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ockCode=000555&amp;announcementId=1207 869461&amp;announcementTime=2020-05-28</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华西证券、光 大证券等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szse&amp;orgId</w:t>
            </w:r>
            <w:r>
              <w:rPr>
                <w:color w:val="000000"/>
                <w:spacing w:val="0"/>
                <w:w w:val="100"/>
                <w:position w:val="0"/>
              </w:rPr>
              <w:t>二</w:t>
            </w:r>
            <w:r>
              <w:rPr>
                <w:rFonts w:ascii="Times New Roman" w:eastAsia="Times New Roman" w:hAnsi="Times New Roman" w:cs="Times New Roman"/>
                <w:color w:val="000000"/>
                <w:spacing w:val="0"/>
                <w:w w:val="100"/>
                <w:position w:val="0"/>
              </w:rPr>
              <w:t>gssz0000555&amp;st ockCode=000555&amp;announcementId=1207 869461&amp;announcementTime=2020-05-28</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民生证券、民 生信托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cn/new/disclo sure/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szse&amp;orgId</w:t>
            </w:r>
            <w:r>
              <w:rPr>
                <w:color w:val="000000"/>
                <w:spacing w:val="0"/>
                <w:w w:val="100"/>
                <w:position w:val="0"/>
              </w:rPr>
              <w:t>二</w:t>
            </w:r>
            <w:r>
              <w:rPr>
                <w:rFonts w:ascii="Times New Roman" w:eastAsia="Times New Roman" w:hAnsi="Times New Roman" w:cs="Times New Roman"/>
                <w:color w:val="000000"/>
                <w:spacing w:val="0"/>
                <w:w w:val="100"/>
                <w:position w:val="0"/>
              </w:rPr>
              <w:t>gssz0000555&amp;st ockCode=000555&amp;announcementId=1207 991599&amp;announcementTime=2020-07-01 %20</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华西证券、昆 仑保险等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公司分布式专家 线上交流会议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szse&amp;orgId</w:t>
            </w:r>
            <w:r>
              <w:rPr>
                <w:color w:val="000000"/>
                <w:spacing w:val="0"/>
                <w:w w:val="100"/>
                <w:position w:val="0"/>
              </w:rPr>
              <w:t>二</w:t>
            </w:r>
            <w:r>
              <w:rPr>
                <w:rFonts w:ascii="Times New Roman" w:eastAsia="Times New Roman" w:hAnsi="Times New Roman" w:cs="Times New Roman"/>
                <w:color w:val="000000"/>
                <w:spacing w:val="0"/>
                <w:w w:val="100"/>
                <w:position w:val="0"/>
              </w:rPr>
              <w:t>gssz0000555&amp;st ockCode=000555&amp;announcementId=1208 002191 &amp;announcementTime=2020-07-03 %20</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摩根大通、台 湾国泰证券 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szse&amp;orgId</w:t>
            </w:r>
            <w:r>
              <w:rPr>
                <w:color w:val="000000"/>
                <w:spacing w:val="0"/>
                <w:w w:val="100"/>
                <w:position w:val="0"/>
              </w:rPr>
              <w:t>二</w:t>
            </w:r>
            <w:r>
              <w:rPr>
                <w:rFonts w:ascii="Times New Roman" w:eastAsia="Times New Roman" w:hAnsi="Times New Roman" w:cs="Times New Roman"/>
                <w:color w:val="000000"/>
                <w:spacing w:val="0"/>
                <w:w w:val="100"/>
                <w:position w:val="0"/>
              </w:rPr>
              <w:t>gssz0000555&amp;st ockCode=000555&amp;announcementId=1208 039879&amp;announcementTime=2020-07-16 %20</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台湾富邦证 券、东方证券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szse&amp;orgId</w:t>
            </w:r>
            <w:r>
              <w:rPr>
                <w:color w:val="000000"/>
                <w:spacing w:val="0"/>
                <w:w w:val="100"/>
                <w:position w:val="0"/>
              </w:rPr>
              <w:t>二</w:t>
            </w:r>
            <w:r>
              <w:rPr>
                <w:rFonts w:ascii="Times New Roman" w:eastAsia="Times New Roman" w:hAnsi="Times New Roman" w:cs="Times New Roman"/>
                <w:color w:val="000000"/>
                <w:spacing w:val="0"/>
                <w:w w:val="100"/>
                <w:position w:val="0"/>
              </w:rPr>
              <w:t>gssz0000555&amp;st ockCode=000555&amp;announcementId=1208 073901&amp;announcementTime=2020-07-24 %20</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兴业证券、民 生证券等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介绍上半年公司 金融科技战略成 果和经营情况及 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ockCode=000555&amp;announcementId=1208 399089&amp;announcementTime=2020-09-04 %20</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兴业证券、中 金公司等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介绍公司并购云 核基本情况及问 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"https://view.officeapps.live.com/op/view.as" </w:instrText>
            </w:r>
            <w:r>
              <w:fldChar w:fldCharType="separate"/>
            </w:r>
            <w:r>
              <w:rPr>
                <w:rFonts w:ascii="Times New Roman" w:eastAsia="Times New Roman" w:hAnsi="Times New Roman" w:cs="Times New Roman"/>
                <w:color w:val="000000"/>
                <w:spacing w:val="0"/>
                <w:w w:val="100"/>
                <w:position w:val="0"/>
              </w:rPr>
              <w:t>https://view.officeapps.live.com/op/view.as</w:t>
            </w:r>
            <w:r>
              <w:fldChar w:fldCharType="end"/>
            </w:r>
            <w:r>
              <w:rPr>
                <w:rFonts w:ascii="Times New Roman" w:eastAsia="Times New Roman" w:hAnsi="Times New Roman" w:cs="Times New Roman"/>
                <w:color w:val="000000"/>
                <w:spacing w:val="0"/>
                <w:w w:val="100"/>
                <w:position w:val="0"/>
              </w:rPr>
              <w:t xml:space="preserve"> px?src</w:t>
            </w:r>
            <w:r>
              <w:rPr>
                <w:color w:val="000000"/>
                <w:spacing w:val="0"/>
                <w:w w:val="100"/>
                <w:position w:val="0"/>
              </w:rPr>
              <w:t>二</w:t>
            </w:r>
            <w:r>
              <w:rPr>
                <w:rFonts w:ascii="Times New Roman" w:eastAsia="Times New Roman" w:hAnsi="Times New Roman" w:cs="Times New Roman"/>
                <w:color w:val="000000"/>
                <w:spacing w:val="0"/>
                <w:w w:val="100"/>
                <w:position w:val="0"/>
              </w:rPr>
              <w:t>http%3A%2F%2F static.cninfo.co m.cn%2Ffinalpage%2F2020-09-07%2F12 08405389.docx</w:t>
            </w:r>
          </w:p>
        </w:tc>
      </w:tr>
      <w:tr>
        <w:trPr>
          <w:trHeight w:val="9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中银基金、天 安人寿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介绍公司金融科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技战略推进情况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szse&amp;orgId</w:t>
            </w:r>
            <w:r>
              <w:rPr>
                <w:color w:val="000000"/>
                <w:spacing w:val="0"/>
                <w:w w:val="100"/>
                <w:position w:val="0"/>
              </w:rPr>
              <w:t>二</w:t>
            </w:r>
            <w:r>
              <w:rPr>
                <w:rFonts w:ascii="Times New Roman" w:eastAsia="Times New Roman" w:hAnsi="Times New Roman" w:cs="Times New Roman"/>
                <w:color w:val="000000"/>
                <w:spacing w:val="0"/>
                <w:w w:val="100"/>
                <w:position w:val="0"/>
              </w:rPr>
              <w:t>gssz0000555&amp;st ockCode=000555&amp;announcementId=1208</w:t>
            </w:r>
          </w:p>
        </w:tc>
      </w:tr>
    </w:tbl>
    <w:p>
      <w:pPr>
        <w:spacing w:lineRule="exact" w:line="1"/>
        <w:rPr>
          <w:sz w:val="2"/>
          <w:szCs w:val="2"/>
        </w:rPr>
      </w:pPr>
      <w:r>
        <w:br w:type="page"/>
      </w:r>
    </w:p>
    <w:tbl>
      <w:tblPr>
        <w:tblOverlap w:val="never"/>
        <w:jc w:val="center"/>
        <w:tblLayout w:type="fixed"/>
      </w:tblPr>
      <w:tblGrid>
        <w:gridCol w:w="854"/>
        <w:gridCol w:w="1277"/>
        <w:gridCol w:w="850"/>
        <w:gridCol w:w="816"/>
        <w:gridCol w:w="1171"/>
        <w:gridCol w:w="1416"/>
        <w:gridCol w:w="319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w:t>
            </w:r>
            <w:r>
              <w:rPr>
                <w:rFonts w:ascii="Times New Roman" w:eastAsia="Times New Roman" w:hAnsi="Times New Roman" w:cs="Times New Roman"/>
                <w:color w:val="000000"/>
                <w:spacing w:val="0"/>
                <w:w w:val="100"/>
                <w:position w:val="0"/>
              </w:rPr>
              <w:t>1484&amp;announcementTime=2020-09-29</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中银证券、中 信证券等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介绍公司三季度 业务情况及问答 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ockCode=000555&amp;announcementId=1208 690688&amp;announcementTime=2020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11-04 </w:t>
            </w:r>
            <w:r>
              <w:rPr>
                <w:rFonts w:ascii="Times New Roman" w:eastAsia="Times New Roman" w:hAnsi="Times New Roman" w:cs="Times New Roman"/>
                <w:color w:val="000000"/>
                <w:spacing w:val="0"/>
                <w:w w:val="100"/>
                <w:position w:val="0"/>
              </w:rPr>
              <w:t>%20</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 国信证券等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ockCode=000555&amp;announcementId=1208 690689&amp;announcementTime=2020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11-04 %20</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神州信息大厦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中泰证券、海 富通基金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介绍公司金融科 技战略推进情况 及问答交流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fldChar w:fldCharType="begin"/>
            </w:r>
            <w:r>
              <w:rPr/>
              <w:instrText> HYPERLINK "http://www.cninfo.com.cn/new/disclosure/" </w:instrText>
            </w:r>
            <w:r>
              <w:fldChar w:fldCharType="separate"/>
            </w:r>
            <w:r>
              <w:rPr>
                <w:rFonts w:ascii="Times New Roman" w:eastAsia="Times New Roman" w:hAnsi="Times New Roman" w:cs="Times New Roman"/>
                <w:color w:val="000000"/>
                <w:spacing w:val="0"/>
                <w:w w:val="100"/>
                <w:position w:val="0"/>
              </w:rPr>
              <w:t>http://www.cninfo.com.cn/new/disclosure/</w:t>
            </w:r>
            <w:r>
              <w:fldChar w:fldCharType="end"/>
            </w:r>
            <w:r>
              <w:rPr>
                <w:rFonts w:ascii="Times New Roman" w:eastAsia="Times New Roman" w:hAnsi="Times New Roman" w:cs="Times New Roman"/>
                <w:color w:val="000000"/>
                <w:spacing w:val="0"/>
                <w:w w:val="100"/>
                <w:position w:val="0"/>
              </w:rPr>
              <w:t xml:space="preserve"> detail?plate=szse&amp;orgId=gssz0000555&amp;st ockCode=000555&amp;announcementId=1208 939793&amp;announcementTime=2020-12-18 %20</w:t>
            </w:r>
          </w:p>
        </w:tc>
      </w:tr>
      <w:tr>
        <w:trPr>
          <w:trHeight w:val="466"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466"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r>
      <w:tr>
        <w:trPr>
          <w:trHeight w:val="461"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75"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ectPr>
          <w:headerReference w:type="default" r:id="rId13"/>
          <w:footerReference w:type="default" r:id="rId14"/>
          <w:footnotePr>
            <w:pos w:val="pageBottom"/>
            <w:numFmt w:val="decimal"/>
            <w:numRestart w:val="continuous"/>
          </w:footnotePr>
          <w:pgSz w:w="11900" w:h="16840"/>
          <w:pgMar w:top="1434" w:right="1092" w:bottom="1467" w:left="1046" w:header="0" w:footer="3" w:gutter="0"/>
          <w:cols w:space="720"/>
          <w:noEndnote/>
          <w:rtlGutter w:val="0"/>
          <w:docGrid w:linePitch="360"/>
        </w:sectPr>
      </w:pPr>
    </w:p>
    <w:p>
      <w:pPr>
        <w:pStyle w:val="Style18"/>
        <w:keepNext/>
        <w:keepLines/>
        <w:widowControl w:val="0"/>
        <w:shd w:val="clear" w:color="auto" w:fill="auto"/>
        <w:bidi w:val="0"/>
        <w:spacing w:before="520" w:after="54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35"/>
        <w:keepNext/>
        <w:keepLines/>
        <w:widowControl w:val="0"/>
        <w:shd w:val="clear" w:color="auto" w:fill="auto"/>
        <w:bidi w:val="0"/>
        <w:spacing w:before="0" w:after="360" w:line="240" w:lineRule="auto"/>
        <w:ind w:left="0" w:right="0" w:firstLine="0"/>
        <w:jc w:val="both"/>
      </w:pPr>
      <w:bookmarkStart w:id="270" w:name="bookmark270"/>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、公司普通股利润分配及资本公积金转增股本情况</w:t>
      </w:r>
      <w:bookmarkEnd w:id="271"/>
      <w:bookmarkEnd w:id="272"/>
      <w:bookmarkEnd w:id="274"/>
      <w:bookmarkEnd w:id="270"/>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40" w:line="400" w:lineRule="exact"/>
        <w:ind w:left="0" w:right="0" w:firstLine="420"/>
        <w:jc w:val="both"/>
      </w:pPr>
      <w:bookmarkStart w:id="275" w:name="bookmark275"/>
      <w:r>
        <w:rPr>
          <w:rFonts w:ascii="Times New Roman" w:eastAsia="Times New Roman" w:hAnsi="Times New Roman" w:cs="Times New Roman"/>
          <w:color w:val="000000"/>
          <w:spacing w:val="0"/>
          <w:w w:val="100"/>
          <w:position w:val="0"/>
        </w:rPr>
        <w:t>1</w:t>
      </w:r>
      <w:bookmarkEnd w:id="27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w:t>
      </w:r>
      <w:r>
        <w:rPr>
          <w:color w:val="000000"/>
          <w:spacing w:val="0"/>
          <w:w w:val="100"/>
          <w:position w:val="0"/>
        </w:rPr>
        <w:t>〉</w:t>
      </w:r>
      <w:r>
        <w:rPr>
          <w:color w:val="000000"/>
          <w:spacing w:val="0"/>
          <w:w w:val="100"/>
          <w:position w:val="0"/>
        </w:rPr>
        <w:t>的议案》，利润分配方案 为公司总股本</w:t>
      </w:r>
      <w:r>
        <w:rPr>
          <w:rFonts w:ascii="Times New Roman" w:eastAsia="Times New Roman" w:hAnsi="Times New Roman" w:cs="Times New Roman"/>
          <w:color w:val="000000"/>
          <w:spacing w:val="0"/>
          <w:w w:val="100"/>
          <w:position w:val="0"/>
        </w:rPr>
        <w:t>970,381,273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，现金分红总金额为人民币</w:t>
      </w:r>
      <w:r>
        <w:rPr>
          <w:rFonts w:ascii="Times New Roman" w:eastAsia="Times New Roman" w:hAnsi="Times New Roman" w:cs="Times New Roman"/>
          <w:color w:val="000000"/>
          <w:spacing w:val="0"/>
          <w:w w:val="100"/>
          <w:position w:val="0"/>
        </w:rPr>
        <w:t xml:space="preserve">37,844,869.65 </w:t>
      </w:r>
      <w:r>
        <w:rPr>
          <w:color w:val="000000"/>
          <w:spacing w:val="0"/>
          <w:w w:val="100"/>
          <w:position w:val="0"/>
        </w:rPr>
        <w:t>元，不送红股，不以公积金转增股本。</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日，公司披露了</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年年度权益分派实施公告》，股权登记日为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日。报告期内，公司派息工作已依法定程序顺利完成。</w:t>
      </w:r>
    </w:p>
    <w:p>
      <w:pPr>
        <w:pStyle w:val="Style26"/>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、报告期内，公司没有调整利润分配政策，公司利润分配政策符合《公司章程》的相关规定。</w:t>
      </w:r>
    </w:p>
    <w:tbl>
      <w:tblPr>
        <w:tblOverlap w:val="never"/>
        <w:jc w:val="center"/>
        <w:tblLayout w:type="fixed"/>
      </w:tblPr>
      <w:tblGrid>
        <w:gridCol w:w="6240"/>
        <w:gridCol w:w="3341"/>
      </w:tblGrid>
      <w:tr>
        <w:trPr>
          <w:trHeight w:val="470"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报告期内公司未调整或变更现金分红政策</w:t>
            </w:r>
          </w:p>
        </w:tc>
      </w:tr>
    </w:tbl>
    <w:p>
      <w:pPr>
        <w:pStyle w:val="Style26"/>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7"/>
        <w:keepNext w:val="0"/>
        <w:keepLines w:val="0"/>
        <w:widowControl w:val="0"/>
        <w:shd w:val="clear" w:color="auto" w:fill="auto"/>
        <w:tabs>
          <w:tab w:pos="734" w:val="left"/>
        </w:tabs>
        <w:bidi w:val="0"/>
        <w:spacing w:before="0" w:after="0" w:line="408" w:lineRule="exact"/>
        <w:ind w:left="0" w:right="0"/>
        <w:jc w:val="both"/>
      </w:pPr>
      <w:bookmarkStart w:id="276" w:name="bookmark276"/>
      <w:r>
        <w:rPr>
          <w:rFonts w:ascii="Times New Roman" w:eastAsia="Times New Roman" w:hAnsi="Times New Roman" w:cs="Times New Roman"/>
          <w:color w:val="000000"/>
          <w:spacing w:val="0"/>
          <w:w w:val="100"/>
          <w:position w:val="0"/>
        </w:rPr>
        <w:t>1</w:t>
      </w:r>
      <w:bookmarkEnd w:id="27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年度利润分配预案：拟以截至第八届董事会第九次会议召开日，公司总股本扣除回购专户中已回购股份后的</w:t>
      </w:r>
    </w:p>
    <w:p>
      <w:pPr>
        <w:pStyle w:val="Style37"/>
        <w:keepNext w:val="0"/>
        <w:keepLines w:val="0"/>
        <w:widowControl w:val="0"/>
        <w:shd w:val="clear" w:color="auto" w:fill="auto"/>
        <w:bidi w:val="0"/>
        <w:spacing w:before="0" w:after="0" w:line="408" w:lineRule="exact"/>
        <w:ind w:left="0" w:right="0" w:firstLine="0"/>
        <w:jc w:val="both"/>
      </w:pPr>
      <w:r>
        <w:rPr>
          <w:rFonts w:ascii="Times New Roman" w:eastAsia="Times New Roman" w:hAnsi="Times New Roman" w:cs="Times New Roman"/>
          <w:color w:val="000000"/>
          <w:spacing w:val="0"/>
          <w:w w:val="100"/>
          <w:position w:val="0"/>
        </w:rPr>
        <w:t>963,445,851</w:t>
      </w:r>
      <w:r>
        <w:rPr>
          <w:color w:val="000000"/>
          <w:spacing w:val="0"/>
          <w:w w:val="100"/>
          <w:position w:val="0"/>
        </w:rPr>
        <w:t>股为基数，公司拟向全体股东每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元人民币（含税），不送红股，不以公积金转增股本， 合计拟派发现金红利为</w:t>
      </w:r>
      <w:r>
        <w:rPr>
          <w:rFonts w:ascii="Times New Roman" w:eastAsia="Times New Roman" w:hAnsi="Times New Roman" w:cs="Times New Roman"/>
          <w:color w:val="000000"/>
          <w:spacing w:val="0"/>
          <w:w w:val="100"/>
          <w:position w:val="0"/>
        </w:rPr>
        <w:t>48,172,292.55</w:t>
      </w:r>
      <w:r>
        <w:rPr>
          <w:color w:val="000000"/>
          <w:spacing w:val="0"/>
          <w:w w:val="100"/>
          <w:position w:val="0"/>
        </w:rPr>
        <w:t>元（含税本次利润分配预案尚需公司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w:t>
      </w:r>
    </w:p>
    <w:p>
      <w:pPr>
        <w:pStyle w:val="Style37"/>
        <w:keepNext w:val="0"/>
        <w:keepLines w:val="0"/>
        <w:widowControl w:val="0"/>
        <w:shd w:val="clear" w:color="auto" w:fill="auto"/>
        <w:bidi w:val="0"/>
        <w:spacing w:before="0" w:after="0" w:line="413"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年度公司以集中竞价交易方式实施股份回购支付的金额</w:t>
      </w:r>
      <w:r>
        <w:rPr>
          <w:rFonts w:ascii="Times New Roman" w:eastAsia="Times New Roman" w:hAnsi="Times New Roman" w:cs="Times New Roman"/>
          <w:color w:val="000000"/>
          <w:spacing w:val="0"/>
          <w:w w:val="100"/>
          <w:position w:val="0"/>
        </w:rPr>
        <w:t>139,215,943.29</w:t>
      </w:r>
      <w:r>
        <w:rPr>
          <w:color w:val="000000"/>
          <w:spacing w:val="0"/>
          <w:w w:val="100"/>
          <w:position w:val="0"/>
        </w:rPr>
        <w:t>元（不含佣金、过户费等交易费用），根据 《深圳证券交易所上市公司回购股份实施细则》的相关规定，视同公司</w:t>
      </w:r>
      <w:r>
        <w:rPr>
          <w:rFonts w:ascii="Times New Roman" w:eastAsia="Times New Roman" w:hAnsi="Times New Roman" w:cs="Times New Roman"/>
          <w:color w:val="000000"/>
          <w:spacing w:val="0"/>
          <w:w w:val="100"/>
          <w:position w:val="0"/>
        </w:rPr>
        <w:t>2020</w:t>
      </w:r>
      <w:r>
        <w:rPr>
          <w:color w:val="000000"/>
          <w:spacing w:val="0"/>
          <w:w w:val="100"/>
          <w:position w:val="0"/>
        </w:rPr>
        <w:t>年度的现金分红。</w:t>
      </w:r>
    </w:p>
    <w:p>
      <w:pPr>
        <w:pStyle w:val="Style3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综上，公司</w:t>
      </w:r>
      <w:r>
        <w:rPr>
          <w:rFonts w:ascii="Times New Roman" w:eastAsia="Times New Roman" w:hAnsi="Times New Roman" w:cs="Times New Roman"/>
          <w:color w:val="000000"/>
          <w:spacing w:val="0"/>
          <w:w w:val="100"/>
          <w:position w:val="0"/>
        </w:rPr>
        <w:t>2020</w:t>
      </w:r>
      <w:r>
        <w:rPr>
          <w:color w:val="000000"/>
          <w:spacing w:val="0"/>
          <w:w w:val="100"/>
          <w:position w:val="0"/>
        </w:rPr>
        <w:t>年度现金分红合计</w:t>
      </w:r>
      <w:r>
        <w:rPr>
          <w:rFonts w:ascii="Times New Roman" w:eastAsia="Times New Roman" w:hAnsi="Times New Roman" w:cs="Times New Roman"/>
          <w:color w:val="000000"/>
          <w:spacing w:val="0"/>
          <w:w w:val="100"/>
          <w:position w:val="0"/>
        </w:rPr>
        <w:t>187,388,235.84</w:t>
      </w:r>
      <w:r>
        <w:rPr>
          <w:color w:val="000000"/>
          <w:spacing w:val="0"/>
          <w:w w:val="100"/>
          <w:position w:val="0"/>
        </w:rPr>
        <w:t>元，占合并报表中归属于上市公司股东的净利润的比例为</w:t>
      </w:r>
      <w:r>
        <w:rPr>
          <w:rFonts w:ascii="Times New Roman" w:eastAsia="Times New Roman" w:hAnsi="Times New Roman" w:cs="Times New Roman"/>
          <w:color w:val="000000"/>
          <w:spacing w:val="0"/>
          <w:w w:val="100"/>
          <w:position w:val="0"/>
        </w:rPr>
        <w:t>39.39%</w:t>
      </w:r>
      <w:r>
        <w:rPr>
          <w:color w:val="000000"/>
          <w:spacing w:val="0"/>
          <w:w w:val="100"/>
          <w:position w:val="0"/>
        </w:rPr>
        <w:t>。</w:t>
      </w:r>
    </w:p>
    <w:p>
      <w:pPr>
        <w:pStyle w:val="Style37"/>
        <w:keepNext w:val="0"/>
        <w:keepLines w:val="0"/>
        <w:widowControl w:val="0"/>
        <w:shd w:val="clear" w:color="auto" w:fill="auto"/>
        <w:bidi w:val="0"/>
        <w:spacing w:before="0" w:after="0" w:line="403" w:lineRule="exact"/>
        <w:ind w:left="0" w:right="0" w:firstLine="420"/>
        <w:jc w:val="both"/>
      </w:pPr>
      <w:bookmarkStart w:id="277" w:name="bookmark277"/>
      <w:r>
        <w:rPr>
          <w:rFonts w:ascii="Times New Roman" w:eastAsia="Times New Roman" w:hAnsi="Times New Roman" w:cs="Times New Roman"/>
          <w:color w:val="000000"/>
          <w:spacing w:val="0"/>
          <w:w w:val="100"/>
          <w:position w:val="0"/>
        </w:rPr>
        <w:t>2</w:t>
      </w:r>
      <w:bookmarkEnd w:id="277"/>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年度利润分配预案：拟以总股本</w:t>
      </w:r>
      <w:r>
        <w:rPr>
          <w:rFonts w:ascii="Times New Roman" w:eastAsia="Times New Roman" w:hAnsi="Times New Roman" w:cs="Times New Roman"/>
          <w:color w:val="000000"/>
          <w:spacing w:val="0"/>
          <w:w w:val="100"/>
          <w:position w:val="0"/>
        </w:rPr>
        <w:t>970,381,273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0.39</w:t>
      </w:r>
      <w:r>
        <w:rPr>
          <w:color w:val="000000"/>
          <w:spacing w:val="0"/>
          <w:w w:val="100"/>
          <w:position w:val="0"/>
        </w:rPr>
        <w:t>元（含税），不 送红股，不以公积金转增股本。本次利润分配方案已于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日实施完毕。</w:t>
      </w:r>
    </w:p>
    <w:p>
      <w:pPr>
        <w:pStyle w:val="Style37"/>
        <w:keepNext w:val="0"/>
        <w:keepLines w:val="0"/>
        <w:widowControl w:val="0"/>
        <w:shd w:val="clear" w:color="auto" w:fill="auto"/>
        <w:bidi w:val="0"/>
        <w:spacing w:before="0" w:after="0" w:line="403" w:lineRule="exact"/>
        <w:ind w:left="0" w:right="0" w:firstLine="420"/>
        <w:jc w:val="both"/>
      </w:pPr>
      <w:bookmarkStart w:id="278" w:name="bookmark278"/>
      <w:r>
        <w:rPr>
          <w:rFonts w:ascii="Times New Roman" w:eastAsia="Times New Roman" w:hAnsi="Times New Roman" w:cs="Times New Roman"/>
          <w:color w:val="000000"/>
          <w:spacing w:val="0"/>
          <w:w w:val="100"/>
          <w:position w:val="0"/>
        </w:rPr>
        <w:t>3</w:t>
      </w:r>
      <w:bookmarkEnd w:id="278"/>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rPr>
        <w:t>963,431,273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0.35</w:t>
      </w:r>
      <w:r>
        <w:rPr>
          <w:color w:val="000000"/>
          <w:spacing w:val="0"/>
          <w:w w:val="100"/>
          <w:position w:val="0"/>
        </w:rPr>
        <w:t>元（含税），不送 红股，不以公积金转增股本。本次利润分配方案已于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w:t>
      </w:r>
      <w:r>
        <w:br w:type="page"/>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1200"/>
        <w:gridCol w:w="1195"/>
        <w:gridCol w:w="1195"/>
        <w:gridCol w:w="1090"/>
        <w:gridCol w:w="1421"/>
        <w:gridCol w:w="1133"/>
        <w:gridCol w:w="1133"/>
        <w:gridCol w:w="1214"/>
      </w:tblGrid>
      <w:tr>
        <w:trPr>
          <w:trHeight w:val="19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分红年度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现金分红金额（含</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center"/>
              <w:rPr>
                <w:sz w:val="15"/>
                <w:szCs w:val="15"/>
              </w:rPr>
            </w:pPr>
            <w:r>
              <w:rPr>
                <w:color w:val="000000"/>
                <w:spacing w:val="0"/>
                <w:w w:val="100"/>
                <w:position w:val="0"/>
                <w:sz w:val="15"/>
                <w:szCs w:val="15"/>
              </w:rPr>
              <w:t>分红年度合并报 表中归属于上市 公司普通股股东 的净利润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rPr>
                <w:sz w:val="15"/>
                <w:szCs w:val="15"/>
              </w:rPr>
            </w:pPr>
            <w:r>
              <w:rPr>
                <w:color w:val="000000"/>
                <w:spacing w:val="0"/>
                <w:w w:val="100"/>
                <w:position w:val="0"/>
                <w:sz w:val="15"/>
                <w:szCs w:val="15"/>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以其他方式（如回购</w:t>
            </w:r>
          </w:p>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股份）现金分红的金</w:t>
            </w:r>
          </w:p>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以其他方式现金 分红金额占合并 报表中归属于上 市公司普通股股 东的净利润的比 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现金分红总额</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（含其他方式）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rPr>
                <w:sz w:val="15"/>
                <w:szCs w:val="15"/>
              </w:rPr>
            </w:pPr>
            <w:r>
              <w:rPr>
                <w:color w:val="000000"/>
                <w:spacing w:val="0"/>
                <w:w w:val="100"/>
                <w:position w:val="0"/>
                <w:sz w:val="15"/>
                <w:szCs w:val="15"/>
              </w:rPr>
              <w:t>现金分红总额（含 其他方式）占合并 报表中归属于上 市公司普通股股 东的净利润的比 率</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48,172,292.55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475,673,930.78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139,215,943.29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187,388,235.84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39.39%</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37,844,869.65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375,607,752.77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37,844,869.65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10.08%</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5"/>
                <w:szCs w:val="15"/>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33,720,094.56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42,096,244.42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80.10%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33,720,094.56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80.10%</w:t>
            </w:r>
          </w:p>
        </w:tc>
      </w:tr>
    </w:tbl>
    <w:p>
      <w:pPr>
        <w:pStyle w:val="Style3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二</w:t>
      </w:r>
      <w:bookmarkEnd w:id="281"/>
      <w:r>
        <w:rPr>
          <w:color w:val="000000"/>
          <w:spacing w:val="0"/>
          <w:w w:val="100"/>
          <w:position w:val="0"/>
          <w:sz w:val="24"/>
          <w:szCs w:val="24"/>
        </w:rPr>
        <w:t>、本报告期利润分配及资本公积金转增股本情况</w:t>
      </w:r>
      <w:bookmarkEnd w:id="279"/>
      <w:bookmarkEnd w:id="280"/>
      <w:bookmarkEnd w:id="282"/>
    </w:p>
    <w:p>
      <w:pPr>
        <w:pStyle w:val="Style3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80"/>
        <w:gridCol w:w="4901"/>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963,445,851</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48,172,292.55</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139,215,943.29</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187,388,235.84</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68,982,295.90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w:t>
            </w:r>
          </w:p>
        </w:tc>
      </w:tr>
      <w:tr>
        <w:trPr>
          <w:trHeight w:val="466"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61"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66"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312" w:lineRule="exact"/>
              <w:ind w:left="0" w:right="0" w:firstLine="420"/>
              <w:jc w:val="both"/>
            </w:pPr>
            <w:r>
              <w:rPr>
                <w:color w:val="000000"/>
                <w:spacing w:val="0"/>
                <w:w w:val="100"/>
                <w:position w:val="0"/>
              </w:rPr>
              <w:t>经信永中和会计师事务所（特殊普通合伙）审计，本公司母公司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71,382,801.70</w:t>
            </w:r>
            <w:r>
              <w:rPr>
                <w:color w:val="000000"/>
                <w:spacing w:val="0"/>
                <w:w w:val="100"/>
                <w:position w:val="0"/>
              </w:rPr>
              <w:t>元，根据《公 司法》及公司章程的有关规定，按母公司弥补亏损后的净利润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7,138,280.17</w:t>
            </w:r>
            <w:r>
              <w:rPr>
                <w:color w:val="000000"/>
                <w:spacing w:val="0"/>
                <w:w w:val="100"/>
                <w:position w:val="0"/>
              </w:rPr>
              <w:t>元，实施</w:t>
            </w:r>
            <w:r>
              <w:rPr>
                <w:rFonts w:ascii="Times New Roman" w:eastAsia="Times New Roman" w:hAnsi="Times New Roman" w:cs="Times New Roman"/>
                <w:color w:val="000000"/>
                <w:spacing w:val="0"/>
                <w:w w:val="100"/>
                <w:position w:val="0"/>
              </w:rPr>
              <w:t>2019</w:t>
            </w:r>
            <w:r>
              <w:rPr>
                <w:color w:val="000000"/>
                <w:spacing w:val="0"/>
                <w:w w:val="100"/>
                <w:position w:val="0"/>
              </w:rPr>
              <w:t>年度权 益分配向全体股东派发现金红利减少</w:t>
            </w:r>
            <w:r>
              <w:rPr>
                <w:rFonts w:ascii="Times New Roman" w:eastAsia="Times New Roman" w:hAnsi="Times New Roman" w:cs="Times New Roman"/>
                <w:color w:val="000000"/>
                <w:spacing w:val="0"/>
                <w:w w:val="100"/>
                <w:position w:val="0"/>
              </w:rPr>
              <w:t>37,844,869.64</w:t>
            </w:r>
            <w:r>
              <w:rPr>
                <w:color w:val="000000"/>
                <w:spacing w:val="0"/>
                <w:w w:val="100"/>
                <w:position w:val="0"/>
              </w:rPr>
              <w:t>元，加上母公司年初未分配利润</w:t>
            </w:r>
            <w:r>
              <w:rPr>
                <w:rFonts w:ascii="Times New Roman" w:eastAsia="Times New Roman" w:hAnsi="Times New Roman" w:cs="Times New Roman"/>
                <w:color w:val="000000"/>
                <w:spacing w:val="0"/>
                <w:w w:val="100"/>
                <w:position w:val="0"/>
              </w:rPr>
              <w:t>42,582,644.01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年度母公司实 际可供股东分配的未分配利润为</w:t>
            </w:r>
            <w:r>
              <w:rPr>
                <w:rFonts w:ascii="Times New Roman" w:eastAsia="Times New Roman" w:hAnsi="Times New Roman" w:cs="Times New Roman"/>
                <w:color w:val="000000"/>
                <w:spacing w:val="0"/>
                <w:w w:val="100"/>
                <w:position w:val="0"/>
              </w:rPr>
              <w:t>68,982,295.90</w:t>
            </w:r>
            <w:r>
              <w:rPr>
                <w:color w:val="000000"/>
                <w:spacing w:val="0"/>
                <w:w w:val="100"/>
                <w:position w:val="0"/>
              </w:rPr>
              <w:t>元。</w:t>
            </w:r>
          </w:p>
          <w:p>
            <w:pPr>
              <w:pStyle w:val="Style29"/>
              <w:keepNext w:val="0"/>
              <w:keepLines w:val="0"/>
              <w:widowControl w:val="0"/>
              <w:shd w:val="clear" w:color="auto" w:fill="auto"/>
              <w:bidi w:val="0"/>
              <w:spacing w:before="0" w:after="40" w:line="314"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日，公司第八届董事会第九次会议审议通过的</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年度利润分配预案为：拟以截至第八届董事会第 九次会议召开日，公司总股本扣除回购专户中已回购股份后的</w:t>
            </w:r>
            <w:r>
              <w:rPr>
                <w:rFonts w:ascii="Times New Roman" w:eastAsia="Times New Roman" w:hAnsi="Times New Roman" w:cs="Times New Roman"/>
                <w:color w:val="000000"/>
                <w:spacing w:val="0"/>
                <w:w w:val="100"/>
                <w:position w:val="0"/>
              </w:rPr>
              <w:t>963,445,851</w:t>
            </w:r>
            <w:r>
              <w:rPr>
                <w:color w:val="000000"/>
                <w:spacing w:val="0"/>
                <w:w w:val="100"/>
                <w:position w:val="0"/>
              </w:rPr>
              <w:t>股为基数，公司拟向全体股东每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rPr>
              <w:t>0.50</w:t>
            </w:r>
            <w:r>
              <w:rPr>
                <w:color w:val="000000"/>
                <w:spacing w:val="0"/>
                <w:w w:val="100"/>
                <w:position w:val="0"/>
              </w:rPr>
              <w:t>元人民币（含税），不送红股，不以公积金转增股本，合计拟派发现金红利为</w:t>
            </w:r>
            <w:r>
              <w:rPr>
                <w:rFonts w:ascii="Times New Roman" w:eastAsia="Times New Roman" w:hAnsi="Times New Roman" w:cs="Times New Roman"/>
                <w:color w:val="000000"/>
                <w:spacing w:val="0"/>
                <w:w w:val="100"/>
                <w:position w:val="0"/>
              </w:rPr>
              <w:t>48,172,292.55</w:t>
            </w:r>
            <w:r>
              <w:rPr>
                <w:color w:val="000000"/>
                <w:spacing w:val="0"/>
                <w:w w:val="100"/>
                <w:position w:val="0"/>
              </w:rPr>
              <w:t>元（含税）。</w:t>
            </w:r>
          </w:p>
          <w:p>
            <w:pPr>
              <w:pStyle w:val="Style29"/>
              <w:keepNext w:val="0"/>
              <w:keepLines w:val="0"/>
              <w:widowControl w:val="0"/>
              <w:shd w:val="clear" w:color="auto" w:fill="auto"/>
              <w:bidi w:val="0"/>
              <w:spacing w:before="0" w:after="40" w:line="313" w:lineRule="exact"/>
              <w:ind w:left="0" w:right="0" w:firstLine="420"/>
              <w:jc w:val="both"/>
            </w:pPr>
            <w:r>
              <w:rPr>
                <w:color w:val="000000"/>
                <w:spacing w:val="0"/>
                <w:w w:val="100"/>
                <w:position w:val="0"/>
              </w:rPr>
              <w:t>根据《深圳证券交易所上市公司回购股份实施细则》的相关规定，</w:t>
            </w:r>
            <w:r>
              <w:rPr>
                <w:rFonts w:ascii="Times New Roman" w:eastAsia="Times New Roman" w:hAnsi="Times New Roman" w:cs="Times New Roman"/>
                <w:color w:val="000000"/>
                <w:spacing w:val="0"/>
                <w:w w:val="100"/>
                <w:position w:val="0"/>
              </w:rPr>
              <w:t>2020</w:t>
            </w:r>
            <w:r>
              <w:rPr>
                <w:color w:val="000000"/>
                <w:spacing w:val="0"/>
                <w:w w:val="100"/>
                <w:position w:val="0"/>
              </w:rPr>
              <w:t>年度公司以集中竞价交易方式实施股份回购</w:t>
            </w:r>
          </w:p>
        </w:tc>
      </w:tr>
    </w:tbl>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支付的金额</w:t>
      </w:r>
      <w:r>
        <w:rPr>
          <w:rFonts w:ascii="Times New Roman" w:eastAsia="Times New Roman" w:hAnsi="Times New Roman" w:cs="Times New Roman"/>
          <w:color w:val="000000"/>
          <w:spacing w:val="0"/>
          <w:w w:val="100"/>
          <w:position w:val="0"/>
        </w:rPr>
        <w:t>139,215,943.29</w:t>
      </w:r>
      <w:r>
        <w:rPr>
          <w:color w:val="000000"/>
          <w:spacing w:val="0"/>
          <w:w w:val="100"/>
          <w:position w:val="0"/>
        </w:rPr>
        <w:t>元（不含佣金、过户费等交易费用），视同公司</w:t>
      </w:r>
      <w:r>
        <w:rPr>
          <w:rFonts w:ascii="Times New Roman" w:eastAsia="Times New Roman" w:hAnsi="Times New Roman" w:cs="Times New Roman"/>
          <w:color w:val="000000"/>
          <w:spacing w:val="0"/>
          <w:w w:val="100"/>
          <w:position w:val="0"/>
        </w:rPr>
        <w:t>2020</w:t>
      </w:r>
      <w:r>
        <w:rPr>
          <w:color w:val="000000"/>
          <w:spacing w:val="0"/>
          <w:w w:val="100"/>
          <w:position w:val="0"/>
        </w:rPr>
        <w:t>年度的现金分红。综上，公司</w:t>
      </w:r>
      <w:r>
        <w:rPr>
          <w:rFonts w:ascii="Times New Roman" w:eastAsia="Times New Roman" w:hAnsi="Times New Roman" w:cs="Times New Roman"/>
          <w:color w:val="000000"/>
          <w:spacing w:val="0"/>
          <w:w w:val="100"/>
          <w:position w:val="0"/>
        </w:rPr>
        <w:t>2020</w:t>
      </w:r>
      <w:r>
        <w:rPr>
          <w:color w:val="000000"/>
          <w:spacing w:val="0"/>
          <w:w w:val="100"/>
          <w:position w:val="0"/>
        </w:rPr>
        <w:t>年度现 金分红金额合计</w:t>
      </w:r>
      <w:r>
        <w:rPr>
          <w:rFonts w:ascii="Times New Roman" w:eastAsia="Times New Roman" w:hAnsi="Times New Roman" w:cs="Times New Roman"/>
          <w:color w:val="000000"/>
          <w:spacing w:val="0"/>
          <w:w w:val="100"/>
          <w:position w:val="0"/>
        </w:rPr>
        <w:t>187,388,235.84</w:t>
      </w:r>
      <w:r>
        <w:rPr>
          <w:color w:val="000000"/>
          <w:spacing w:val="0"/>
          <w:w w:val="100"/>
          <w:position w:val="0"/>
        </w:rPr>
        <w:t>元，占合并报表中归属于上市公司股东的净利润的比例为</w:t>
      </w:r>
      <w:r>
        <w:rPr>
          <w:rFonts w:ascii="Times New Roman" w:eastAsia="Times New Roman" w:hAnsi="Times New Roman" w:cs="Times New Roman"/>
          <w:color w:val="000000"/>
          <w:spacing w:val="0"/>
          <w:w w:val="100"/>
          <w:position w:val="0"/>
        </w:rPr>
        <w:t>39.39%</w:t>
      </w:r>
      <w:r>
        <w:rPr>
          <w:color w:val="000000"/>
          <w:spacing w:val="0"/>
          <w:w w:val="100"/>
          <w:position w:val="0"/>
        </w:rPr>
        <w:t>。</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20"/>
        <w:jc w:val="left"/>
        <w:sectPr>
          <w:footnotePr>
            <w:pos w:val="pageBottom"/>
            <w:numFmt w:val="decimal"/>
            <w:numRestart w:val="continuous"/>
          </w:footnotePr>
          <w:pgSz w:w="11900" w:h="16840"/>
          <w:pgMar w:top="1398" w:right="1103" w:bottom="1619" w:left="1067" w:header="0" w:footer="3" w:gutter="0"/>
          <w:cols w:space="720"/>
          <w:noEndnote/>
          <w:rtlGutter w:val="0"/>
          <w:docGrid w:linePitch="360"/>
        </w:sectPr>
      </w:pPr>
      <w:r>
        <w:rPr>
          <w:color w:val="000000"/>
          <w:spacing w:val="0"/>
          <w:w w:val="100"/>
          <w:position w:val="0"/>
        </w:rPr>
        <w:t>公司通过回购专户所持有的本公司股份，不参与本次利润分配。若在本方案披露之日起至分配方案实施前，因新增股 份上市、股权激励授予行权、可转债转股、股份回购、员工持股计划实施等原因，致使公司总股本扣除公司回购专户中股 份后的基数发生变动，将按照“分配总额”不变的原则对每股分红金额进行调整。本次利润分配预案尚需公司</w:t>
      </w:r>
      <w:r>
        <w:rPr>
          <w:rFonts w:ascii="Times New Roman" w:eastAsia="Times New Roman" w:hAnsi="Times New Roman" w:cs="Times New Roman"/>
          <w:color w:val="000000"/>
          <w:spacing w:val="0"/>
          <w:w w:val="100"/>
          <w:position w:val="0"/>
        </w:rPr>
        <w:t>2020</w:t>
      </w:r>
      <w:r>
        <w:rPr>
          <w:color w:val="000000"/>
          <w:spacing w:val="0"/>
          <w:w w:val="100"/>
          <w:position w:val="0"/>
        </w:rPr>
        <w:t>年年 度股东大会审议。</w:t>
      </w:r>
    </w:p>
    <w:p>
      <w:pPr>
        <w:pStyle w:val="Style35"/>
        <w:keepNext/>
        <w:keepLines/>
        <w:widowControl w:val="0"/>
        <w:shd w:val="clear" w:color="auto" w:fill="auto"/>
        <w:bidi w:val="0"/>
        <w:spacing w:before="0" w:after="3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三</w:t>
      </w:r>
      <w:bookmarkEnd w:id="285"/>
      <w:r>
        <w:rPr>
          <w:color w:val="000000"/>
          <w:spacing w:val="0"/>
          <w:w w:val="100"/>
          <w:position w:val="0"/>
          <w:sz w:val="24"/>
          <w:szCs w:val="24"/>
        </w:rPr>
        <w:t>、承诺事项履行情况</w:t>
      </w:r>
      <w:bookmarkEnd w:id="283"/>
      <w:bookmarkEnd w:id="284"/>
      <w:bookmarkEnd w:id="286"/>
    </w:p>
    <w:p>
      <w:pPr>
        <w:pStyle w:val="Style41"/>
        <w:keepNext/>
        <w:keepLines/>
        <w:widowControl w:val="0"/>
        <w:shd w:val="clear" w:color="auto" w:fill="auto"/>
        <w:bidi w:val="0"/>
        <w:spacing w:before="0" w:after="34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、公司实际控制人、股东、关联方、收购人以及公司等承诺相关方在报告期内履行完毕及截至报告期末尚未履行完毕的承诺事项</w:t>
      </w:r>
      <w:bookmarkEnd w:id="287"/>
      <w:bookmarkEnd w:id="288"/>
      <w:bookmarkEnd w:id="290"/>
    </w:p>
    <w:p>
      <w:pPr>
        <w:pStyle w:val="Style2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71"/>
        <w:gridCol w:w="994"/>
        <w:gridCol w:w="994"/>
        <w:gridCol w:w="4675"/>
        <w:gridCol w:w="850"/>
        <w:gridCol w:w="854"/>
        <w:gridCol w:w="4498"/>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资产重组时所</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神码软件、 天津信锐、 中新创投、 华亿投资、 南京汇庆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《关于资产权属的承诺》：交易对方承诺已履行了神州信息</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《公司章程》规定的全额出资义务，持有的股份所对应的注 册资本均已按时足额出资到位；依法拥有神州信息股份的全 部法律权益，包括但不限于占有、使用、收益及处分权；所 持有的神州信息股份资产权属清晰，不存在任何权属纠纷， 亦不存在其他法律纠纷；持有的神州信息股份不存在质押、 抵押、其他担保或第三方权益或限制情形，也不存在法院或 其他有权机关冻结、查封、拍卖本合伙企业持有上述股份之 情形；持有的神州信息股份过户或者转移不存在法律障碍。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r>
        <w:trPr>
          <w:trHeight w:val="259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华亿投资、 南京汇庆、 神码软件、 天津信锐、 中新创投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《交易对方关于无违法行为的确认函》：本次交易的交易对 方出具了无违法行为的确认函，确认：公司（合伙企业）及 公司（合伙企业）主要管理人员最近五年未受过与证券市场 相关的行政处罚、刑事处罚，没有涉及与经济纠纷有关的重 大民事诉讼或者仲裁；本公司（合伙企业）符合作为上市公 司非公开发行股票发行对象的条件，不存在法律、法规、规 章或规范性文件规定的不得作为上市公司非公开发行股票 发行对象的情形。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6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《关于标的资产隐形负债的承诺》：就神州信息相关员工的 工资、社会保险及住房公积金等隐性负债可能给上市公司导 致的损失，神码软件承诺：如本次交易完成后，因神州信息 或其下属控股</w:t>
            </w:r>
            <w:r>
              <w:rPr>
                <w:rFonts w:ascii="Times New Roman" w:eastAsia="Times New Roman" w:hAnsi="Times New Roman" w:cs="Times New Roman"/>
                <w:color w:val="000000"/>
                <w:spacing w:val="0"/>
                <w:w w:val="100"/>
                <w:position w:val="0"/>
              </w:rPr>
              <w:t>/</w:t>
            </w:r>
            <w:r>
              <w:rPr>
                <w:color w:val="000000"/>
                <w:spacing w:val="0"/>
                <w:w w:val="100"/>
                <w:position w:val="0"/>
              </w:rPr>
              <w:t>控制子公司或分公司就任何员工的工资、社 会保险及住房公积金方面存在违反法律、法规或规范性文件 要求，或违反劳动合同约定，而导致上市公司受到起诉、被 提起仲裁、遭受索赔、受到行政调查或处罚、被判决或被裁 决作出赔偿或补偿或承担其他形式的责任，则神码软件将以 现金方式向上市公司补足该等遭受的损失，以确保上市公司 利益不会受到损害。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神码软件出具该承诺时，神州信息拥有</w:t>
            </w:r>
            <w:r>
              <w:rPr>
                <w:rFonts w:ascii="Times New Roman" w:eastAsia="Times New Roman" w:hAnsi="Times New Roman" w:cs="Times New Roman"/>
                <w:color w:val="000000"/>
                <w:spacing w:val="0"/>
                <w:w w:val="100"/>
                <w:position w:val="0"/>
              </w:rPr>
              <w:t>17</w:t>
            </w:r>
            <w:r>
              <w:rPr>
                <w:color w:val="000000"/>
                <w:spacing w:val="0"/>
                <w:w w:val="100"/>
                <w:position w:val="0"/>
              </w:rPr>
              <w:t>家境内控股子 公司及</w:t>
            </w:r>
            <w:r>
              <w:rPr>
                <w:rFonts w:ascii="Times New Roman" w:eastAsia="Times New Roman" w:hAnsi="Times New Roman" w:cs="Times New Roman"/>
                <w:color w:val="000000"/>
                <w:spacing w:val="0"/>
                <w:w w:val="100"/>
                <w:position w:val="0"/>
              </w:rPr>
              <w:t>6</w:t>
            </w:r>
            <w:r>
              <w:rPr>
                <w:color w:val="000000"/>
                <w:spacing w:val="0"/>
                <w:w w:val="100"/>
                <w:position w:val="0"/>
              </w:rPr>
              <w:t>家境内分公司，除</w:t>
            </w:r>
            <w:r>
              <w:rPr>
                <w:rFonts w:ascii="Times New Roman" w:eastAsia="Times New Roman" w:hAnsi="Times New Roman" w:cs="Times New Roman"/>
                <w:color w:val="000000"/>
                <w:spacing w:val="0"/>
                <w:w w:val="100"/>
                <w:position w:val="0"/>
              </w:rPr>
              <w:t>2</w:t>
            </w:r>
            <w:r>
              <w:rPr>
                <w:color w:val="000000"/>
                <w:spacing w:val="0"/>
                <w:w w:val="100"/>
                <w:position w:val="0"/>
              </w:rPr>
              <w:t>家已完成注销（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日完成注销）和</w:t>
            </w:r>
            <w:r>
              <w:rPr>
                <w:rFonts w:ascii="Times New Roman" w:eastAsia="Times New Roman" w:hAnsi="Times New Roman" w:cs="Times New Roman"/>
                <w:color w:val="000000"/>
                <w:spacing w:val="0"/>
                <w:w w:val="100"/>
                <w:position w:val="0"/>
              </w:rPr>
              <w:t>1</w:t>
            </w:r>
            <w:r>
              <w:rPr>
                <w:color w:val="000000"/>
                <w:spacing w:val="0"/>
                <w:w w:val="100"/>
                <w:position w:val="0"/>
              </w:rPr>
              <w:t>家拟注销的子公司（截至目前， 已完成注销）、</w:t>
            </w:r>
            <w:r>
              <w:rPr>
                <w:rFonts w:ascii="Times New Roman" w:eastAsia="Times New Roman" w:hAnsi="Times New Roman" w:cs="Times New Roman"/>
                <w:color w:val="000000"/>
                <w:spacing w:val="0"/>
                <w:w w:val="100"/>
                <w:position w:val="0"/>
              </w:rPr>
              <w:t>2</w:t>
            </w:r>
            <w:r>
              <w:rPr>
                <w:color w:val="000000"/>
                <w:spacing w:val="0"/>
                <w:w w:val="100"/>
                <w:position w:val="0"/>
              </w:rPr>
              <w:t>家无员工的子公司或分公司外，公司及 各该子公司及分公司的社会保险主管机构均已出具证明 或缴纳记录，确认该等公司及分公司在报告期内或自设立 起不存在欠费或违反社会保险法规或受到处罚的情形。就 住房公积金守法情况，在神码软件出具承诺时，上述神州 信息子公司及分公司中，除</w:t>
            </w:r>
            <w:r>
              <w:rPr>
                <w:rFonts w:ascii="Times New Roman" w:eastAsia="Times New Roman" w:hAnsi="Times New Roman" w:cs="Times New Roman"/>
                <w:color w:val="000000"/>
                <w:spacing w:val="0"/>
                <w:w w:val="100"/>
                <w:position w:val="0"/>
              </w:rPr>
              <w:t>1</w:t>
            </w:r>
            <w:r>
              <w:rPr>
                <w:color w:val="000000"/>
                <w:spacing w:val="0"/>
                <w:w w:val="100"/>
                <w:position w:val="0"/>
              </w:rPr>
              <w:t>家已完成注销和</w:t>
            </w:r>
            <w:r>
              <w:rPr>
                <w:rFonts w:ascii="Times New Roman" w:eastAsia="Times New Roman" w:hAnsi="Times New Roman" w:cs="Times New Roman"/>
                <w:color w:val="000000"/>
                <w:spacing w:val="0"/>
                <w:w w:val="100"/>
                <w:position w:val="0"/>
              </w:rPr>
              <w:t>1</w:t>
            </w:r>
            <w:r>
              <w:rPr>
                <w:color w:val="000000"/>
                <w:spacing w:val="0"/>
                <w:w w:val="100"/>
                <w:position w:val="0"/>
              </w:rPr>
              <w:t>家拟注销 的子公司（截至目前已注销）、</w:t>
            </w:r>
            <w:r>
              <w:rPr>
                <w:rFonts w:ascii="Times New Roman" w:eastAsia="Times New Roman" w:hAnsi="Times New Roman" w:cs="Times New Roman"/>
                <w:color w:val="000000"/>
                <w:spacing w:val="0"/>
                <w:w w:val="100"/>
                <w:position w:val="0"/>
              </w:rPr>
              <w:t>2</w:t>
            </w:r>
            <w:r>
              <w:rPr>
                <w:color w:val="000000"/>
                <w:spacing w:val="0"/>
                <w:w w:val="100"/>
                <w:position w:val="0"/>
              </w:rPr>
              <w:t>家无员工的子公司或分 公司外，公司及各该子公司及分公司的住房公积金主管机 构均已出具证明，确认该等公司及分公司在报告期内或自 设立起不存在违反住房公积金法规或受到处罚的情形。综 上所述，除神码软件出具承诺时已注销、正在注销（目前 已注销）以及无员工的分子公司外，神州信息及其余子公 司及分公司均已取得主管机关确认在报告期内或自设立 起不存在违反社会保险、住房公积金法规或受到处罚的情 形，未取得合规确认的子公司目前已注销、分子公司无员 工（不涉及社会报销及住房公积金事项）；且截至目前， 上市公司未因上述事项发生损失，因此，未来因员工社会 保险、住房公积金事项可能导致公司发生损失的风险很 小。截至目前，承诺人无违反上述承诺的情况。</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《关于上市公司股利分配政策的承诺》：</w:t>
            </w:r>
            <w:r>
              <w:rPr>
                <w:rFonts w:ascii="Times New Roman" w:eastAsia="Times New Roman" w:hAnsi="Times New Roman" w:cs="Times New Roman"/>
                <w:color w:val="000000"/>
                <w:spacing w:val="0"/>
                <w:w w:val="100"/>
                <w:position w:val="0"/>
              </w:rPr>
              <w:t>1</w:t>
            </w:r>
            <w:r>
              <w:rPr>
                <w:color w:val="000000"/>
                <w:spacing w:val="0"/>
                <w:w w:val="100"/>
                <w:position w:val="0"/>
              </w:rPr>
              <w:t>）、本次重组完成 后、我公司作为上市公司股东期间，我公司将全力支持上市 公司履行于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日所公告的经修订后《章程》中 有关上市公司分红政策及现金分红的规定，包括但不限于： ①将调整或变更上市公司利润分配政策作为股东大会特别 决议事项；②坚持该等《章程》第一百五十五条所规定的公 司利润分配政策，包括利润分配的原则、程序、形式、现金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年，神州信息分红情况如下：</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年度:母公司累计可供股东分配的利润为</w:t>
            </w:r>
            <w:r>
              <w:rPr>
                <w:rFonts w:ascii="Times New Roman" w:eastAsia="Times New Roman" w:hAnsi="Times New Roman" w:cs="Times New Roman"/>
                <w:color w:val="000000"/>
                <w:spacing w:val="0"/>
                <w:w w:val="100"/>
                <w:position w:val="0"/>
              </w:rPr>
              <w:t>-28,182.12</w:t>
            </w:r>
            <w:r>
              <w:rPr>
                <w:color w:val="000000"/>
                <w:spacing w:val="0"/>
                <w:w w:val="100"/>
                <w:position w:val="0"/>
              </w:rPr>
              <w:t>万元。 尚不满足分红条件，因此，</w:t>
            </w:r>
            <w:r>
              <w:rPr>
                <w:rFonts w:ascii="Times New Roman" w:eastAsia="Times New Roman" w:hAnsi="Times New Roman" w:cs="Times New Roman"/>
                <w:color w:val="000000"/>
                <w:spacing w:val="0"/>
                <w:w w:val="100"/>
                <w:position w:val="0"/>
              </w:rPr>
              <w:t>2013</w:t>
            </w:r>
            <w:r>
              <w:rPr>
                <w:color w:val="000000"/>
                <w:spacing w:val="0"/>
                <w:w w:val="100"/>
                <w:position w:val="0"/>
              </w:rPr>
              <w:t>年度不进行利润分配， 也不进行资本公积金转增股本。</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年度：公司利 润分配以未来实施</w:t>
            </w:r>
            <w:r>
              <w:rPr>
                <w:rFonts w:ascii="Times New Roman" w:eastAsia="Times New Roman" w:hAnsi="Times New Roman" w:cs="Times New Roman"/>
                <w:color w:val="000000"/>
                <w:spacing w:val="0"/>
                <w:w w:val="100"/>
                <w:position w:val="0"/>
              </w:rPr>
              <w:t>2014</w:t>
            </w:r>
            <w:r>
              <w:rPr>
                <w:color w:val="000000"/>
                <w:spacing w:val="0"/>
                <w:w w:val="100"/>
                <w:position w:val="0"/>
              </w:rPr>
              <w:t>年度权益分配方案时股权登记日 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 xml:space="preserve">0.60 </w:t>
            </w:r>
            <w:r>
              <w:rPr>
                <w:color w:val="000000"/>
                <w:spacing w:val="0"/>
                <w:w w:val="100"/>
                <w:position w:val="0"/>
              </w:rPr>
              <w:t>元（含税），不送红股，不以公积金转增股本。该利润分</w:t>
            </w:r>
          </w:p>
        </w:tc>
      </w:tr>
    </w:tbl>
    <w:p>
      <w:pPr>
        <w:sectPr>
          <w:headerReference w:type="default" r:id="rId15"/>
          <w:footerReference w:type="default" r:id="rId16"/>
          <w:footnotePr>
            <w:pos w:val="pageBottom"/>
            <w:numFmt w:val="decimal"/>
            <w:numRestart w:val="continuous"/>
          </w:footnotePr>
          <w:pgSz w:w="16840" w:h="11900" w:orient="landscape"/>
          <w:pgMar w:top="1124" w:right="1402" w:bottom="1546" w:left="1402" w:header="0" w:footer="3" w:gutter="0"/>
          <w:cols w:space="720"/>
          <w:noEndnote/>
          <w:rtlGutter w:val="0"/>
          <w:docGrid w:linePitch="360"/>
        </w:sectPr>
      </w:pP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分红条件、现金分红的比例及时间、股票股利分配条件、利 润分配的决策程序和机制等事项；③特别地，本公司承诺， 本公司将支持上市公司按照前述《章程》条款进行分红，以 确保上市公司每年以现金方式分配的利润不低于上市公司 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，且任意三个连续会计年度 内，上市公司以现金方式累计分配的利润不少于该三年实现 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）、本交易完成后我公司作为上 市公司股东期间，我公司将全力支持上市公司严格履行于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日公告的《未来三年（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年）股 东回报规划》。该等规划到期后，我公司将支持上市公司及 时制定接续性的股东回报规划，并确保该等回报规划符合上 市公司的分红政策。</w:t>
      </w:r>
      <w:r>
        <w:rPr>
          <w:rFonts w:ascii="Times New Roman" w:eastAsia="Times New Roman" w:hAnsi="Times New Roman" w:cs="Times New Roman"/>
          <w:color w:val="000000"/>
          <w:spacing w:val="0"/>
          <w:w w:val="100"/>
          <w:position w:val="0"/>
        </w:rPr>
        <w:t>3</w:t>
      </w:r>
      <w:r>
        <w:rPr>
          <w:color w:val="000000"/>
          <w:spacing w:val="0"/>
          <w:w w:val="100"/>
          <w:position w:val="0"/>
        </w:rPr>
        <w:t>）、为确保上述承诺实施，如上市公司 未来存在未依照前述《章程》及有关《股东回报规划》进行 分红情形，我公司将通过提出股东大会提案、否决有关违反 《章程》或有关《股东回报规划》提案等方式，确保上述承 诺得到有效实施。</w:t>
      </w:r>
    </w:p>
    <w:p>
      <w:pPr>
        <w:pStyle w:val="Style37"/>
        <w:keepNext w:val="0"/>
        <w:keepLines w:val="0"/>
        <w:widowControl w:val="0"/>
        <w:shd w:val="clear" w:color="auto" w:fill="auto"/>
        <w:bidi w:val="0"/>
        <w:spacing w:before="0" w:after="0" w:line="313" w:lineRule="exact"/>
        <w:ind w:left="0" w:right="0" w:firstLine="220"/>
        <w:jc w:val="both"/>
        <w:sectPr>
          <w:headerReference w:type="default" r:id="rId17"/>
          <w:footerReference w:type="default" r:id="rId18"/>
          <w:footnotePr>
            <w:pos w:val="pageBottom"/>
            <w:numFmt w:val="decimal"/>
            <w:numRestart w:val="continuous"/>
          </w:footnotePr>
          <w:pgSz w:w="16840" w:h="11900" w:orient="landscape"/>
          <w:pgMar w:top="760" w:right="1326" w:bottom="1363" w:left="4561" w:header="332" w:footer="3" w:gutter="0"/>
          <w:cols w:num="2" w:sep="1" w:space="1628"/>
          <w:noEndnote/>
          <w:rtlGutter w:val="0"/>
          <w:docGrid w:linePitch="360"/>
        </w:sectPr>
      </w:pPr>
      <w:r>
        <w:rPr>
          <w:color w:val="000000"/>
          <w:spacing w:val="0"/>
          <w:w w:val="100"/>
          <w:position w:val="0"/>
          <w:u w:val="single"/>
        </w:rPr>
        <w:t>神州数码信息服务股份有限公司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 xml:space="preserve">年年度报告全文 </w:t>
      </w:r>
      <w:r>
        <w:rPr>
          <w:color w:val="000000"/>
          <w:spacing w:val="0"/>
          <w:w w:val="100"/>
          <w:position w:val="0"/>
        </w:rPr>
        <w:t>配方案已于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月中旬实施完毕。公司</w:t>
      </w:r>
      <w:r>
        <w:rPr>
          <w:rFonts w:ascii="Times New Roman" w:eastAsia="Times New Roman" w:hAnsi="Times New Roman" w:cs="Times New Roman"/>
          <w:color w:val="000000"/>
          <w:spacing w:val="0"/>
          <w:w w:val="100"/>
          <w:position w:val="0"/>
        </w:rPr>
        <w:t>2014</w:t>
      </w:r>
      <w:r>
        <w:rPr>
          <w:color w:val="000000"/>
          <w:spacing w:val="0"/>
          <w:w w:val="100"/>
          <w:position w:val="0"/>
        </w:rPr>
        <w:t>年度现 金分红金额为</w:t>
      </w:r>
      <w:r>
        <w:rPr>
          <w:rFonts w:ascii="Times New Roman" w:eastAsia="Times New Roman" w:hAnsi="Times New Roman" w:cs="Times New Roman"/>
          <w:color w:val="000000"/>
          <w:spacing w:val="0"/>
          <w:w w:val="100"/>
          <w:position w:val="0"/>
        </w:rPr>
        <w:t>2,753.44</w:t>
      </w:r>
      <w:r>
        <w:rPr>
          <w:color w:val="000000"/>
          <w:spacing w:val="0"/>
          <w:w w:val="100"/>
          <w:position w:val="0"/>
        </w:rPr>
        <w:t xml:space="preserve">万元，实际可供股东分配利润为 </w:t>
      </w:r>
      <w:r>
        <w:rPr>
          <w:rFonts w:ascii="Times New Roman" w:eastAsia="Times New Roman" w:hAnsi="Times New Roman" w:cs="Times New Roman"/>
          <w:color w:val="000000"/>
          <w:spacing w:val="0"/>
          <w:w w:val="100"/>
          <w:position w:val="0"/>
        </w:rPr>
        <w:t>6,966.05</w:t>
      </w:r>
      <w:r>
        <w:rPr>
          <w:color w:val="000000"/>
          <w:spacing w:val="0"/>
          <w:w w:val="100"/>
          <w:position w:val="0"/>
        </w:rPr>
        <w:t xml:space="preserve">万元，现金分红金额占实际可供分配利润的 </w:t>
      </w:r>
      <w:r>
        <w:rPr>
          <w:rFonts w:ascii="Times New Roman" w:eastAsia="Times New Roman" w:hAnsi="Times New Roman" w:cs="Times New Roman"/>
          <w:color w:val="000000"/>
          <w:spacing w:val="0"/>
          <w:w w:val="100"/>
          <w:position w:val="0"/>
        </w:rPr>
        <w:t>39.53%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年半年度：公司利润分配方案为以公 司总股本</w:t>
      </w:r>
      <w:r>
        <w:rPr>
          <w:rFonts w:ascii="Times New Roman" w:eastAsia="Times New Roman" w:hAnsi="Times New Roman" w:cs="Times New Roman"/>
          <w:color w:val="000000"/>
          <w:spacing w:val="0"/>
          <w:w w:val="100"/>
          <w:position w:val="0"/>
        </w:rPr>
        <w:t>458,905,958</w:t>
      </w:r>
      <w:r>
        <w:rPr>
          <w:color w:val="000000"/>
          <w:spacing w:val="0"/>
          <w:w w:val="100"/>
          <w:position w:val="0"/>
        </w:rPr>
        <w:t>股为基数，以资本公积金向全体股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年半年度不送红股、不进行 现金分红。该事项已于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日实施完毕。</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年年度：以公司总股本</w:t>
      </w:r>
      <w:r>
        <w:rPr>
          <w:rFonts w:ascii="Times New Roman" w:eastAsia="Times New Roman" w:hAnsi="Times New Roman" w:cs="Times New Roman"/>
          <w:color w:val="000000"/>
          <w:spacing w:val="0"/>
          <w:w w:val="100"/>
          <w:position w:val="0"/>
        </w:rPr>
        <w:t>917,811,916</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0.40</w:t>
      </w:r>
      <w:r>
        <w:rPr>
          <w:color w:val="000000"/>
          <w:spacing w:val="0"/>
          <w:w w:val="100"/>
          <w:position w:val="0"/>
        </w:rPr>
        <w:t>元（含税），合 计</w:t>
      </w:r>
      <w:r>
        <w:rPr>
          <w:rFonts w:ascii="Times New Roman" w:eastAsia="Times New Roman" w:hAnsi="Times New Roman" w:cs="Times New Roman"/>
          <w:color w:val="000000"/>
          <w:spacing w:val="0"/>
          <w:w w:val="100"/>
          <w:position w:val="0"/>
        </w:rPr>
        <w:t>3,671.25</w:t>
      </w:r>
      <w:r>
        <w:rPr>
          <w:color w:val="000000"/>
          <w:spacing w:val="0"/>
          <w:w w:val="100"/>
          <w:position w:val="0"/>
        </w:rPr>
        <w:t>万元。该利润分配方案已于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月中旬 实施完毕。公司</w:t>
      </w:r>
      <w:r>
        <w:rPr>
          <w:rFonts w:ascii="Times New Roman" w:eastAsia="Times New Roman" w:hAnsi="Times New Roman" w:cs="Times New Roman"/>
          <w:color w:val="000000"/>
          <w:spacing w:val="0"/>
          <w:w w:val="100"/>
          <w:position w:val="0"/>
        </w:rPr>
        <w:t>2015</w:t>
      </w:r>
      <w:r>
        <w:rPr>
          <w:color w:val="000000"/>
          <w:spacing w:val="0"/>
          <w:w w:val="100"/>
          <w:position w:val="0"/>
        </w:rPr>
        <w:t>年度现金分红金额为</w:t>
      </w:r>
      <w:r>
        <w:rPr>
          <w:rFonts w:ascii="Times New Roman" w:eastAsia="Times New Roman" w:hAnsi="Times New Roman" w:cs="Times New Roman"/>
          <w:color w:val="000000"/>
          <w:spacing w:val="0"/>
          <w:w w:val="100"/>
          <w:position w:val="0"/>
        </w:rPr>
        <w:t>3,671.25</w:t>
      </w:r>
      <w:r>
        <w:rPr>
          <w:color w:val="000000"/>
          <w:spacing w:val="0"/>
          <w:w w:val="100"/>
          <w:position w:val="0"/>
        </w:rPr>
        <w:t>万元， 实际可供股东分配利润为</w:t>
      </w:r>
      <w:r>
        <w:rPr>
          <w:rFonts w:ascii="Times New Roman" w:eastAsia="Times New Roman" w:hAnsi="Times New Roman" w:cs="Times New Roman"/>
          <w:color w:val="000000"/>
          <w:spacing w:val="0"/>
          <w:w w:val="100"/>
          <w:position w:val="0"/>
        </w:rPr>
        <w:t>13,513.18</w:t>
      </w:r>
      <w:r>
        <w:rPr>
          <w:color w:val="000000"/>
          <w:spacing w:val="0"/>
          <w:w w:val="100"/>
          <w:position w:val="0"/>
        </w:rPr>
        <w:t>万元，现金分红金额 占实际可供分配利润的</w:t>
      </w:r>
      <w:r>
        <w:rPr>
          <w:rFonts w:ascii="Times New Roman" w:eastAsia="Times New Roman" w:hAnsi="Times New Roman" w:cs="Times New Roman"/>
          <w:color w:val="000000"/>
          <w:spacing w:val="0"/>
          <w:w w:val="100"/>
          <w:position w:val="0"/>
        </w:rPr>
        <w:t>27.17%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年度：以总股 本</w:t>
      </w:r>
      <w:r>
        <w:rPr>
          <w:rFonts w:ascii="Times New Roman" w:eastAsia="Times New Roman" w:hAnsi="Times New Roman" w:cs="Times New Roman"/>
          <w:color w:val="000000"/>
          <w:spacing w:val="0"/>
          <w:w w:val="100"/>
          <w:position w:val="0"/>
        </w:rPr>
        <w:t>963,431,273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rPr>
        <w:t>0.26</w:t>
      </w:r>
      <w:r>
        <w:rPr>
          <w:color w:val="000000"/>
          <w:spacing w:val="0"/>
          <w:w w:val="100"/>
          <w:position w:val="0"/>
        </w:rPr>
        <w:t>元（含税），不送红股，不以公积金转增股本。本 次利润分配方案已于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日实施完毕。</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年度：以总股本</w:t>
      </w:r>
      <w:r>
        <w:rPr>
          <w:rFonts w:ascii="Times New Roman" w:eastAsia="Times New Roman" w:hAnsi="Times New Roman" w:cs="Times New Roman"/>
          <w:color w:val="000000"/>
          <w:spacing w:val="0"/>
          <w:w w:val="100"/>
          <w:position w:val="0"/>
        </w:rPr>
        <w:t>963,431,273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0.32</w:t>
      </w:r>
      <w:r>
        <w:rPr>
          <w:color w:val="000000"/>
          <w:spacing w:val="0"/>
          <w:w w:val="100"/>
          <w:position w:val="0"/>
        </w:rPr>
        <w:t>元（含税），不送红股，不以公积金 转增股本。本次利润分配方案已于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日实施 完毕。</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年度：以总股本</w:t>
      </w:r>
      <w:r>
        <w:rPr>
          <w:rFonts w:ascii="Times New Roman" w:eastAsia="Times New Roman" w:hAnsi="Times New Roman" w:cs="Times New Roman"/>
          <w:color w:val="000000"/>
          <w:spacing w:val="0"/>
          <w:w w:val="100"/>
          <w:position w:val="0"/>
        </w:rPr>
        <w:t>963,431,273</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0.35</w:t>
      </w:r>
      <w:r>
        <w:rPr>
          <w:color w:val="000000"/>
          <w:spacing w:val="0"/>
          <w:w w:val="100"/>
          <w:position w:val="0"/>
        </w:rPr>
        <w:t>元（含税），不送 红股，不以公积金转增股本。本次利润分配方案已于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年度：以总股本</w:t>
      </w:r>
      <w:r>
        <w:rPr>
          <w:rFonts w:ascii="Times New Roman" w:eastAsia="Times New Roman" w:hAnsi="Times New Roman" w:cs="Times New Roman"/>
          <w:color w:val="000000"/>
          <w:spacing w:val="0"/>
          <w:w w:val="100"/>
          <w:position w:val="0"/>
        </w:rPr>
        <w:t xml:space="preserve">970,381,273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0.39</w:t>
      </w:r>
      <w:r>
        <w:rPr>
          <w:color w:val="000000"/>
          <w:spacing w:val="0"/>
          <w:w w:val="100"/>
          <w:position w:val="0"/>
        </w:rPr>
        <w:t>元（含 税），不送红股，不以公积金转增股本。本次利润分配方 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日实施完毕。</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年度：以公 司总股本扣除回购专户中已回购股份后的</w:t>
      </w:r>
      <w:r>
        <w:rPr>
          <w:rFonts w:ascii="Times New Roman" w:eastAsia="Times New Roman" w:hAnsi="Times New Roman" w:cs="Times New Roman"/>
          <w:color w:val="000000"/>
          <w:spacing w:val="0"/>
          <w:w w:val="100"/>
          <w:position w:val="0"/>
        </w:rPr>
        <w:t>963,445,851</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 不送红股，不以公积金转增股本。本预案将提交公司</w:t>
      </w:r>
      <w:r>
        <w:rPr>
          <w:rFonts w:ascii="Times New Roman" w:eastAsia="Times New Roman" w:hAnsi="Times New Roman" w:cs="Times New Roman"/>
          <w:color w:val="000000"/>
          <w:spacing w:val="0"/>
          <w:w w:val="100"/>
          <w:position w:val="0"/>
        </w:rPr>
        <w:t>2020</w:t>
      </w:r>
    </w:p>
    <w:tbl>
      <w:tblPr>
        <w:tblOverlap w:val="never"/>
        <w:jc w:val="center"/>
        <w:tblLayout w:type="fixed"/>
      </w:tblPr>
      <w:tblGrid>
        <w:gridCol w:w="1171"/>
        <w:gridCol w:w="994"/>
        <w:gridCol w:w="994"/>
        <w:gridCol w:w="4675"/>
        <w:gridCol w:w="850"/>
        <w:gridCol w:w="854"/>
        <w:gridCol w:w="4498"/>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年年度股东大会进行审议。综上所述，截至目前，承诺人 无违反上述承诺的情况。</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《关于标的资产租赁房屋事项的承诺》：如因租赁房屋权属 瑕疵导致神州信息或其任何现有子公司、分公司无法继续租 赁该等房屋而必须搬迁，我公司将积极协助神州信息或其任 何现有子公司、分公司及时寻找合适的替代性合法经营场 所。如神州信息及其任何现有子公司、分公司无法在相关区 域内及时找到合适的替代性合法经营办公场所，我公司承诺 对由此给神州信息或其任何现有子公司、分公司的经营和财 务状况造成的任何损失承担责任；如因上述房屋未履行房屋 租赁登记备案手续而致使神州信息或其任何现有子公司、分 公司受到房地产管理部门处罚的，同意无条件代神州信息或 其任何现有子公司、分公司承担所有罚款或处罚，保证神州 信息或其任何现有子公司、分公司不因此受到损失。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截至目前，上述承诺仍在履行过程中，承诺人无违反上述 承诺的情况。</w:t>
            </w:r>
          </w:p>
        </w:tc>
      </w:tr>
      <w:tr>
        <w:trPr>
          <w:trHeight w:val="44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神州控股、 神码软件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《关于规范关联交易的承诺》：神州控股和神码软件就本次 重大资产重组涉及的关联交易问题，承诺如下：①本公司及 本公司控制的企业与神州信息之间不存在显失公平的关联 交易。②重组完成后，本公司及本公司控制的企业将尽量避 免或减少与神州信息及其下属子公司之间的关联交易，对于 无法避免或有合理理由存在的关联交易，将与上市公司依法 签订规范的关联交易协议，并按照有关法律、法规、规章、 上市规则和其他规范性文件以及上市公司章程的规定履行 批准程序；关联交易价格依照与无关联关系的独立第三方进 行相同或相似交易时的价格确定，保证关联交易价格具有公 允性；保证按照有关法律、法规、上市公司章程的规定履行 关联交易的信息披露义务。本公司保证不利用关联交易非法 转移上市公司的资金、利润，不利用关联交易损害非关联股 东的利益。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29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神州控股、 神码软件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《保持上市公司独立性的承诺》：神州控股和神码软件就本 次重大资产重组涉及的上市公司独立性问题承诺如下：（</w:t>
            </w:r>
            <w:r>
              <w:rPr>
                <w:rFonts w:ascii="Times New Roman" w:eastAsia="Times New Roman" w:hAnsi="Times New Roman" w:cs="Times New Roman"/>
                <w:color w:val="000000"/>
                <w:spacing w:val="0"/>
                <w:w w:val="100"/>
                <w:position w:val="0"/>
              </w:rPr>
              <w:t>1</w:t>
            </w:r>
            <w:r>
              <w:rPr>
                <w:color w:val="000000"/>
                <w:spacing w:val="0"/>
                <w:w w:val="100"/>
                <w:position w:val="0"/>
              </w:rPr>
              <w:t>） 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月神州信息成立以来，神州信息一直在业务、 资产、机构、人员、财务等方面与本公司或本公司控制的其 他企业完全分开，双方的业务、资产、人员、财务和机构独 立，不存在混同情况。（</w:t>
            </w:r>
            <w:r>
              <w:rPr>
                <w:rFonts w:ascii="Times New Roman" w:eastAsia="Times New Roman" w:hAnsi="Times New Roman" w:cs="Times New Roman"/>
                <w:color w:val="000000"/>
                <w:spacing w:val="0"/>
                <w:w w:val="100"/>
                <w:position w:val="0"/>
              </w:rPr>
              <w:t>2</w:t>
            </w:r>
            <w:r>
              <w:rPr>
                <w:color w:val="000000"/>
                <w:spacing w:val="0"/>
                <w:w w:val="100"/>
                <w:position w:val="0"/>
              </w:rPr>
              <w:t>）在重组完成后，保证上市公司在 人员、资产、财务、机构及业务方面继续与本公司或本公司 控制的其他企业完全分开，保持上市公司在业务、资产、人 员、财务和机构方面的独立。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r>
        <w:trPr>
          <w:trHeight w:val="62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郭为、神州</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控股、神码</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软件、阎焱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同业竞争承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《关于同业竞争事项的承诺》：（</w:t>
            </w:r>
            <w:r>
              <w:rPr>
                <w:rFonts w:ascii="Times New Roman" w:eastAsia="Times New Roman" w:hAnsi="Times New Roman" w:cs="Times New Roman"/>
                <w:color w:val="000000"/>
                <w:spacing w:val="0"/>
                <w:w w:val="100"/>
                <w:position w:val="0"/>
              </w:rPr>
              <w:t>1</w:t>
            </w:r>
            <w:r>
              <w:rPr>
                <w:color w:val="000000"/>
                <w:spacing w:val="0"/>
                <w:w w:val="100"/>
                <w:position w:val="0"/>
              </w:rPr>
              <w:t>）神州控股承诺：①神州 数码控股及其控制的除神州信息外其他企业的主营业务不 包括系统集成服务、技术服务、应用软件以及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 自助设备业务，与神州信息的主营业务不存在重叠，双方之 间不存在潜在的同业竞争关系；②重组完成后，除上市公司 外，神州数码控股不存在、今后亦不会通过神州数码控股或 神州数码控股可控制的其他企业在任何地方和以任何方式 从事对上市公司主营业务（系统集成服务、技术服务、应用 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等金融自助设备）构成或可能构成直接或间 接竞争关系的业务（不包括神州数码控股或其附属公司或其 联营公司持有从事竞争性业务的其他上市公司总计</w:t>
            </w:r>
            <w:r>
              <w:rPr>
                <w:rFonts w:ascii="Times New Roman" w:eastAsia="Times New Roman" w:hAnsi="Times New Roman" w:cs="Times New Roman"/>
                <w:color w:val="000000"/>
                <w:spacing w:val="0"/>
                <w:w w:val="100"/>
                <w:position w:val="0"/>
              </w:rPr>
              <w:t>5%</w:t>
            </w:r>
            <w:r>
              <w:rPr>
                <w:color w:val="000000"/>
                <w:spacing w:val="0"/>
                <w:w w:val="100"/>
                <w:position w:val="0"/>
              </w:rPr>
              <w:t>或以 下的权益的情形）如果神州数码控股将来出现所投资的全 资、控股企业从事的业务与上市公司构成竞争的情况，上市 公司有权随时要求神州数码控股以公允的价格出让其在该 等企业中的全部股权，在同等条件下神州数码控股给予上市 公司或其指定的第三方对该等股权的优先购买权，并将尽最 大努力促使有关交易的价格在公平及正常交易原则的基础 上确定；若违反上述承诺，神州数码控股将赔偿上市公司因 此而产生的相关损失。神州数码控股今后作为上市公司直接 或间接股东期间，不会利用对上市公司股东地位损害上市公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913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司及上市公司其他股东（特别是中小股东）的合法权益。（</w:t>
            </w:r>
            <w:r>
              <w:rPr>
                <w:rFonts w:ascii="Times New Roman" w:eastAsia="Times New Roman" w:hAnsi="Times New Roman" w:cs="Times New Roman"/>
                <w:color w:val="000000"/>
                <w:spacing w:val="0"/>
                <w:w w:val="100"/>
                <w:position w:val="0"/>
              </w:rPr>
              <w:t>2</w:t>
            </w:r>
            <w:r>
              <w:rPr>
                <w:color w:val="000000"/>
                <w:spacing w:val="0"/>
                <w:w w:val="100"/>
                <w:position w:val="0"/>
              </w:rPr>
              <w:t>） 神码软件承诺：①本公司及本公司控制的除神州信息外其他 企业的主营业务不包括系统集成服务、技术服务、应用软件 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等金融自助设备业务，与神州信息主营业务不存 在重叠，双方之间不存在潜在的同业竞争；②重组完成后， 本公司及本公司的全资子公司、控股子公司或本公司拥有实 际控制权的其他企业将不会从事任何与上市公司目前或未 来所从事的业务发生或可能发生竞争的业务。除神州信息及 重组后上市公司外，本公司不存在、今后亦不会通过任何其 他企业在任何地方和以任何方式从事对重组后上市公司主 营业务（系统集成服务、技术服务、应用软件以及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 金融自助设备）构成或可能构成直接或间接竞争关系的业 务。如果本公司将来出现所投资的全资、控股企业从事的业 务与重组后上市公司构成竞争的情况，重组后上市公司有权 随时要求本公司以公允的价格出让其在该等企业中的全部 股权，在同等条件下本公司给予重组后上市公司或其指定的 第三方对该等股权的优先购买权，并将尽最大努力促使有关 交易的价格在公平及正常交易原则的基础上确定；若违反上 述承诺，本公司将赔偿重组后上市公司因此而产生的相关损 失。本公司今后作为重组后上市公司控股股东期间，不会利 用重组后上市公司股东地位损害重组后上市公司及其他股 东（特别是中小股东）的合法权益。（</w:t>
            </w:r>
            <w:r>
              <w:rPr>
                <w:rFonts w:ascii="Times New Roman" w:eastAsia="Times New Roman" w:hAnsi="Times New Roman" w:cs="Times New Roman"/>
                <w:color w:val="000000"/>
                <w:spacing w:val="0"/>
                <w:w w:val="100"/>
                <w:position w:val="0"/>
              </w:rPr>
              <w:t>3</w:t>
            </w:r>
            <w:r>
              <w:rPr>
                <w:color w:val="000000"/>
                <w:spacing w:val="0"/>
                <w:w w:val="100"/>
                <w:position w:val="0"/>
              </w:rPr>
              <w:t>）郭为先生声明：本 人在神州信息担任董事长，同时通过天津信锐间接持有神州 信息</w:t>
            </w:r>
            <w:r>
              <w:rPr>
                <w:rFonts w:ascii="Times New Roman" w:eastAsia="Times New Roman" w:hAnsi="Times New Roman" w:cs="Times New Roman"/>
                <w:color w:val="000000"/>
                <w:spacing w:val="0"/>
                <w:w w:val="100"/>
                <w:position w:val="0"/>
              </w:rPr>
              <w:t>5.39%</w:t>
            </w:r>
            <w:r>
              <w:rPr>
                <w:color w:val="000000"/>
                <w:spacing w:val="0"/>
                <w:w w:val="100"/>
                <w:position w:val="0"/>
              </w:rPr>
              <w:t>股份；目前不存在且不从事其他与神州信息相同 或类似业务，也未直接或以投资控股等形式经营或为他人经 营任何其他与神州信息相同或类似业务。（</w:t>
            </w:r>
            <w:r>
              <w:rPr>
                <w:rFonts w:ascii="Times New Roman" w:eastAsia="Times New Roman" w:hAnsi="Times New Roman" w:cs="Times New Roman"/>
                <w:color w:val="000000"/>
                <w:spacing w:val="0"/>
                <w:w w:val="100"/>
                <w:position w:val="0"/>
              </w:rPr>
              <w:t>4</w:t>
            </w:r>
            <w:r>
              <w:rPr>
                <w:color w:val="000000"/>
                <w:spacing w:val="0"/>
                <w:w w:val="100"/>
                <w:position w:val="0"/>
              </w:rPr>
              <w:t>）阎焱先生声明： 本人在神州数码担任非执行董事；目前不存在且不从事与神 州信息相同或类似业务，也未直接或以投资控股等形式经营 或为他人经营任何与神州信息相同或类似业务。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32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冯健刚、贺 胜龙、蒋云、 王建林、王 宇飞、王正、 张丹丹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《交易对方关于资产权属的承诺》：本次资产重组交易对方 冯健刚等七名自然人就持有的神州信息股份承诺如下：本人 所持该等股份，本人确认，本人已依法履行全部出资义务， 该等股份所对应的注册资本均已按时足额出资到位；本人依 法拥有该等股份的全部法律权益，包括但不限于占有、使用、 收益及处分权；本人所持有的该等股份资产权属清晰，不存 在任何权属纠纷，亦不存在其他法律纠纷，不存在质押、抵 押、其他担保或第三方权益或限制情形，也不存在法院或其 他有权机关冻结、查封、拍卖本人持有该等股份之情形；本 人持有的该等股份过户或者转移不存在法律障碍。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截至目前，上述承诺仍在履行过程中，承诺人无违反上述 承诺的情况。</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冯健刚、贺 胜龙、蒋云、 王建林、王 宇飞、王正、 张丹丹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《交易对方关于竞业禁止的承诺》：</w:t>
            </w:r>
            <w:r>
              <w:rPr>
                <w:rFonts w:ascii="Times New Roman" w:eastAsia="Times New Roman" w:hAnsi="Times New Roman" w:cs="Times New Roman"/>
                <w:color w:val="000000"/>
                <w:spacing w:val="0"/>
                <w:w w:val="100"/>
                <w:position w:val="0"/>
              </w:rPr>
              <w:t>1</w:t>
            </w:r>
            <w:r>
              <w:rPr>
                <w:color w:val="000000"/>
                <w:spacing w:val="0"/>
                <w:w w:val="100"/>
                <w:position w:val="0"/>
              </w:rPr>
              <w:t>、冯健刚等</w:t>
            </w:r>
            <w:r>
              <w:rPr>
                <w:rFonts w:ascii="Times New Roman" w:eastAsia="Times New Roman" w:hAnsi="Times New Roman" w:cs="Times New Roman"/>
                <w:color w:val="000000"/>
                <w:spacing w:val="0"/>
                <w:w w:val="100"/>
                <w:position w:val="0"/>
              </w:rPr>
              <w:t>5</w:t>
            </w:r>
            <w:r>
              <w:rPr>
                <w:color w:val="000000"/>
                <w:spacing w:val="0"/>
                <w:w w:val="100"/>
                <w:position w:val="0"/>
              </w:rPr>
              <w:t>名自然人 承诺：本次交易前，除中农信达及其下属子公司外，本人在 本次交易前未从事其他与中农信达相同、相似或有竞争关系 的业务（包括但不限于以投资、合作、承包、租赁、委托经 营等方式参与上述业务），亦未在相关单位工作或任职。本 人承诺：自本次交易完成后继续在中农信达任职，任职时间 不少于三年；本次交易完成后将持有神州信息股份或继续在 中农信达任职，在前述继续持股或任职期间及不再持股或离 职后三年内，本人及其关系密切的家庭成员不在中国境内直 接或间接从事与中农信达相同、相似或有竞争关系的业务， 也不直接或间接在与中农信达有相同、相似或有竞争关系的 业务单位工作、任职或拥有权益，本人在其他单位兼职的情 况，必须经中农信达股东会或董事会批准同意。同时，本人 承诺，本人及本人控制的其他企业不会直接或间接从事任何 与上市公司及其下属公司主要经营业务构成同业竞争或潜 在同业竞争关系的生产与经营，亦不会投资任何与上市公司 及其下属公司主要经营业务构成同业竞争或潜在同业竞争 关系的其他企业；如在上述期间，本人或本人控制的其他企 业获得的商业机会与上市公司及其下属公司主营业务发生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56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同业竞争或可能发生同业竞争的，本人将立即通知上市公 司，并尽力将该商业机会给予上市公司，以避免与上市公司 及下属公司形成同业竞争或潜在同业竞争，以确保上市公司 及上市公司其他股东利益不受损害。</w:t>
            </w:r>
            <w:r>
              <w:rPr>
                <w:rFonts w:ascii="Times New Roman" w:eastAsia="Times New Roman" w:hAnsi="Times New Roman" w:cs="Times New Roman"/>
                <w:color w:val="000000"/>
                <w:spacing w:val="0"/>
                <w:w w:val="100"/>
                <w:position w:val="0"/>
              </w:rPr>
              <w:t>2</w:t>
            </w:r>
            <w:r>
              <w:rPr>
                <w:color w:val="000000"/>
                <w:spacing w:val="0"/>
                <w:w w:val="100"/>
                <w:position w:val="0"/>
              </w:rPr>
              <w:t>、贺胜龙、王正承诺: 本次交易前，除中农信达及其下属子公司外，本人在本次交 易前未从事其他与中农信达相同、相似或有竞争关系的业务 （包括但不限于以投资、合作、承包、租赁、委托经营等方 式参与上述业务），亦未在相关单位工作或任职。本人承诺, 本人及本人控制的其他企业不会直接或间接从事任何与上 市公司及其下属公司主要经营业务构成同业竞争或潜在同 业竞争关系的生产与经营，亦不会投资任何与上市公司及其 下属公司主要经营业务构成同业竞争或潜在同业竞争关系 的其他企业；如在上述期间，本人或本人控制的其他企业获 得的商业机会与上市公司及其下属公司主营业务发生同业 竞争或可能发生同业竞争的，本人将立即通知上市公司，并 尽力将该商业机会给予上市公司，以避免与上市公司及下属 公司形成同业竞争或潜在同业竞争，以确保上市公司及上市 公司其他股东利益不受损害。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冯健刚、贺 胜龙、蒋云、 王建林、王 宇飞、王正、 张丹丹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《交易对方关于无违法行为的确认函》：截至《神州数码信 息服务股份有限公司向特定对象发行股份购买资产并募集 配套资金报告书》签署之日，本人在最近五年未受过任何刑 事处罚、证券市场相关的行政处罚，不存在与经济纠纷有关 的重大民事诉讼或仲裁的情况。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截至目前，上述承诺仍在履行过程中，承诺人无违反上述 承诺的情况。</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冯健刚、贺 胜龙、蒋云、 王建林、王 宇飞、王正、 张丹丹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《关于土地确权合同相关情况的承诺》：若中农信达就上述 确权合同未按照政府采购法、招标投标法以及相关法律规定 履行相关签约程序而遭受任何行政处罚或承担其他法律责 任，导致中农信达利益因此受到减损，冯健刚、王宇飞、张 丹丹、贺胜龙、王正、蒋云及王建林承诺将对中农信达进行 补偿，以保证中农信达利益不受到任何损失，冯健刚、王宇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本承诺函出具日至本公告披露之日没有出现相关情况。截 至目前，上述承诺仍在履行过程中，承诺人无违反上述承 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28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飞、张丹丹、贺胜龙、王正、蒋云及王建林将对此承担连带 责任。若中农信达就上述确权合同未按照政府采购法、招标 投标法以及相关法律规定履行相关签约程序而导致该等确 权合同的有效性以及其他任何方面对中农信达产生任何不 利影响，冯健刚、王宇飞、张丹丹、贺胜龙、王正、蒋云及 王建林承诺将对中农信达进行补偿（包括但不限于因此遭受 的全部损失、费用支出等），以保证中农信达利益不受到任 何损失，冯健刚、王宇飞、张丹丹、贺胜龙、王正、蒋云及 王建林将对此承担连带责任。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神州控股、 神码软件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同业竞争承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《关于同业竞争事项的承诺》：神州控股承诺：</w:t>
            </w:r>
            <w:r>
              <w:rPr>
                <w:rFonts w:ascii="Times New Roman" w:eastAsia="Times New Roman" w:hAnsi="Times New Roman" w:cs="Times New Roman"/>
                <w:color w:val="000000"/>
                <w:spacing w:val="0"/>
                <w:w w:val="100"/>
                <w:position w:val="0"/>
              </w:rPr>
              <w:t>1</w:t>
            </w:r>
            <w:r>
              <w:rPr>
                <w:color w:val="000000"/>
                <w:spacing w:val="0"/>
                <w:w w:val="100"/>
                <w:position w:val="0"/>
              </w:rPr>
              <w:t>、神州数码 控股及其控制的除神州信息外其他企业的主营业务不包括：</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）神州信息原有主营业务，即系统集成服务、技术服务、 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等金融自助设备业务；以及（</w:t>
            </w:r>
            <w:r>
              <w:rPr>
                <w:rFonts w:ascii="Times New Roman" w:eastAsia="Times New Roman" w:hAnsi="Times New Roman" w:cs="Times New Roman"/>
                <w:color w:val="000000"/>
                <w:spacing w:val="0"/>
                <w:w w:val="100"/>
                <w:position w:val="0"/>
              </w:rPr>
              <w:t>2</w:t>
            </w:r>
            <w:r>
              <w:rPr>
                <w:color w:val="000000"/>
                <w:spacing w:val="0"/>
                <w:w w:val="100"/>
                <w:position w:val="0"/>
              </w:rPr>
              <w:t>）本次交 易完成后神州信息新增的农村信息化业务；神州数码控股及 其控制的除神州信息外其他企业的主营业务与神州信息的 主营业务不存在重叠，双方之间不存在潜在的同业竞争关 系。</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、本次交易完成后，除上市公司外，神码控股不存在、 今后亦不会通过神州数码控股或神州数码控股可控制的其 他企业在任何地方和以任何方式从事对上市公司主营业务</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（系统集成服务、技术服务、应用软件、</w:t>
            </w:r>
            <w:r>
              <w:rPr>
                <w:rFonts w:ascii="Times New Roman" w:eastAsia="Times New Roman" w:hAnsi="Times New Roman" w:cs="Times New Roman"/>
                <w:color w:val="000000"/>
                <w:spacing w:val="0"/>
                <w:w w:val="100"/>
                <w:position w:val="0"/>
              </w:rPr>
              <w:t>ATM</w:t>
            </w:r>
            <w:r>
              <w:rPr>
                <w:color w:val="000000"/>
                <w:spacing w:val="0"/>
                <w:w w:val="100"/>
                <w:position w:val="0"/>
              </w:rPr>
              <w:t>等金融自助 设备、农村信息化）构成或可能构成直接或间接竞争关系的 业务（不包括神州数码控股或其附属公司或其联营公司持有 从事竞争性业务的其他上市公司总计</w:t>
            </w:r>
            <w:r>
              <w:rPr>
                <w:rFonts w:ascii="Times New Roman" w:eastAsia="Times New Roman" w:hAnsi="Times New Roman" w:cs="Times New Roman"/>
                <w:color w:val="000000"/>
                <w:spacing w:val="0"/>
                <w:w w:val="100"/>
                <w:position w:val="0"/>
              </w:rPr>
              <w:t>5%</w:t>
            </w:r>
            <w:r>
              <w:rPr>
                <w:color w:val="000000"/>
                <w:spacing w:val="0"/>
                <w:w w:val="100"/>
                <w:position w:val="0"/>
              </w:rPr>
              <w:t>或以下的权益的情 形）。如果神州数码控股将来出现所投资的全资、控股企业 从事的业务与上市公司构成竞争的情况，上市公司有权随时 要求神州数码控股以公允的价格出让其在该等企业中的全 部股权，在同等条件下神州数码控股给予上市公司或其指定 的第三方对该等股权的优先购买权，并将尽最大努力促使有 关交易的价格在公平及正常交易原则的基础上确定；若违反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88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上述承诺，神州数码控股将赔偿上市公司因此而产生的相关 损失。神州数码控股今后作为上市公司直接或间接股东期 间，不会利用对上市公司股东地位损害上市公司及上市公司 其他股东（特别是中小股东）的合法权益。神码软件承诺： </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、本公司及本公司控制的除神州信息外其他企业的主营业 务不包括：（</w:t>
            </w:r>
            <w:r>
              <w:rPr>
                <w:rFonts w:ascii="Times New Roman" w:eastAsia="Times New Roman" w:hAnsi="Times New Roman" w:cs="Times New Roman"/>
                <w:color w:val="000000"/>
                <w:spacing w:val="0"/>
                <w:w w:val="100"/>
                <w:position w:val="0"/>
              </w:rPr>
              <w:t>1</w:t>
            </w:r>
            <w:r>
              <w:rPr>
                <w:color w:val="000000"/>
                <w:spacing w:val="0"/>
                <w:w w:val="100"/>
                <w:position w:val="0"/>
              </w:rPr>
              <w:t>）神州信息原有主营业务，即系统集成服务、 技术服务、应用软件以及</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等金融自助设备业务；以及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）本次交易完成后神州信息新增的农村信息化业务；神 州数码控股及其控制的除神州信息外其他企业的主营业务 与神州信息的主营业务不存在重叠，双方之间不存在潜在的 同业竞争关系。</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、本次交易完成后，本公司及本公司的全 资子公司、控股子公司或本公司拥有实际控制权的其他企业 将不会从事任何与上市公司目前或未来所从事的业务发生 或可能发生竞争的业务。除神州信息外，本公司不存在、今 后亦不会通过任何其他企业在任何地方和以任何方式从事 对本次交易完成后上市公司主营业务（系统集成服务、技术 服务、应用软件、</w:t>
            </w:r>
            <w:r>
              <w:rPr>
                <w:rFonts w:ascii="Times New Roman" w:eastAsia="Times New Roman" w:hAnsi="Times New Roman" w:cs="Times New Roman"/>
                <w:color w:val="000000"/>
                <w:spacing w:val="0"/>
                <w:w w:val="100"/>
                <w:position w:val="0"/>
              </w:rPr>
              <w:t>ATM</w:t>
            </w:r>
            <w:r>
              <w:rPr>
                <w:color w:val="000000"/>
                <w:spacing w:val="0"/>
                <w:w w:val="100"/>
                <w:position w:val="0"/>
              </w:rPr>
              <w:t>等金融自助设备、农村信息化）构 成或可能构成直接或间接竞争关系的业务。如果本公司将来 出现所投资的全资、控股企业从事的业务与本次交易后上市 公司构成竞争的情况，本次交易后上市公司有权随时要求本 公司以公允的价格出让其在该等企业中的全部股权，在同等 条件下本公司给予本次交易后上市公司或其指定的第三方 对该等股权的优先购买权，并将尽最大努力促使有关交易的 价格在公平及正常交易原则的基础上确定；若违反上述承 诺，本公司将赔偿本次交易后上市公司因此而产生的相关损 失。本公司今后作为本次交易后上市公司控股股东期间，不 会利用本次交易后上市公司股东地位损害本次交易后上市 公司及其他股东（特别是中小股东）的合法权益。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《关于规范关联交易的承诺》：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截至目前，上述承诺仍在履行过程中，承诺人无违反上述</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35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神码软件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业与神州信息之间不存在显失公平的关联交易。</w:t>
            </w:r>
            <w:r>
              <w:rPr>
                <w:rFonts w:ascii="Times New Roman" w:eastAsia="Times New Roman" w:hAnsi="Times New Roman" w:cs="Times New Roman"/>
                <w:color w:val="000000"/>
                <w:spacing w:val="0"/>
                <w:w w:val="100"/>
                <w:position w:val="0"/>
              </w:rPr>
              <w:t>2</w:t>
            </w:r>
            <w:r>
              <w:rPr>
                <w:color w:val="000000"/>
                <w:spacing w:val="0"/>
                <w:w w:val="100"/>
                <w:position w:val="0"/>
              </w:rPr>
              <w:t>、本次交 易完成后，本公司及本公司控制的企业将尽量避免或减少与 神州信息及其下属子公司之间的关联交易，对于无法避免或 有合理理由存在的关联交易，将与上市公司依法签订规范的 关联交易协议，并按照有关法律、法规、规章、上市规则和 其他规范性文件以及上市公司章程的规定履行批准程序；关 联交易价格依照与无关联关系的独立第三方进行相同或相 似交易时的价格确定，保证关联交易价格具有公允性；保证 按照有关法律、法规、上市公司章程的规定履行关联交易的 信息披露义务。本公司保证不利用关联交易非法转移上市公 司的资金、利润，不利用关联交易损害非关联股东的利益。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承诺的情况。</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神州控股、 神码软件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《关于保持上市公司独立性的承诺》：</w:t>
            </w:r>
            <w:r>
              <w:rPr>
                <w:rFonts w:ascii="Times New Roman" w:eastAsia="Times New Roman" w:hAnsi="Times New Roman" w:cs="Times New Roman"/>
                <w:color w:val="000000"/>
                <w:spacing w:val="0"/>
                <w:w w:val="100"/>
                <w:position w:val="0"/>
              </w:rPr>
              <w:t>1</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月神 州信息成立以来，神州信息一直在业务、资产、机构、人员、 财务等方面与本公司及本公司控制的其他企业完全分开，双 方的业务、资产、人员、财务和机构独立，不存在混同情况。 </w:t>
            </w:r>
            <w:r>
              <w:rPr>
                <w:rFonts w:ascii="Times New Roman" w:eastAsia="Times New Roman" w:hAnsi="Times New Roman" w:cs="Times New Roman"/>
                <w:color w:val="000000"/>
                <w:spacing w:val="0"/>
                <w:w w:val="100"/>
                <w:position w:val="0"/>
              </w:rPr>
              <w:t>2</w:t>
            </w:r>
            <w:r>
              <w:rPr>
                <w:color w:val="000000"/>
                <w:spacing w:val="0"/>
                <w:w w:val="100"/>
                <w:position w:val="0"/>
              </w:rPr>
              <w:t>、本公司承诺，在本次交易完成后，保证上市公司在人员、 资产、财务、机构及业务方面继续与本公司及本公司控制的 其他企业完全分开，保持上市公司在业务、资产、人员、财 务和机构方面的独立。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程艳云、吴 冬华、南京 博飞信投资 管理有限公 司、上海瑞 经达创业投 资有限公 司、南京明 通投资管理 中心（有限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《交易对方关于提供资料真实、准确和完整的承诺》：</w:t>
            </w:r>
            <w:r>
              <w:rPr>
                <w:rFonts w:ascii="Times New Roman" w:eastAsia="Times New Roman" w:hAnsi="Times New Roman" w:cs="Times New Roman"/>
                <w:color w:val="000000"/>
                <w:spacing w:val="0"/>
                <w:w w:val="100"/>
                <w:position w:val="0"/>
              </w:rPr>
              <w:t>1</w:t>
            </w:r>
            <w:r>
              <w:rPr>
                <w:color w:val="000000"/>
                <w:spacing w:val="0"/>
                <w:w w:val="100"/>
                <w:position w:val="0"/>
              </w:rPr>
              <w:t>、保 证为本次交易所提供的有关信息均为真实、准确和完整的， 不存在虚假记载、误导性陈述或者重大遗漏；</w:t>
            </w:r>
            <w:r>
              <w:rPr>
                <w:rFonts w:ascii="Times New Roman" w:eastAsia="Times New Roman" w:hAnsi="Times New Roman" w:cs="Times New Roman"/>
                <w:color w:val="000000"/>
                <w:spacing w:val="0"/>
                <w:w w:val="100"/>
                <w:position w:val="0"/>
              </w:rPr>
              <w:t>2</w:t>
            </w:r>
            <w:r>
              <w:rPr>
                <w:color w:val="000000"/>
                <w:spacing w:val="0"/>
                <w:w w:val="100"/>
                <w:position w:val="0"/>
              </w:rPr>
              <w:t>、保证向参 与本次交易的各中介机构所提供的资料均为真实、准确、完 整的原始书面资料或副本资料，资料副本或复印件与其原始 资料或原件一致；所有文件的签名、印章均是真实的，不存 在任何虚假记载、误导性陈述或者重大遗漏；</w:t>
            </w:r>
            <w:r>
              <w:rPr>
                <w:rFonts w:ascii="Times New Roman" w:eastAsia="Times New Roman" w:hAnsi="Times New Roman" w:cs="Times New Roman"/>
                <w:color w:val="000000"/>
                <w:spacing w:val="0"/>
                <w:w w:val="100"/>
                <w:position w:val="0"/>
              </w:rPr>
              <w:t>3</w:t>
            </w:r>
            <w:r>
              <w:rPr>
                <w:color w:val="000000"/>
                <w:spacing w:val="0"/>
                <w:w w:val="100"/>
                <w:position w:val="0"/>
              </w:rPr>
              <w:t>、保证为本 次交易所出具的说明及确认均为真实、准确和完整的，不存 在任何虚假记载、误导性陈述或者重大遗漏；保证已履行了 法定的披露和报告义务，不存在应当披露而未披露的合同、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50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合伙）、南京 凯腾瑞杰创 业投资企业</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伙）、陈大 龙、李晶、 吴秀兰、常 杰、王计斌、 施伟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协议、安排或其他事项；</w:t>
            </w:r>
            <w:r>
              <w:rPr>
                <w:rFonts w:ascii="Times New Roman" w:eastAsia="Times New Roman" w:hAnsi="Times New Roman" w:cs="Times New Roman"/>
                <w:color w:val="000000"/>
                <w:spacing w:val="0"/>
                <w:w w:val="100"/>
                <w:position w:val="0"/>
              </w:rPr>
              <w:t>4</w:t>
            </w:r>
            <w:r>
              <w:rPr>
                <w:color w:val="000000"/>
                <w:spacing w:val="0"/>
                <w:w w:val="100"/>
                <w:position w:val="0"/>
              </w:rPr>
              <w:t>、如本次交易所提供或披露的信 息涉嫌虚假记载、误导性陈述或者重大遗漏，被司法机关立 案侦查或者被中国证监会立案调查的，在形成调查结论以 前，不转让在该上市公司拥有权益的股份，并于收到立案稽 查通知的两个交易日内将暂停转让的书面申请和股票账户 提交上市公司董事会，由董事会代其向证券交易所和登记结 算公司申请锁定；未在两个交易日内提交锁定申请的，授权 董事会核实后直接向证券交易所和登记结算公司报送本人 的身份信息和账户信息并申请锁定；董事会未向证券交易所 和登记结算公司报送本人的身份信息和账户信息的，授权证 券交易所和登记结算公司直接锁定相关股份。如调查结论发 现存在违法违规情节，本人承诺锁定股份自愿用于相关投资 者赔偿安排。</w:t>
            </w:r>
            <w:r>
              <w:rPr>
                <w:rFonts w:ascii="Times New Roman" w:eastAsia="Times New Roman" w:hAnsi="Times New Roman" w:cs="Times New Roman"/>
                <w:color w:val="000000"/>
                <w:spacing w:val="0"/>
                <w:w w:val="100"/>
                <w:position w:val="0"/>
              </w:rPr>
              <w:t>5</w:t>
            </w:r>
            <w:r>
              <w:rPr>
                <w:color w:val="000000"/>
                <w:spacing w:val="0"/>
                <w:w w:val="100"/>
                <w:position w:val="0"/>
              </w:rPr>
              <w:t>、如因提供的信息存在虚假记载、误导性陈 述或者重大遗漏，给上市公司或者投资者造成损失的，将依 法承担个别和连带的法律责任。如违反上述声明和承诺，本 人愿意承担相应的法律责任。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程艳云、吴 冬华、南京 博飞信投资 管理有限公 司、上海瑞 经达创业投 资有限公 司、南京明 通投资管理 中心（有限 合伙）、南京 凯腾瑞杰创 业投资企业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《交易对方关于其他事项的承诺》：</w:t>
            </w:r>
            <w:r>
              <w:rPr>
                <w:rFonts w:ascii="Times New Roman" w:eastAsia="Times New Roman" w:hAnsi="Times New Roman" w:cs="Times New Roman"/>
                <w:color w:val="000000"/>
                <w:spacing w:val="0"/>
                <w:w w:val="100"/>
                <w:position w:val="0"/>
              </w:rPr>
              <w:t>1</w:t>
            </w:r>
            <w:r>
              <w:rPr>
                <w:color w:val="000000"/>
                <w:spacing w:val="0"/>
                <w:w w:val="100"/>
                <w:position w:val="0"/>
              </w:rPr>
              <w:t>、本人最近五年内未受 过与证券市场相关的行政处罚、刑事处罚，不存在被立案调 查的情况，也不存在与经济纠纷有关的重大民事诉讼或仲裁 事项。</w:t>
            </w:r>
            <w:r>
              <w:rPr>
                <w:rFonts w:ascii="Times New Roman" w:eastAsia="Times New Roman" w:hAnsi="Times New Roman" w:cs="Times New Roman"/>
                <w:color w:val="000000"/>
                <w:spacing w:val="0"/>
                <w:w w:val="100"/>
                <w:position w:val="0"/>
              </w:rPr>
              <w:t>2</w:t>
            </w:r>
            <w:r>
              <w:rPr>
                <w:color w:val="000000"/>
                <w:spacing w:val="0"/>
                <w:w w:val="100"/>
                <w:position w:val="0"/>
              </w:rPr>
              <w:t>、本人在最近五年内不存在违反诚信的情况，包括 但不限于未按期偿还大额债务、未履行承诺、被中国证券监 督管理委员会采取行政监管措施或受到证券交易所纪律处 分的情况等。</w:t>
            </w:r>
            <w:r>
              <w:rPr>
                <w:rFonts w:ascii="Times New Roman" w:eastAsia="Times New Roman" w:hAnsi="Times New Roman" w:cs="Times New Roman"/>
                <w:color w:val="000000"/>
                <w:spacing w:val="0"/>
                <w:w w:val="100"/>
                <w:position w:val="0"/>
              </w:rPr>
              <w:t>3</w:t>
            </w:r>
            <w:r>
              <w:rPr>
                <w:color w:val="000000"/>
                <w:spacing w:val="0"/>
                <w:w w:val="100"/>
                <w:position w:val="0"/>
              </w:rPr>
              <w:t>、本人与上市公司不存在关联关系，也不存 在向上市公司推荐董事或者高级管理人员的情况。</w:t>
            </w:r>
            <w:r>
              <w:rPr>
                <w:rFonts w:ascii="Times New Roman" w:eastAsia="Times New Roman" w:hAnsi="Times New Roman" w:cs="Times New Roman"/>
                <w:color w:val="000000"/>
                <w:spacing w:val="0"/>
                <w:w w:val="100"/>
                <w:position w:val="0"/>
              </w:rPr>
              <w:t>4</w:t>
            </w:r>
            <w:r>
              <w:rPr>
                <w:color w:val="000000"/>
                <w:spacing w:val="0"/>
                <w:w w:val="100"/>
                <w:position w:val="0"/>
              </w:rPr>
              <w:t>、本人 已经履行了华苏科技《公司章程》中规定的出资义务，该等 股份出资已全部足额到位，通过受让取得的股权其转让价款 均依约付清；该等股份的资产权属清晰，不存在信托持股、 委托持股等任何权属纠纷，亦不存在其他任何潜在法律权属 纠纷；该等股份不存在质押、抵押、其他担保或第三方权益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19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伙）、陈大 龙、李晶、 吴秀兰、常 杰、王计斌、 施伟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限制情形，也不存在法院或其他有权机关冻结、查封、拍卖 该等股份之情形；本人依法拥有该等股份的占有、使用、收 益及处分权，该等股份的股权过户或者转移不存在法律障 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神码软件、 神州控股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《关于规范关联交易的承诺函》：</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 企业与神州信息之间不存在显失公平的关联交易。</w:t>
            </w:r>
            <w:r>
              <w:rPr>
                <w:rFonts w:ascii="Times New Roman" w:eastAsia="Times New Roman" w:hAnsi="Times New Roman" w:cs="Times New Roman"/>
                <w:color w:val="000000"/>
                <w:spacing w:val="0"/>
                <w:w w:val="100"/>
                <w:position w:val="0"/>
              </w:rPr>
              <w:t>2</w:t>
            </w:r>
            <w:r>
              <w:rPr>
                <w:color w:val="000000"/>
                <w:spacing w:val="0"/>
                <w:w w:val="100"/>
                <w:position w:val="0"/>
              </w:rPr>
              <w:t>、本次 交易完成后，本公司及本公司控制的企业将尽量避免或减少 与神州信息及其下属子公司之间的关联交易，对于无法避免 或有合理理由存在的关联交易，将与上市公司依法签订规范 的关联交易协议，并按照有关法律、法规、规章、上市规则 和其他规范性文件以及上市公司章程的规定履行批准程序； 关联交易价格依照与无关联关系的独立第三方进行相同或 相似交易时的价格确定，保证关联交易价格具有公允性；保 证按照有关法律、法规、上市公司章程的规定履行关联交易 的信息披露义务。本公司保证不利用关联交易非法转移上市 公司的资金、利润，不利用关联交易损害非关联股东的利益。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神码软件、 神州控股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同业竞争承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《关于避免同业竞争的承诺函》：</w:t>
            </w:r>
            <w:r>
              <w:rPr>
                <w:rFonts w:ascii="Times New Roman" w:eastAsia="Times New Roman" w:hAnsi="Times New Roman" w:cs="Times New Roman"/>
                <w:color w:val="000000"/>
                <w:spacing w:val="0"/>
                <w:w w:val="100"/>
                <w:position w:val="0"/>
              </w:rPr>
              <w:t>1</w:t>
            </w:r>
            <w:r>
              <w:rPr>
                <w:color w:val="000000"/>
                <w:spacing w:val="0"/>
                <w:w w:val="100"/>
                <w:position w:val="0"/>
              </w:rPr>
              <w:t>、本公司及本公司控制的 除神州信息外其他企业的主营业务不包括：（</w:t>
            </w:r>
            <w:r>
              <w:rPr>
                <w:rFonts w:ascii="Times New Roman" w:eastAsia="Times New Roman" w:hAnsi="Times New Roman" w:cs="Times New Roman"/>
                <w:color w:val="000000"/>
                <w:spacing w:val="0"/>
                <w:w w:val="100"/>
                <w:position w:val="0"/>
              </w:rPr>
              <w:t>1</w:t>
            </w:r>
            <w:r>
              <w:rPr>
                <w:color w:val="000000"/>
                <w:spacing w:val="0"/>
                <w:w w:val="100"/>
                <w:position w:val="0"/>
              </w:rPr>
              <w:t>）神州信息原 有主营业务，即系统集成服务、技术服务、农业信息化、应 用软件以及金融专用设备相关业务；以及（</w:t>
            </w:r>
            <w:r>
              <w:rPr>
                <w:rFonts w:ascii="Times New Roman" w:eastAsia="Times New Roman" w:hAnsi="Times New Roman" w:cs="Times New Roman"/>
                <w:color w:val="000000"/>
                <w:spacing w:val="0"/>
                <w:w w:val="100"/>
                <w:position w:val="0"/>
              </w:rPr>
              <w:t>2</w:t>
            </w:r>
            <w:r>
              <w:rPr>
                <w:color w:val="000000"/>
                <w:spacing w:val="0"/>
                <w:w w:val="100"/>
                <w:position w:val="0"/>
              </w:rPr>
              <w:t>）本次交易完 成后神州信息新增的通信网络技术服务业务。</w:t>
            </w:r>
            <w:r>
              <w:rPr>
                <w:rFonts w:ascii="Times New Roman" w:eastAsia="Times New Roman" w:hAnsi="Times New Roman" w:cs="Times New Roman"/>
                <w:color w:val="000000"/>
                <w:spacing w:val="0"/>
                <w:w w:val="100"/>
                <w:position w:val="0"/>
              </w:rPr>
              <w:t>2</w:t>
            </w:r>
            <w:r>
              <w:rPr>
                <w:color w:val="000000"/>
                <w:spacing w:val="0"/>
                <w:w w:val="100"/>
                <w:position w:val="0"/>
              </w:rPr>
              <w:t>、本次交易 完成后，本公司及本公司的全资子公司、控股子公司或本公 司拥有实际控制权的其他企业将不会从事任何与上市公司 目前或未来所从事的业务发生或可能发生竞争的业务。除神 州信息外，本公司不存在、今后亦不会通过任何其他企业在 任何地方和以任何方式从事对本次交易完成后上市公司主 营业务（系统集成服务、技术服务、应用软件、</w:t>
            </w:r>
            <w:r>
              <w:rPr>
                <w:rFonts w:ascii="Times New Roman" w:eastAsia="Times New Roman" w:hAnsi="Times New Roman" w:cs="Times New Roman"/>
                <w:color w:val="000000"/>
                <w:spacing w:val="0"/>
                <w:w w:val="100"/>
                <w:position w:val="0"/>
              </w:rPr>
              <w:t>ATM</w:t>
            </w:r>
            <w:r>
              <w:rPr>
                <w:color w:val="000000"/>
                <w:spacing w:val="0"/>
                <w:w w:val="100"/>
                <w:position w:val="0"/>
              </w:rPr>
              <w:t>等金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38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融自助设备、农村信息化、通信网络技术服务业务）构成 或可能构成直接或间接竞争关系的业务。如果本公司将来出 现所投资的全资、控股企业从事的业务与本次交易后上市公 司构成竞争的情况，本次交易后上市公司有权随时要求本公 司以公允的价格出让其在该等企业中的全部股权，在同等条 件下本公司给予本次交易后上市公司或其指定的第三方对 该等股权的优先购买权，并将尽最大努力促使有关交易的价 格在公平及正常交易原则的基础上确定；若违反上述承诺， 本公司将赔偿本次交易后上市公司因此而产生的相关损失。 本公司今后作为本次交易后上市公司控股股东期间，不会利 用本次交易后上市公司股东地位损害本次交易后上市公司 及其他股东（特别是中小股东）的合法权益。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神码软件、 神州控股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《关于保证上市公司独立性的承诺函》：在本次交易完成后， 保证上市公司在人员、资产、财务、机构及业务方面继续与 本公司及本公司控制的其他企业完全分开，保持上市公司在 业务、资产、人员、财务和机构方面的独立。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《关于因信息披露不实被立案调查后股份锁定的承诺函》： 如本次交易所提供或披露的信息涉嫌虚假记载、误导性陈述 或者重大遗漏，被司法机关立案侦查或者被中国证监会立案 调查的，在形成调查结论以前，不转让在该上市公司拥有权 益的股份，并于收到立案稽查通知的两个交易日内将暂停转 让的书面申请和股票账户提交上市公司董事会，由董事会代 其向证券交易所和登记结算公司申请锁定；未在两个交易日 内提交锁定申请的，授权董事会核实后直接向证券交易所和 登记结算公司报送本人或本单位的身份信息和账户信息并 申请锁定；董事会未向证券交易所和登记结算公司报送本人 或本单位的身份信息和账户信息的，授权证券交易所和登记 结算公司直接锁定相关股份。如调查结论发现存在违法违规 情节，本人或本单位承诺锁定股份自愿用于相关投资者赔偿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4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神州信息及 其董事、监 事及高级管 理人员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《上市公司全体董事、监事及高级管理人员关于提供资料真 实性、准确性和完整性的承诺书》：本公司及全体董事、监 事、高级管理人员承诺并保证神州数码信息服务股份有限公 司发行股份及支付现金购买资产并募集配套资金之资产重 组申请文件内容的真实、准确、完整，不存在虚假记载、误 导性陈述或重大遗漏。如本次交易所提供或披露的信息涉嫌 虚假记载、误导性陈述或者重大遗漏，被司法机关立案侦查 或者被中国证监会立案调查的，在形成调查结论以前，不转 让在该上市公司拥有权益的股份，并于收到立案稽查通知的 两个交易日内将暂停转让的书面申请和股票账户提交上市 公司董事会，由董事会代其向证券交易所和登记结算公司申 请锁定；未在两个交易日内提交锁定申请的，授权董事会核 实后直接向证券交易所和登记结算公司报送本人或本单位 的身份信息和账户信息并申请锁定；董事会未向证券交易所 和登记结算公司报送本人或本单位的身份信息和账户信息 的，授权证券交易所和登记结算公司直接锁定相关股份。如 调查结论发现存在违法违规情节，本人或本单位承诺锁定股 份自愿用于相关投资者赔偿安排。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神州信息及 其董事、监 事及高级管 理人员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《上市公司全体董事、监事及高级管理人员关于提供资料真 实性、准确性和完整性的承诺书》：本公司及全体董事、监 事、高级管理人员承诺并保证神州数码信息服务股份有限公 司发行股份及支付现金购买资产并募集配套资金之资产重 组申请文件内容的真实、准确、完整，不存在虚假记载、误 导性陈述或重大遗漏。如本次交易所提供或披露的信息涉嫌 虚假记载、误导性陈述或者重大遗漏，被司法机关立案侦查 或者被中国证监会立案调查的，在形成调查结论以前，不转 让在该上市公司拥有权益的股份，并于收到立案稽查通知的 两个交易日内将暂停转让的书面申请和股票账户提交上市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25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公司董事会，由董事会代其向证券交易所和登记结算公司申 请锁定；未在两个交易日内提交锁定申请的，授权董事会核 实后直接向证券交易所和登记结算公司报送本人或本单位 的身份信息和账户信息并申请锁定；董事会未向证券交易所 和登记结算公司报送本人或本单位的身份信息和账户信息 的，授权证券交易所和登记结算公司直接锁定相关股份。如 调查结论发现存在违法违规情节，本人或本单位承诺锁定股 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神州信息全 体董事及高 级管理人员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《上市公司董事、高级管理人员关于公司资产重组摊薄即期 回报采取填补措施的承诺》：</w:t>
            </w:r>
            <w:r>
              <w:rPr>
                <w:rFonts w:ascii="Times New Roman" w:eastAsia="Times New Roman" w:hAnsi="Times New Roman" w:cs="Times New Roman"/>
                <w:color w:val="000000"/>
                <w:spacing w:val="0"/>
                <w:w w:val="100"/>
                <w:position w:val="0"/>
              </w:rPr>
              <w:t>1</w:t>
            </w:r>
            <w:r>
              <w:rPr>
                <w:color w:val="000000"/>
                <w:spacing w:val="0"/>
                <w:w w:val="100"/>
                <w:position w:val="0"/>
              </w:rPr>
              <w:t>、承诺不得无偿或以不公平条 件向其他单位或者个人输送利益，也不得采用其他方式损害 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、承诺对董事和高级管理人员的职务消费行为 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、承诺不动用公司资产从事与其履行职责无关 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、承诺由董事会或薪酬委员会制定的 薪酬制度与公司填补回报措施的执行情况相挂钩；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、承诺 拟公布的公司股权激励的行权条件与公司填补回报措施的 执行情况相挂钩；作为填补回报措施相关责任主体之一，若 违反上述承诺或拒不履行上述承诺，本人同意按照中国证监 会和深圳证券交易所等监管制定或发布的相关规定、规则， 对本人作出相关处罚或采取相关管理措施。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截至目前，上述承诺仍在履行过程中，承诺人无违反上述 承诺的情况。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不为激励对象依本激励计划获取有关股票期权或限制性股 票提供贷款以及其他任何形式的财务资助，包括为其贷款提 供担保。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截至目前，上述承诺仍在履行过程中，承诺人无违反上述 承诺的情况。</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年股票 期权与限制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若公司因信息披露文件中有虚假记载、误导性陈述或者重大 遗漏，导致不符合授予权益或行使权益安排的，激励对象自</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10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性股票激励 计划激励对 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相关信息披露文件被确认存在虚假记载、误导性陈述或者重 大遗漏后，将由股权激励计划所获得的全部利益返还公司。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日，公司第七届董事会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 董事会审议通过了《关于制定</w:t>
            </w:r>
            <w:r>
              <w:rPr>
                <w:color w:val="000000"/>
                <w:spacing w:val="0"/>
                <w:w w:val="100"/>
                <w:position w:val="0"/>
              </w:rPr>
              <w:t>〈</w:t>
            </w:r>
            <w:r>
              <w:rPr>
                <w:color w:val="000000"/>
                <w:spacing w:val="0"/>
                <w:w w:val="100"/>
                <w:position w:val="0"/>
              </w:rPr>
              <w:t>证券投资内控制度</w:t>
            </w:r>
            <w:r>
              <w:rPr>
                <w:color w:val="000000"/>
                <w:spacing w:val="0"/>
                <w:w w:val="100"/>
                <w:position w:val="0"/>
              </w:rPr>
              <w:t>〉</w:t>
            </w:r>
            <w:r>
              <w:rPr>
                <w:color w:val="000000"/>
                <w:spacing w:val="0"/>
                <w:w w:val="100"/>
                <w:position w:val="0"/>
              </w:rPr>
              <w:t>的议案》、</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《关于使用自有资金进行证券投资暨关联交易的议案》，董 事会同意公司使用不超过（含）人民币</w:t>
            </w:r>
            <w:r>
              <w:rPr>
                <w:rFonts w:ascii="Times New Roman" w:eastAsia="Times New Roman" w:hAnsi="Times New Roman" w:cs="Times New Roman"/>
                <w:color w:val="000000"/>
                <w:spacing w:val="0"/>
                <w:w w:val="100"/>
                <w:position w:val="0"/>
              </w:rPr>
              <w:t>2.4</w:t>
            </w:r>
            <w:r>
              <w:rPr>
                <w:color w:val="000000"/>
                <w:spacing w:val="0"/>
                <w:w w:val="100"/>
                <w:position w:val="0"/>
              </w:rPr>
              <w:t>亿元的自有资金 进行证券投资，包括投资境内外股票、证券投资基金等有价 证券等，包括但不限于购买关联方如神州数码集团股份有限 公司等公司的股票。本人郭为作为公司董事长以及神州数码 集团股份有限公司（以下简称''神州数码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的控股股东和实 际控制人，针对本次证券投资事宜郑重承诺如下：一、本人 将确保：（一）公司在业务、资产、机构、人员、财务等方 面与神州数码完全分开，双方的业务、资产、人员、财务和 机构完全独立，不存在混同情况；（二）公司的董事会和其 他内部机构严格按照法定程序独立运作，本人不会以任何方 式影响公司在本次证券投资中的决策或具体操作。二、本人 将严格遵守避免内幕交易的各项规定，本人不存在也不会向 公司管理层或具体操作人员透露任何关于神州数码的相关 信息，或者利用神州数码的内幕信息在价格敏感期内建议公 司进行证券交易活动。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截至目前，上述承诺仍在履行过程中，承诺人无违反上述 承诺的情况。</w:t>
            </w:r>
          </w:p>
        </w:tc>
      </w:tr>
      <w:tr>
        <w:trPr>
          <w:trHeight w:val="255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神州信息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针对本次融信软件将其持有的融信云</w:t>
            </w:r>
            <w:r>
              <w:rPr>
                <w:rFonts w:ascii="Times New Roman" w:eastAsia="Times New Roman" w:hAnsi="Times New Roman" w:cs="Times New Roman"/>
                <w:color w:val="000000"/>
                <w:spacing w:val="0"/>
                <w:w w:val="100"/>
                <w:position w:val="0"/>
              </w:rPr>
              <w:t>35%</w:t>
            </w:r>
            <w:r>
              <w:rPr>
                <w:color w:val="000000"/>
                <w:spacing w:val="0"/>
                <w:w w:val="100"/>
                <w:position w:val="0"/>
              </w:rPr>
              <w:t>的股权转让给君 信宜知事项，公司就下述事项向君信宜知作如下承诺：</w:t>
            </w:r>
            <w:r>
              <w:rPr>
                <w:rFonts w:ascii="Times New Roman" w:eastAsia="Times New Roman" w:hAnsi="Times New Roman" w:cs="Times New Roman"/>
                <w:color w:val="000000"/>
                <w:spacing w:val="0"/>
                <w:w w:val="100"/>
                <w:position w:val="0"/>
              </w:rPr>
              <w:t>1</w:t>
            </w:r>
            <w:r>
              <w:rPr>
                <w:color w:val="000000"/>
                <w:spacing w:val="0"/>
                <w:w w:val="100"/>
                <w:position w:val="0"/>
              </w:rPr>
              <w:t xml:space="preserve">、 君信宜知完成本次投资后，公司将不会与融信云的任何直接 </w:t>
            </w:r>
            <w:r>
              <w:rPr>
                <w:rFonts w:ascii="Times New Roman" w:eastAsia="Times New Roman" w:hAnsi="Times New Roman" w:cs="Times New Roman"/>
                <w:color w:val="000000"/>
                <w:spacing w:val="0"/>
                <w:w w:val="100"/>
                <w:position w:val="0"/>
              </w:rPr>
              <w:t>/</w:t>
            </w:r>
            <w:r>
              <w:rPr>
                <w:color w:val="000000"/>
                <w:spacing w:val="0"/>
                <w:w w:val="100"/>
                <w:position w:val="0"/>
              </w:rPr>
              <w:t>间接股东以任何形式就融信云的经营管理谋求一致行动关 系。</w:t>
            </w:r>
            <w:r>
              <w:rPr>
                <w:rFonts w:ascii="Times New Roman" w:eastAsia="Times New Roman" w:hAnsi="Times New Roman" w:cs="Times New Roman"/>
                <w:color w:val="000000"/>
                <w:spacing w:val="0"/>
                <w:w w:val="100"/>
                <w:position w:val="0"/>
              </w:rPr>
              <w:t>2</w:t>
            </w:r>
            <w:r>
              <w:rPr>
                <w:color w:val="000000"/>
                <w:spacing w:val="0"/>
                <w:w w:val="100"/>
                <w:position w:val="0"/>
              </w:rPr>
              <w:t>、在君信宜知完成本次投资后的</w:t>
            </w:r>
            <w:r>
              <w:rPr>
                <w:rFonts w:ascii="Times New Roman" w:eastAsia="Times New Roman" w:hAnsi="Times New Roman" w:cs="Times New Roman"/>
                <w:color w:val="000000"/>
                <w:spacing w:val="0"/>
                <w:w w:val="100"/>
                <w:position w:val="0"/>
              </w:rPr>
              <w:t>5</w:t>
            </w:r>
            <w:r>
              <w:rPr>
                <w:color w:val="000000"/>
                <w:spacing w:val="0"/>
                <w:w w:val="100"/>
                <w:position w:val="0"/>
              </w:rPr>
              <w:t>年内，公司同意融 信云在不损害相关品牌价值的基础上继续无偿使用神码融 信</w:t>
            </w:r>
            <w:r>
              <w:rPr>
                <w:rFonts w:ascii="Times New Roman" w:eastAsia="Times New Roman" w:hAnsi="Times New Roman" w:cs="Times New Roman"/>
                <w:color w:val="000000"/>
                <w:spacing w:val="0"/>
                <w:w w:val="100"/>
                <w:position w:val="0"/>
              </w:rPr>
              <w:t>/</w:t>
            </w:r>
            <w:r>
              <w:rPr>
                <w:color w:val="000000"/>
                <w:spacing w:val="0"/>
                <w:w w:val="100"/>
                <w:position w:val="0"/>
              </w:rPr>
              <w:t>神州信息品牌。</w:t>
            </w:r>
            <w:r>
              <w:rPr>
                <w:rFonts w:ascii="Times New Roman" w:eastAsia="Times New Roman" w:hAnsi="Times New Roman" w:cs="Times New Roman"/>
                <w:color w:val="000000"/>
                <w:spacing w:val="0"/>
                <w:w w:val="100"/>
                <w:position w:val="0"/>
              </w:rPr>
              <w:t>3</w:t>
            </w:r>
            <w:r>
              <w:rPr>
                <w:color w:val="000000"/>
                <w:spacing w:val="0"/>
                <w:w w:val="100"/>
                <w:position w:val="0"/>
              </w:rPr>
              <w:t>、君信宜知完成本次投资后，公司将责 成融信软件积极与融信云共同维护银监会关于非驻场集中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截至目前，上述承诺仍在履行过程中，承诺人无违反上述 承诺的情况。</w:t>
            </w:r>
          </w:p>
        </w:tc>
      </w:tr>
    </w:tbl>
    <w:p>
      <w:pPr>
        <w:spacing w:lineRule="exact" w:line="1"/>
        <w:rPr>
          <w:sz w:val="2"/>
          <w:szCs w:val="2"/>
        </w:rPr>
      </w:pPr>
      <w:r>
        <w:br w:type="page"/>
      </w:r>
    </w:p>
    <w:tbl>
      <w:tblPr>
        <w:tblOverlap w:val="never"/>
        <w:jc w:val="center"/>
        <w:tblLayout w:type="fixed"/>
      </w:tblPr>
      <w:tblGrid>
        <w:gridCol w:w="1171"/>
        <w:gridCol w:w="994"/>
        <w:gridCol w:w="994"/>
        <w:gridCol w:w="4675"/>
        <w:gridCol w:w="850"/>
        <w:gridCol w:w="854"/>
        <w:gridCol w:w="4498"/>
      </w:tblGrid>
      <w:tr>
        <w:trPr>
          <w:trHeight w:val="56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式外包服务监管评估体系的资格，积极配合银监会组织的监 管核查，并保证在融信云存续期间内，不会因融信软件的故 意或过失而丧失上述资格。</w:t>
            </w:r>
            <w:r>
              <w:rPr>
                <w:rFonts w:ascii="Times New Roman" w:eastAsia="Times New Roman" w:hAnsi="Times New Roman" w:cs="Times New Roman"/>
                <w:color w:val="000000"/>
                <w:spacing w:val="0"/>
                <w:w w:val="100"/>
                <w:position w:val="0"/>
              </w:rPr>
              <w:t>4</w:t>
            </w:r>
            <w:r>
              <w:rPr>
                <w:color w:val="000000"/>
                <w:spacing w:val="0"/>
                <w:w w:val="100"/>
                <w:position w:val="0"/>
              </w:rPr>
              <w:t>、君信宜知完成本次投资后</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年内，或者在融信软件、公司直接或间接持有融信云股权不 低于</w:t>
            </w:r>
            <w:r>
              <w:rPr>
                <w:rFonts w:ascii="Times New Roman" w:eastAsia="Times New Roman" w:hAnsi="Times New Roman" w:cs="Times New Roman"/>
                <w:color w:val="000000"/>
                <w:spacing w:val="0"/>
                <w:w w:val="100"/>
                <w:position w:val="0"/>
              </w:rPr>
              <w:t>10%</w:t>
            </w:r>
            <w:r>
              <w:rPr>
                <w:color w:val="000000"/>
                <w:spacing w:val="0"/>
                <w:w w:val="100"/>
                <w:position w:val="0"/>
              </w:rPr>
              <w:t>期间（以其中期限较长者为准），公司承诺不直接 或间接从事与融信云业务相竞争的活动，以及不会与君信宜 知控股股东的竞争对手合资或合作运营与融信云进行竞争 的业务。（</w:t>
            </w:r>
            <w:r>
              <w:rPr>
                <w:rFonts w:ascii="Times New Roman" w:eastAsia="Times New Roman" w:hAnsi="Times New Roman" w:cs="Times New Roman"/>
                <w:color w:val="000000"/>
                <w:spacing w:val="0"/>
                <w:w w:val="100"/>
                <w:position w:val="0"/>
              </w:rPr>
              <w:t>1</w:t>
            </w:r>
            <w:r>
              <w:rPr>
                <w:color w:val="000000"/>
                <w:spacing w:val="0"/>
                <w:w w:val="100"/>
                <w:position w:val="0"/>
              </w:rPr>
              <w:t>）与融信云竞争的业务包括：中小银行云托管服 务、互联网金融运营服务、互联网开放平台（即互联网核心） 运营。（</w:t>
            </w:r>
            <w:r>
              <w:rPr>
                <w:rFonts w:ascii="Times New Roman" w:eastAsia="Times New Roman" w:hAnsi="Times New Roman" w:cs="Times New Roman"/>
                <w:color w:val="000000"/>
                <w:spacing w:val="0"/>
                <w:w w:val="100"/>
                <w:position w:val="0"/>
              </w:rPr>
              <w:t>2</w:t>
            </w:r>
            <w:r>
              <w:rPr>
                <w:color w:val="000000"/>
                <w:spacing w:val="0"/>
                <w:w w:val="100"/>
                <w:position w:val="0"/>
              </w:rPr>
              <w:t>）君信宜知控股股东的竞争对手包括：阿里巴巴、 蚂蚁金服、网商银行及其关联方；百度、百信银行及其关联 方；中国平安及其关联方；苏宁云商及其关联方；美团及其 关联方。</w:t>
            </w:r>
            <w:r>
              <w:rPr>
                <w:rFonts w:ascii="Times New Roman" w:eastAsia="Times New Roman" w:hAnsi="Times New Roman" w:cs="Times New Roman"/>
                <w:color w:val="000000"/>
                <w:spacing w:val="0"/>
                <w:w w:val="100"/>
                <w:position w:val="0"/>
              </w:rPr>
              <w:t>5</w:t>
            </w:r>
            <w:r>
              <w:rPr>
                <w:color w:val="000000"/>
                <w:spacing w:val="0"/>
                <w:w w:val="100"/>
                <w:position w:val="0"/>
              </w:rPr>
              <w:t>、公司承诺，将在最短时间内责成</w:t>
            </w:r>
            <w:r>
              <w:rPr>
                <w:rFonts w:ascii="Times New Roman" w:eastAsia="Times New Roman" w:hAnsi="Times New Roman" w:cs="Times New Roman"/>
                <w:color w:val="000000"/>
                <w:spacing w:val="0"/>
                <w:w w:val="100"/>
                <w:position w:val="0"/>
              </w:rPr>
              <w:t>/</w:t>
            </w:r>
            <w:r>
              <w:rPr>
                <w:color w:val="000000"/>
                <w:spacing w:val="0"/>
                <w:w w:val="100"/>
                <w:position w:val="0"/>
              </w:rPr>
              <w:t>配合融信云、 融信软件完成本次投资中交易文件中所载的任何先决条件， 以尽快促成君信宜知完成本次投资。</w:t>
            </w:r>
            <w:r>
              <w:rPr>
                <w:rFonts w:ascii="Times New Roman" w:eastAsia="Times New Roman" w:hAnsi="Times New Roman" w:cs="Times New Roman"/>
                <w:color w:val="000000"/>
                <w:spacing w:val="0"/>
                <w:w w:val="100"/>
                <w:position w:val="0"/>
              </w:rPr>
              <w:t>6</w:t>
            </w:r>
            <w:r>
              <w:rPr>
                <w:color w:val="000000"/>
                <w:spacing w:val="0"/>
                <w:w w:val="100"/>
                <w:position w:val="0"/>
              </w:rPr>
              <w:t>、公司承诺，因违反 上述承诺及</w:t>
            </w:r>
            <w:r>
              <w:rPr>
                <w:rFonts w:ascii="Times New Roman" w:eastAsia="Times New Roman" w:hAnsi="Times New Roman" w:cs="Times New Roman"/>
                <w:color w:val="000000"/>
                <w:spacing w:val="0"/>
                <w:w w:val="100"/>
                <w:position w:val="0"/>
              </w:rPr>
              <w:t>/</w:t>
            </w:r>
            <w:r>
              <w:rPr>
                <w:color w:val="000000"/>
                <w:spacing w:val="0"/>
                <w:w w:val="100"/>
                <w:position w:val="0"/>
              </w:rPr>
              <w:t>或违反上市公司信息披露义务而致使融信云或 君信宜知受到的任何损害，公司将根据法律的规定承担全部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如承诺超期未履行完毕的，应当详细说 明未完成履行的具体原因及下一步的工 作计划</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19"/>
          <w:footerReference w:type="default" r:id="rId20"/>
          <w:footnotePr>
            <w:pos w:val="pageBottom"/>
            <w:numFmt w:val="decimal"/>
            <w:numRestart w:val="continuous"/>
          </w:footnotePr>
          <w:pgSz w:w="16840" w:h="11900" w:orient="landscape"/>
          <w:pgMar w:top="1100" w:right="1402" w:bottom="1415" w:left="1402" w:header="0" w:footer="3" w:gutter="0"/>
          <w:cols w:space="720"/>
          <w:noEndnote/>
          <w:rtlGutter w:val="0"/>
          <w:docGrid w:linePitch="360"/>
        </w:sectPr>
      </w:pPr>
    </w:p>
    <w:p>
      <w:pPr>
        <w:pStyle w:val="Style41"/>
        <w:keepNext/>
        <w:keepLines/>
        <w:widowControl w:val="0"/>
        <w:shd w:val="clear" w:color="auto" w:fill="auto"/>
        <w:bidi w:val="0"/>
        <w:spacing w:before="0" w:after="260" w:line="322" w:lineRule="exact"/>
        <w:ind w:left="0" w:right="0" w:firstLine="0"/>
        <w:jc w:val="both"/>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、公司资产或项目存在盈利预测，且报告期仍处在盈利预测期间，公司就资产或项目达到原盈利预测及 其原因做出说明</w:t>
      </w:r>
      <w:bookmarkEnd w:id="291"/>
      <w:bookmarkEnd w:id="292"/>
      <w:bookmarkEnd w:id="294"/>
    </w:p>
    <w:p>
      <w:pPr>
        <w:pStyle w:val="Style37"/>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98" w:val="left"/>
        </w:tabs>
        <w:bidi w:val="0"/>
        <w:spacing w:before="0" w:after="26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四</w:t>
      </w:r>
      <w:bookmarkEnd w:id="297"/>
      <w:r>
        <w:rPr>
          <w:color w:val="000000"/>
          <w:spacing w:val="0"/>
          <w:w w:val="100"/>
          <w:position w:val="0"/>
          <w:sz w:val="24"/>
          <w:szCs w:val="24"/>
        </w:rPr>
        <w:t>、</w:t>
        <w:tab/>
        <w:t>控股股东及其关联方对上市公司的非经营性占用资金情况</w:t>
      </w:r>
      <w:bookmarkEnd w:id="295"/>
      <w:bookmarkEnd w:id="296"/>
      <w:bookmarkEnd w:id="298"/>
    </w:p>
    <w:p>
      <w:pPr>
        <w:pStyle w:val="Style3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公司报告期不存在控股股东及其关联方对上市公司的非经营性占用资金。</w:t>
      </w:r>
    </w:p>
    <w:p>
      <w:pPr>
        <w:pStyle w:val="Style35"/>
        <w:keepNext/>
        <w:keepLines/>
        <w:widowControl w:val="0"/>
        <w:shd w:val="clear" w:color="auto" w:fill="auto"/>
        <w:tabs>
          <w:tab w:pos="517" w:val="left"/>
        </w:tabs>
        <w:bidi w:val="0"/>
        <w:spacing w:before="0" w:after="26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sz w:val="24"/>
          <w:szCs w:val="24"/>
        </w:rPr>
        <w:t>五</w:t>
      </w:r>
      <w:bookmarkEnd w:id="301"/>
      <w:r>
        <w:rPr>
          <w:color w:val="000000"/>
          <w:spacing w:val="0"/>
          <w:w w:val="100"/>
          <w:position w:val="0"/>
          <w:sz w:val="24"/>
          <w:szCs w:val="24"/>
        </w:rPr>
        <w:t>、</w:t>
        <w:tab/>
        <w:t>董事会、监事会、独立董事对会计师事务所本报告期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9"/>
      <w:bookmarkEnd w:id="300"/>
      <w:bookmarkEnd w:id="302"/>
    </w:p>
    <w:p>
      <w:pPr>
        <w:pStyle w:val="Style37"/>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517" w:val="left"/>
        </w:tabs>
        <w:bidi w:val="0"/>
        <w:spacing w:before="0" w:after="26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六</w:t>
      </w:r>
      <w:bookmarkEnd w:id="305"/>
      <w:r>
        <w:rPr>
          <w:color w:val="000000"/>
          <w:spacing w:val="0"/>
          <w:w w:val="100"/>
          <w:position w:val="0"/>
          <w:sz w:val="24"/>
          <w:szCs w:val="24"/>
        </w:rPr>
        <w:t>、</w:t>
        <w:tab/>
        <w:t>与上年度财务报告相比，会计政策、会计估计和核算方法发生变化的情况说明</w:t>
      </w:r>
      <w:bookmarkEnd w:id="303"/>
      <w:bookmarkEnd w:id="304"/>
      <w:bookmarkEnd w:id="306"/>
    </w:p>
    <w:p>
      <w:pPr>
        <w:pStyle w:val="Style3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本集团于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 修订前的收入准则简称</w:t>
      </w:r>
      <w:r>
        <w:rPr>
          <w:rFonts w:ascii="Times New Roman" w:eastAsia="Times New Roman" w:hAnsi="Times New Roman" w:cs="Times New Roman"/>
          <w:color w:val="000000"/>
          <w:spacing w:val="0"/>
          <w:w w:val="100"/>
          <w:position w:val="0"/>
        </w:rPr>
        <w:t>“</w:t>
      </w:r>
      <w:r>
        <w:rPr>
          <w:color w:val="000000"/>
          <w:spacing w:val="0"/>
          <w:w w:val="100"/>
          <w:position w:val="0"/>
        </w:rPr>
        <w:t>原收入准则新收入准则要求首次执行该准则的累计影响数调整首次执行当期期初（即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日）留存收益及财务报表其他相关项目金额，对可比期间信息不予调整。在执行新收入准则时，本集团仅对首次执行日 尚未完成的合同的累计影响数进行调整。</w:t>
      </w:r>
    </w:p>
    <w:p>
      <w:pPr>
        <w:pStyle w:val="Style26"/>
        <w:keepNext w:val="0"/>
        <w:keepLines w:val="0"/>
        <w:widowControl w:val="0"/>
        <w:shd w:val="clear" w:color="auto" w:fill="auto"/>
        <w:bidi w:val="0"/>
        <w:spacing w:before="0" w:after="0" w:line="240" w:lineRule="auto"/>
        <w:ind w:left="403" w:right="0" w:firstLine="0"/>
        <w:jc w:val="left"/>
      </w:pPr>
      <w:r>
        <w:rPr>
          <w:color w:val="000000"/>
          <w:spacing w:val="0"/>
          <w:w w:val="100"/>
          <w:position w:val="0"/>
        </w:rPr>
        <w:t>新收入准则对本集团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日合并资产负债表的影响如下，未受影响的报表项目未包含在内:</w:t>
      </w:r>
    </w:p>
    <w:tbl>
      <w:tblPr>
        <w:tblOverlap w:val="never"/>
        <w:jc w:val="center"/>
        <w:tblLayout w:type="fixed"/>
      </w:tblPr>
      <w:tblGrid>
        <w:gridCol w:w="2467"/>
        <w:gridCol w:w="2347"/>
        <w:gridCol w:w="2501"/>
        <w:gridCol w:w="2318"/>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新收入准则调整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4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3, 304, 302, </w:t>
            </w:r>
            <w:r>
              <w:rPr>
                <w:color w:val="000000"/>
                <w:spacing w:val="0"/>
                <w:w w:val="100"/>
                <w:position w:val="0"/>
              </w:rPr>
              <w:t xml:space="preserve">973. </w:t>
            </w:r>
            <w:r>
              <w:rPr>
                <w:color w:val="000000"/>
                <w:spacing w:val="0"/>
                <w:w w:val="100"/>
                <w:position w:val="0"/>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-1,404, </w:t>
            </w:r>
            <w:r>
              <w:rPr>
                <w:color w:val="000000"/>
                <w:spacing w:val="0"/>
                <w:w w:val="100"/>
                <w:position w:val="0"/>
              </w:rPr>
              <w:t xml:space="preserve">040, </w:t>
            </w:r>
            <w:r>
              <w:rPr>
                <w:color w:val="000000"/>
                <w:spacing w:val="0"/>
                <w:w w:val="100"/>
                <w:position w:val="0"/>
              </w:rPr>
              <w:t xml:space="preserve">733.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1,900, 262, </w:t>
            </w:r>
            <w:r>
              <w:rPr>
                <w:color w:val="000000"/>
                <w:spacing w:val="0"/>
                <w:w w:val="100"/>
                <w:position w:val="0"/>
              </w:rPr>
              <w:t xml:space="preserve">240. </w:t>
            </w:r>
            <w:r>
              <w:rPr>
                <w:color w:val="000000"/>
                <w:spacing w:val="0"/>
                <w:w w:val="100"/>
                <w:position w:val="0"/>
              </w:rPr>
              <w:t>49</w:t>
            </w:r>
          </w:p>
        </w:tc>
      </w:tr>
      <w:tr>
        <w:trPr>
          <w:trHeight w:val="4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1,888, 738, </w:t>
            </w:r>
            <w:r>
              <w:rPr>
                <w:color w:val="000000"/>
                <w:spacing w:val="0"/>
                <w:w w:val="100"/>
                <w:position w:val="0"/>
              </w:rPr>
              <w:t xml:space="preserve">998. </w:t>
            </w:r>
            <w:r>
              <w:rPr>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892, 568, </w:t>
            </w:r>
            <w:r>
              <w:rPr>
                <w:color w:val="000000"/>
                <w:spacing w:val="0"/>
                <w:w w:val="100"/>
                <w:position w:val="0"/>
              </w:rPr>
              <w:t xml:space="preserve">308.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2, 781,307, </w:t>
            </w:r>
            <w:r>
              <w:rPr>
                <w:color w:val="000000"/>
                <w:spacing w:val="0"/>
                <w:w w:val="100"/>
                <w:position w:val="0"/>
              </w:rPr>
              <w:t xml:space="preserve">306. </w:t>
            </w:r>
            <w:r>
              <w:rPr>
                <w:color w:val="000000"/>
                <w:spacing w:val="0"/>
                <w:w w:val="100"/>
                <w:position w:val="0"/>
              </w:rPr>
              <w:t>90</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1,187,173, </w:t>
            </w:r>
            <w:r>
              <w:rPr>
                <w:color w:val="000000"/>
                <w:spacing w:val="0"/>
                <w:w w:val="100"/>
                <w:position w:val="0"/>
              </w:rPr>
              <w:t xml:space="preserve">243.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1,187,173, </w:t>
            </w:r>
            <w:r>
              <w:rPr>
                <w:color w:val="000000"/>
                <w:spacing w:val="0"/>
                <w:w w:val="100"/>
                <w:position w:val="0"/>
              </w:rPr>
              <w:t xml:space="preserve">243. </w:t>
            </w:r>
            <w:r>
              <w:rPr>
                <w:color w:val="000000"/>
                <w:spacing w:val="0"/>
                <w:w w:val="100"/>
                <w:position w:val="0"/>
              </w:rPr>
              <w:t>20</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45,457,123.85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426, </w:t>
            </w:r>
            <w:r>
              <w:rPr>
                <w:color w:val="000000"/>
                <w:spacing w:val="0"/>
                <w:w w:val="100"/>
                <w:position w:val="0"/>
              </w:rPr>
              <w:t xml:space="preserve">452.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45, 883, </w:t>
            </w:r>
            <w:r>
              <w:rPr>
                <w:color w:val="000000"/>
                <w:spacing w:val="0"/>
                <w:w w:val="100"/>
                <w:position w:val="0"/>
              </w:rPr>
              <w:t xml:space="preserve">576. </w:t>
            </w:r>
            <w:r>
              <w:rPr>
                <w:color w:val="000000"/>
                <w:spacing w:val="0"/>
                <w:w w:val="100"/>
                <w:position w:val="0"/>
              </w:rPr>
              <w:t>18</w:t>
            </w:r>
          </w:p>
        </w:tc>
      </w:tr>
      <w:tr>
        <w:trPr>
          <w:trHeight w:val="4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113,224, </w:t>
            </w:r>
            <w:r>
              <w:rPr>
                <w:color w:val="000000"/>
                <w:spacing w:val="0"/>
                <w:w w:val="100"/>
                <w:position w:val="0"/>
              </w:rPr>
              <w:t xml:space="preserve">462. </w:t>
            </w: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w:t>
            </w:r>
            <w:r>
              <w:rPr>
                <w:color w:val="000000"/>
                <w:spacing w:val="0"/>
                <w:w w:val="100"/>
                <w:position w:val="0"/>
              </w:rPr>
              <w:t xml:space="preserve">547, </w:t>
            </w:r>
            <w:r>
              <w:rPr>
                <w:color w:val="000000"/>
                <w:spacing w:val="0"/>
                <w:w w:val="100"/>
                <w:position w:val="0"/>
              </w:rPr>
              <w:t xml:space="preserve">471.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109, 676, </w:t>
            </w:r>
            <w:r>
              <w:rPr>
                <w:color w:val="000000"/>
                <w:spacing w:val="0"/>
                <w:w w:val="100"/>
                <w:position w:val="0"/>
              </w:rPr>
              <w:t xml:space="preserve">990. </w:t>
            </w:r>
            <w:r>
              <w:rPr>
                <w:color w:val="000000"/>
                <w:spacing w:val="0"/>
                <w:w w:val="100"/>
                <w:position w:val="0"/>
              </w:rPr>
              <w:t>52</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844, 954, </w:t>
            </w:r>
            <w:r>
              <w:rPr>
                <w:color w:val="000000"/>
                <w:spacing w:val="0"/>
                <w:w w:val="100"/>
                <w:position w:val="0"/>
              </w:rPr>
              <w:t xml:space="preserve">400. </w:t>
            </w:r>
            <w:r>
              <w:rPr>
                <w:color w:val="000000"/>
                <w:spacing w:val="0"/>
                <w:w w:val="100"/>
                <w:position w:val="0"/>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-844, </w:t>
            </w:r>
            <w:r>
              <w:rPr>
                <w:color w:val="000000"/>
                <w:spacing w:val="0"/>
                <w:w w:val="100"/>
                <w:position w:val="0"/>
              </w:rPr>
              <w:t xml:space="preserve">954, </w:t>
            </w:r>
            <w:r>
              <w:rPr>
                <w:color w:val="000000"/>
                <w:spacing w:val="0"/>
                <w:w w:val="100"/>
                <w:position w:val="0"/>
              </w:rPr>
              <w:t xml:space="preserve">400. </w:t>
            </w: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1,628, 261, </w:t>
            </w:r>
            <w:r>
              <w:rPr>
                <w:color w:val="000000"/>
                <w:spacing w:val="0"/>
                <w:w w:val="100"/>
                <w:position w:val="0"/>
              </w:rPr>
              <w:t xml:space="preserve">177.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1,628, 261, </w:t>
            </w:r>
            <w:r>
              <w:rPr>
                <w:color w:val="000000"/>
                <w:spacing w:val="0"/>
                <w:w w:val="100"/>
                <w:position w:val="0"/>
              </w:rPr>
              <w:t xml:space="preserve">177. </w:t>
            </w:r>
            <w:r>
              <w:rPr>
                <w:color w:val="000000"/>
                <w:spacing w:val="0"/>
                <w:w w:val="100"/>
                <w:position w:val="0"/>
              </w:rPr>
              <w:t>33</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141,067,817. </w:t>
            </w:r>
            <w:r>
              <w:rPr>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-25, </w:t>
            </w:r>
            <w:r>
              <w:rPr>
                <w:color w:val="000000"/>
                <w:spacing w:val="0"/>
                <w:w w:val="100"/>
                <w:position w:val="0"/>
              </w:rPr>
              <w:t xml:space="preserve">200, </w:t>
            </w:r>
            <w:r>
              <w:rPr>
                <w:color w:val="000000"/>
                <w:spacing w:val="0"/>
                <w:w w:val="100"/>
                <w:position w:val="0"/>
              </w:rPr>
              <w:t xml:space="preserve">365.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115, 867, </w:t>
            </w:r>
            <w:r>
              <w:rPr>
                <w:color w:val="000000"/>
                <w:spacing w:val="0"/>
                <w:w w:val="100"/>
                <w:position w:val="0"/>
              </w:rPr>
              <w:t xml:space="preserve">451. </w:t>
            </w:r>
            <w:r>
              <w:rPr>
                <w:color w:val="000000"/>
                <w:spacing w:val="0"/>
                <w:w w:val="100"/>
                <w:position w:val="0"/>
              </w:rPr>
              <w:t>59</w:t>
            </w:r>
          </w:p>
        </w:tc>
      </w:tr>
      <w:tr>
        <w:trPr>
          <w:trHeight w:val="4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977,512.43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-157, 767.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27,819, </w:t>
            </w:r>
            <w:r>
              <w:rPr>
                <w:color w:val="000000"/>
                <w:spacing w:val="0"/>
                <w:w w:val="100"/>
                <w:position w:val="0"/>
              </w:rPr>
              <w:t xml:space="preserve">745. </w:t>
            </w:r>
            <w:r>
              <w:rPr>
                <w:color w:val="000000"/>
                <w:spacing w:val="0"/>
                <w:w w:val="100"/>
                <w:position w:val="0"/>
              </w:rPr>
              <w:t>05</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1,885, 845, </w:t>
            </w:r>
            <w:r>
              <w:rPr>
                <w:color w:val="000000"/>
                <w:spacing w:val="0"/>
                <w:w w:val="100"/>
                <w:position w:val="0"/>
              </w:rPr>
              <w:t xml:space="preserve">382. </w:t>
            </w:r>
            <w:r>
              <w:rPr>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-83, </w:t>
            </w:r>
            <w:r>
              <w:rPr>
                <w:color w:val="000000"/>
                <w:spacing w:val="0"/>
                <w:w w:val="100"/>
                <w:position w:val="0"/>
              </w:rPr>
              <w:t xml:space="preserve">463, </w:t>
            </w:r>
            <w:r>
              <w:rPr>
                <w:color w:val="000000"/>
                <w:spacing w:val="0"/>
                <w:w w:val="100"/>
                <w:position w:val="0"/>
              </w:rPr>
              <w:t xml:space="preserve">583.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1,802, </w:t>
            </w:r>
            <w:r>
              <w:rPr>
                <w:color w:val="000000"/>
                <w:spacing w:val="0"/>
                <w:w w:val="100"/>
                <w:position w:val="0"/>
              </w:rPr>
              <w:t xml:space="preserve">381,798. </w:t>
            </w:r>
            <w:r>
              <w:rPr>
                <w:color w:val="000000"/>
                <w:spacing w:val="0"/>
                <w:w w:val="100"/>
                <w:position w:val="0"/>
              </w:rPr>
              <w:t>99</w:t>
            </w:r>
          </w:p>
        </w:tc>
      </w:tr>
      <w:tr>
        <w:trPr>
          <w:trHeight w:val="46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102, 972, </w:t>
            </w:r>
            <w:r>
              <w:rPr>
                <w:color w:val="000000"/>
                <w:spacing w:val="0"/>
                <w:w w:val="100"/>
                <w:position w:val="0"/>
              </w:rPr>
              <w:t xml:space="preserve">264. </w:t>
            </w: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-1,905, 261.50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101,067, </w:t>
            </w:r>
            <w:r>
              <w:rPr>
                <w:color w:val="000000"/>
                <w:spacing w:val="0"/>
                <w:w w:val="100"/>
                <w:position w:val="0"/>
              </w:rPr>
              <w:t xml:space="preserve">002. </w:t>
            </w:r>
            <w:r>
              <w:rPr>
                <w:color w:val="000000"/>
                <w:spacing w:val="0"/>
                <w:w w:val="100"/>
                <w:position w:val="0"/>
              </w:rPr>
              <w:t>96</w:t>
            </w:r>
          </w:p>
        </w:tc>
      </w:tr>
    </w:tbl>
    <w:p>
      <w:pPr>
        <w:pStyle w:val="Style35"/>
        <w:keepNext/>
        <w:keepLines/>
        <w:widowControl w:val="0"/>
        <w:shd w:val="clear" w:color="auto" w:fill="auto"/>
        <w:tabs>
          <w:tab w:pos="522" w:val="left"/>
        </w:tabs>
        <w:bidi w:val="0"/>
        <w:spacing w:before="0" w:after="36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七</w:t>
      </w:r>
      <w:bookmarkEnd w:id="309"/>
      <w:r>
        <w:rPr>
          <w:color w:val="000000"/>
          <w:spacing w:val="0"/>
          <w:w w:val="100"/>
          <w:position w:val="0"/>
          <w:sz w:val="24"/>
          <w:szCs w:val="24"/>
        </w:rPr>
        <w:t>、</w:t>
        <w:tab/>
        <w:t>报告期内发生重大会计差错更正需追溯重述的情况说明</w:t>
      </w:r>
      <w:bookmarkEnd w:id="307"/>
      <w:bookmarkEnd w:id="308"/>
      <w:bookmarkEnd w:id="310"/>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公司报告期无重大会计差错更正需追溯重述的情况。</w:t>
      </w:r>
    </w:p>
    <w:p>
      <w:pPr>
        <w:pStyle w:val="Style35"/>
        <w:keepNext/>
        <w:keepLines/>
        <w:widowControl w:val="0"/>
        <w:shd w:val="clear" w:color="auto" w:fill="auto"/>
        <w:tabs>
          <w:tab w:pos="522" w:val="left"/>
        </w:tabs>
        <w:bidi w:val="0"/>
        <w:spacing w:before="0" w:after="36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八</w:t>
      </w:r>
      <w:bookmarkEnd w:id="313"/>
      <w:r>
        <w:rPr>
          <w:color w:val="000000"/>
          <w:spacing w:val="0"/>
          <w:w w:val="100"/>
          <w:position w:val="0"/>
          <w:sz w:val="24"/>
          <w:szCs w:val="24"/>
        </w:rPr>
        <w:t>、</w:t>
        <w:tab/>
        <w:t>与上年度财务报告相比，合并报表范围发生变化的情况说明</w:t>
      </w:r>
      <w:bookmarkEnd w:id="311"/>
      <w:bookmarkEnd w:id="312"/>
      <w:bookmarkEnd w:id="314"/>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与上年相比，本年因非同一控制下企业合并增加北京云核网络技术有限公司，因新设增加神州龙安（成都）信息技术服 务有限公司、神州龙安（青海）信息技术服务有限公司、神州国信（北京）信息科技有限公司、北京神州数字科技有限公司 （原名为神州金科（北京）科技发展有限公司）、神州龙安（江苏）信息技术服务有限公司、神州龙安（河北）信息服务有 限公司、神州龙安（山西）信息技术服务有限公司、北京神州数码方圆科技有限公司、神州龙安（内蒙古）信息技术服务有 限公司、及</w:t>
      </w:r>
      <w:r>
        <w:rPr>
          <w:rFonts w:ascii="Times New Roman" w:eastAsia="Times New Roman" w:hAnsi="Times New Roman" w:cs="Times New Roman"/>
          <w:color w:val="000000"/>
          <w:spacing w:val="0"/>
          <w:w w:val="100"/>
          <w:position w:val="0"/>
        </w:rPr>
        <w:t>DIGITAL CHINA INFORMATION TECHNOLOGY CO. LIMITED</w:t>
      </w:r>
      <w:r>
        <w:rPr>
          <w:color w:val="000000"/>
          <w:spacing w:val="0"/>
          <w:w w:val="100"/>
          <w:position w:val="0"/>
        </w:rPr>
        <w:t>，因处置减少北京神州邦邦技术服务有限公司、 神州灵云（北京）科技有限公司及枣强县农村产权交易服务有限公司。</w:t>
      </w:r>
    </w:p>
    <w:p>
      <w:pPr>
        <w:pStyle w:val="Style35"/>
        <w:keepNext/>
        <w:keepLines/>
        <w:widowControl w:val="0"/>
        <w:shd w:val="clear" w:color="auto" w:fill="auto"/>
        <w:tabs>
          <w:tab w:pos="522" w:val="left"/>
        </w:tabs>
        <w:bidi w:val="0"/>
        <w:spacing w:before="0" w:after="3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九</w:t>
      </w:r>
      <w:bookmarkEnd w:id="317"/>
      <w:r>
        <w:rPr>
          <w:color w:val="000000"/>
          <w:spacing w:val="0"/>
          <w:w w:val="100"/>
          <w:position w:val="0"/>
          <w:sz w:val="24"/>
          <w:szCs w:val="24"/>
        </w:rPr>
        <w:t>、</w:t>
        <w:tab/>
        <w:t>聘任、解聘会计师事务所情况</w:t>
      </w:r>
      <w:bookmarkEnd w:id="315"/>
      <w:bookmarkEnd w:id="316"/>
      <w:bookmarkEnd w:id="31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信永中和会计师事务所（特殊普通合伙）</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唐炫、唐静</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唐炫</w:t>
            </w:r>
            <w:r>
              <w:rPr>
                <w:rFonts w:ascii="Times New Roman" w:eastAsia="Times New Roman" w:hAnsi="Times New Roman" w:cs="Times New Roman"/>
                <w:color w:val="000000"/>
                <w:spacing w:val="0"/>
                <w:w w:val="100"/>
                <w:position w:val="0"/>
              </w:rPr>
              <w:t>2</w:t>
            </w:r>
            <w:r>
              <w:rPr>
                <w:color w:val="000000"/>
                <w:spacing w:val="0"/>
                <w:w w:val="100"/>
                <w:position w:val="0"/>
              </w:rPr>
              <w:t>年、唐静</w:t>
            </w: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3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当期是否改聘会计师事务所</w:t>
      </w:r>
    </w:p>
    <w:p>
      <w:pPr>
        <w:pStyle w:val="Style3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报告期内，公司聘请信永中和会计师事务所（特殊普通合伙）为</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年度内部控制审计机构，审计费用为人民币</w:t>
      </w:r>
      <w:r>
        <w:rPr>
          <w:rFonts w:ascii="Times New Roman" w:eastAsia="Times New Roman" w:hAnsi="Times New Roman" w:cs="Times New Roman"/>
          <w:color w:val="000000"/>
          <w:spacing w:val="0"/>
          <w:w w:val="100"/>
          <w:position w:val="0"/>
        </w:rPr>
        <w:t>35</w:t>
      </w:r>
      <w:r>
        <w:rPr>
          <w:color w:val="000000"/>
          <w:spacing w:val="0"/>
          <w:w w:val="100"/>
          <w:position w:val="0"/>
        </w:rPr>
        <w:t>万元 （不包括在上述</w:t>
      </w:r>
      <w:r>
        <w:rPr>
          <w:rFonts w:ascii="Times New Roman" w:eastAsia="Times New Roman" w:hAnsi="Times New Roman" w:cs="Times New Roman"/>
          <w:color w:val="000000"/>
          <w:spacing w:val="0"/>
          <w:w w:val="100"/>
          <w:position w:val="0"/>
        </w:rPr>
        <w:t>218</w:t>
      </w:r>
      <w:r>
        <w:rPr>
          <w:color w:val="000000"/>
          <w:spacing w:val="0"/>
          <w:w w:val="100"/>
          <w:position w:val="0"/>
        </w:rPr>
        <w:t>万元内），公司尚未支付</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年度内部控制审计费。</w:t>
      </w:r>
    </w:p>
    <w:p>
      <w:pPr>
        <w:pStyle w:val="Style35"/>
        <w:keepNext/>
        <w:keepLines/>
        <w:widowControl w:val="0"/>
        <w:shd w:val="clear" w:color="auto" w:fill="auto"/>
        <w:bidi w:val="0"/>
        <w:spacing w:before="0" w:after="36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十、年度报告披露后面临退市情况</w:t>
      </w:r>
      <w:bookmarkEnd w:id="319"/>
      <w:bookmarkEnd w:id="320"/>
      <w:bookmarkEnd w:id="321"/>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35"/>
        <w:keepNext/>
        <w:keepLines/>
        <w:widowControl w:val="0"/>
        <w:shd w:val="clear" w:color="auto" w:fill="auto"/>
        <w:bidi w:val="0"/>
        <w:spacing w:before="0" w:after="360" w:line="240" w:lineRule="auto"/>
        <w:ind w:left="0" w:right="0" w:firstLine="0"/>
        <w:jc w:val="both"/>
      </w:pPr>
      <w:bookmarkStart w:id="322" w:name="bookmark322"/>
      <w:bookmarkStart w:id="323" w:name="bookmark323"/>
      <w:bookmarkStart w:id="324" w:name="bookmark324"/>
      <w:r>
        <w:rPr>
          <w:color w:val="000000"/>
          <w:spacing w:val="0"/>
          <w:w w:val="100"/>
          <w:position w:val="0"/>
          <w:sz w:val="24"/>
          <w:szCs w:val="24"/>
        </w:rPr>
        <w:t>十一、破产重整相关事项</w:t>
      </w:r>
      <w:bookmarkEnd w:id="322"/>
      <w:bookmarkEnd w:id="323"/>
      <w:bookmarkEnd w:id="324"/>
    </w:p>
    <w:p>
      <w:pPr>
        <w:pStyle w:val="Style3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35"/>
        <w:keepNext/>
        <w:keepLines/>
        <w:widowControl w:val="0"/>
        <w:shd w:val="clear" w:color="auto" w:fill="auto"/>
        <w:bidi w:val="0"/>
        <w:spacing w:before="0" w:after="320" w:line="240" w:lineRule="auto"/>
        <w:ind w:left="0" w:right="0" w:firstLine="0"/>
        <w:jc w:val="both"/>
      </w:pPr>
      <w:bookmarkStart w:id="325" w:name="bookmark325"/>
      <w:bookmarkStart w:id="326" w:name="bookmark326"/>
      <w:bookmarkStart w:id="327" w:name="bookmark327"/>
      <w:r>
        <w:rPr>
          <w:color w:val="000000"/>
          <w:spacing w:val="0"/>
          <w:w w:val="100"/>
          <w:position w:val="0"/>
          <w:sz w:val="24"/>
          <w:szCs w:val="24"/>
        </w:rPr>
        <w:t>十二、重大诉讼、仲裁事项</w:t>
      </w:r>
      <w:bookmarkEnd w:id="325"/>
      <w:bookmarkEnd w:id="326"/>
      <w:bookmarkEnd w:id="32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850"/>
        <w:gridCol w:w="850"/>
        <w:gridCol w:w="2126"/>
        <w:gridCol w:w="1373"/>
        <w:gridCol w:w="893"/>
        <w:gridCol w:w="854"/>
        <w:gridCol w:w="1637"/>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基本情况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判决执行 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47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因供应商安 力博发集团 有限公司 安力博发</w:t>
            </w:r>
            <w:r>
              <w:rPr>
                <w:rFonts w:ascii="Times New Roman" w:eastAsia="Times New Roman" w:hAnsi="Times New Roman" w:cs="Times New Roman"/>
                <w:color w:val="000000"/>
                <w:spacing w:val="0"/>
                <w:w w:val="100"/>
                <w:position w:val="0"/>
              </w:rPr>
              <w:t>”</w:t>
            </w:r>
            <w:r>
              <w:rPr>
                <w:color w:val="000000"/>
                <w:spacing w:val="0"/>
                <w:w w:val="100"/>
                <w:position w:val="0"/>
              </w:rPr>
              <w:t>） 未按要求交 付货物，信 息系统向北 京市海淀区 人民法院提 起诉讼。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日，北 京市海淀区人民法院作出</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《案件受理通知书》。</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日，北京市 海淀区人民法院作出</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）海民（商）初字 第</w:t>
            </w:r>
            <w:r>
              <w:rPr>
                <w:rFonts w:ascii="Times New Roman" w:eastAsia="Times New Roman" w:hAnsi="Times New Roman" w:cs="Times New Roman"/>
                <w:color w:val="000000"/>
                <w:spacing w:val="0"/>
                <w:w w:val="100"/>
                <w:position w:val="0"/>
              </w:rPr>
              <w:t>17530</w:t>
            </w:r>
            <w:r>
              <w:rPr>
                <w:color w:val="000000"/>
                <w:spacing w:val="0"/>
                <w:w w:val="100"/>
                <w:position w:val="0"/>
              </w:rPr>
              <w:t>号《民事判决书》, 判决如下：安力博发于本 判决生效后十日内偿付信 息系统价款</w:t>
            </w:r>
            <w:r>
              <w:rPr>
                <w:rFonts w:ascii="Times New Roman" w:eastAsia="Times New Roman" w:hAnsi="Times New Roman" w:cs="Times New Roman"/>
                <w:color w:val="000000"/>
                <w:spacing w:val="0"/>
                <w:w w:val="100"/>
                <w:position w:val="0"/>
              </w:rPr>
              <w:t>38,876,998</w:t>
            </w:r>
            <w:r>
              <w:rPr>
                <w:color w:val="000000"/>
                <w:spacing w:val="0"/>
                <w:w w:val="100"/>
                <w:position w:val="0"/>
              </w:rPr>
              <w:t>元 及利息损失</w:t>
            </w:r>
            <w:r>
              <w:rPr>
                <w:rFonts w:ascii="Times New Roman" w:eastAsia="Times New Roman" w:hAnsi="Times New Roman" w:cs="Times New Roman"/>
                <w:color w:val="000000"/>
                <w:spacing w:val="0"/>
                <w:w w:val="100"/>
                <w:position w:val="0"/>
              </w:rPr>
              <w:t xml:space="preserve">7,849,265.9 </w:t>
            </w:r>
            <w:r>
              <w:rPr>
                <w:color w:val="000000"/>
                <w:spacing w:val="0"/>
                <w:w w:val="100"/>
                <w:position w:val="0"/>
              </w:rPr>
              <w:t>元。案件受理费</w:t>
            </w:r>
            <w:r>
              <w:rPr>
                <w:rFonts w:ascii="Times New Roman" w:eastAsia="Times New Roman" w:hAnsi="Times New Roman" w:cs="Times New Roman"/>
                <w:color w:val="000000"/>
                <w:spacing w:val="0"/>
                <w:w w:val="100"/>
                <w:position w:val="0"/>
              </w:rPr>
              <w:t>137,716</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（信息系统公司已预交）， 由安力博发负担，于本判 决生效后</w:t>
            </w:r>
            <w:r>
              <w:rPr>
                <w:rFonts w:ascii="Times New Roman" w:eastAsia="Times New Roman" w:hAnsi="Times New Roman" w:cs="Times New Roman"/>
                <w:color w:val="000000"/>
                <w:spacing w:val="0"/>
                <w:w w:val="100"/>
                <w:position w:val="0"/>
              </w:rPr>
              <w:t>7</w:t>
            </w:r>
            <w:r>
              <w:rPr>
                <w:color w:val="000000"/>
                <w:spacing w:val="0"/>
                <w:w w:val="100"/>
                <w:position w:val="0"/>
              </w:rPr>
              <w:t>日内交纳。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有关该案的基本 情况详见公司在 巨潮资讯网</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r>
              <w:rPr>
                <w:rFonts w:ascii="Times New Roman" w:eastAsia="Times New Roman" w:hAnsi="Times New Roman" w:cs="Times New Roman"/>
                <w:color w:val="000000"/>
                <w:spacing w:val="0"/>
                <w:w w:val="100"/>
                <w:position w:val="0"/>
              </w:rPr>
              <w:t xml:space="preserve"> nfo.com.cn</w:t>
            </w:r>
            <w:r>
              <w:rPr>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日披露的《诉讼 公告》、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日披露的</w:t>
            </w:r>
          </w:p>
          <w:p>
            <w:pPr>
              <w:pStyle w:val="Style29"/>
              <w:keepNext w:val="0"/>
              <w:keepLines w:val="0"/>
              <w:widowControl w:val="0"/>
              <w:shd w:val="clear" w:color="auto" w:fill="auto"/>
              <w:bidi w:val="0"/>
              <w:spacing w:before="0" w:after="0" w:line="313"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2014</w:t>
            </w:r>
            <w:r>
              <w:rPr>
                <w:color w:val="000000"/>
                <w:spacing w:val="0"/>
                <w:w w:val="100"/>
                <w:position w:val="0"/>
              </w:rPr>
              <w:t>年半年度 报告》</w:t>
            </w:r>
            <w:r>
              <w:rPr>
                <w:rFonts w:ascii="Times New Roman" w:eastAsia="Times New Roman" w:hAnsi="Times New Roman" w:cs="Times New Roman"/>
                <w:color w:val="000000"/>
                <w:spacing w:val="0"/>
                <w:w w:val="100"/>
                <w:position w:val="0"/>
              </w:rPr>
              <w:t>"</w:t>
            </w:r>
            <w:r>
              <w:rPr>
                <w:color w:val="000000"/>
                <w:spacing w:val="0"/>
                <w:w w:val="100"/>
                <w:position w:val="0"/>
              </w:rPr>
              <w:t>重大诉讼 仲裁事项''部分 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日披露的《诉讼 进展公告》内容。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本案一审 判决已经 生效，目前 在执行程 序中。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有关该案的基本情 况详见公司在巨潮 资讯网</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http: //www. cninfo. com.cn </w:t>
            </w:r>
            <w:r>
              <w:rPr>
                <w:color w:val="000000"/>
                <w:spacing w:val="0"/>
                <w:w w:val="100"/>
                <w:position w:val="0"/>
              </w:rPr>
              <w:t xml:space="preserve">）于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日披露的《诉 讼公告》、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日披露的</w:t>
            </w:r>
          </w:p>
          <w:p>
            <w:pPr>
              <w:pStyle w:val="Style29"/>
              <w:keepNext w:val="0"/>
              <w:keepLines w:val="0"/>
              <w:widowControl w:val="0"/>
              <w:shd w:val="clear" w:color="auto" w:fill="auto"/>
              <w:bidi w:val="0"/>
              <w:spacing w:before="0" w:after="0" w:line="313"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2014</w:t>
            </w:r>
            <w:r>
              <w:rPr>
                <w:color w:val="000000"/>
                <w:spacing w:val="0"/>
                <w:w w:val="100"/>
                <w:position w:val="0"/>
              </w:rPr>
              <w:t>年半年度报 告》</w:t>
            </w:r>
            <w:r>
              <w:rPr>
                <w:rFonts w:ascii="Times New Roman" w:eastAsia="Times New Roman" w:hAnsi="Times New Roman" w:cs="Times New Roman"/>
                <w:color w:val="000000"/>
                <w:spacing w:val="0"/>
                <w:w w:val="100"/>
                <w:position w:val="0"/>
              </w:rPr>
              <w:t>"</w:t>
            </w:r>
            <w:r>
              <w:rPr>
                <w:color w:val="000000"/>
                <w:spacing w:val="0"/>
                <w:w w:val="100"/>
                <w:position w:val="0"/>
              </w:rPr>
              <w:t>重大诉讼仲裁 事项</w:t>
            </w:r>
            <w:r>
              <w:rPr>
                <w:rFonts w:ascii="Times New Roman" w:eastAsia="Times New Roman" w:hAnsi="Times New Roman" w:cs="Times New Roman"/>
                <w:color w:val="000000"/>
                <w:spacing w:val="0"/>
                <w:w w:val="100"/>
                <w:position w:val="0"/>
              </w:rPr>
              <w:t>"</w:t>
            </w:r>
            <w:r>
              <w:rPr>
                <w:color w:val="000000"/>
                <w:spacing w:val="0"/>
                <w:w w:val="100"/>
                <w:position w:val="0"/>
              </w:rPr>
              <w:t>部分及</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日披露的《诉 讼进展公告》内容。</w:t>
            </w:r>
          </w:p>
        </w:tc>
      </w:tr>
      <w:tr>
        <w:trPr>
          <w:trHeight w:val="197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年发生 的未达到重 大诉讼披露 标准的其他 纠纷诉讼、 仲裁等案件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9,504.04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both"/>
      </w:pPr>
      <w:bookmarkStart w:id="328" w:name="bookmark328"/>
      <w:bookmarkStart w:id="329" w:name="bookmark329"/>
      <w:bookmarkStart w:id="330" w:name="bookmark330"/>
      <w:r>
        <w:rPr>
          <w:color w:val="000000"/>
          <w:spacing w:val="0"/>
          <w:w w:val="100"/>
          <w:position w:val="0"/>
          <w:sz w:val="24"/>
          <w:szCs w:val="24"/>
        </w:rPr>
        <w:t>十三、处罚及整改情况</w:t>
      </w:r>
      <w:bookmarkEnd w:id="328"/>
      <w:bookmarkEnd w:id="329"/>
      <w:bookmarkEnd w:id="330"/>
    </w:p>
    <w:p>
      <w:pPr>
        <w:pStyle w:val="Style3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35"/>
        <w:keepNext/>
        <w:keepLines/>
        <w:widowControl w:val="0"/>
        <w:shd w:val="clear" w:color="auto" w:fill="auto"/>
        <w:bidi w:val="0"/>
        <w:spacing w:before="0" w:after="360" w:line="240" w:lineRule="auto"/>
        <w:ind w:left="0" w:right="0" w:firstLine="0"/>
        <w:jc w:val="both"/>
      </w:pPr>
      <w:bookmarkStart w:id="331" w:name="bookmark331"/>
      <w:bookmarkStart w:id="332" w:name="bookmark332"/>
      <w:bookmarkStart w:id="333" w:name="bookmark333"/>
      <w:r>
        <w:rPr>
          <w:color w:val="000000"/>
          <w:spacing w:val="0"/>
          <w:w w:val="100"/>
          <w:position w:val="0"/>
          <w:sz w:val="24"/>
          <w:szCs w:val="24"/>
        </w:rPr>
        <w:t>十四、公司及其控股股东、实际控制人的诚信状况</w:t>
      </w:r>
      <w:bookmarkEnd w:id="331"/>
      <w:bookmarkEnd w:id="332"/>
      <w:bookmarkEnd w:id="333"/>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334" w:name="bookmark334"/>
      <w:bookmarkStart w:id="335" w:name="bookmark335"/>
      <w:bookmarkStart w:id="336" w:name="bookmark336"/>
      <w:r>
        <w:rPr>
          <w:color w:val="000000"/>
          <w:spacing w:val="0"/>
          <w:w w:val="100"/>
          <w:position w:val="0"/>
          <w:sz w:val="24"/>
          <w:szCs w:val="24"/>
        </w:rPr>
        <w:t>十五、公司股权激励计划、员工持股计划或其他员工激励措施的实施情况</w:t>
      </w:r>
      <w:bookmarkEnd w:id="334"/>
      <w:bookmarkEnd w:id="335"/>
      <w:bookmarkEnd w:id="336"/>
    </w:p>
    <w:p>
      <w:pPr>
        <w:pStyle w:val="Style3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313" w:lineRule="exact"/>
        <w:ind w:left="0" w:right="0" w:firstLine="6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年第三次临时会议审议通过了《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 案）》及其摘要等议案。鉴于公司间接控股股东神州数码控股有限公司系香港联交所上市公司，根据《香港联合交易所有限 公司证券上市规则》相关规定，公司本次股权激励计划需提交香港联合交易所审核。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日，根据香港联合交易所反 馈意见，公司第八届董事会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年第四次临时会议审议通过了《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年股票期权与限制性股票激励计划（草案）修订稿》及 其摘要的议案。本次激励计划向激励对象授予权益合计</w:t>
      </w:r>
      <w:r>
        <w:rPr>
          <w:rFonts w:ascii="Times New Roman" w:eastAsia="Times New Roman" w:hAnsi="Times New Roman" w:cs="Times New Roman"/>
          <w:color w:val="000000"/>
          <w:spacing w:val="0"/>
          <w:w w:val="100"/>
          <w:position w:val="0"/>
        </w:rPr>
        <w:t>3,000</w:t>
      </w:r>
      <w:r>
        <w:rPr>
          <w:color w:val="000000"/>
          <w:spacing w:val="0"/>
          <w:w w:val="100"/>
          <w:position w:val="0"/>
        </w:rPr>
        <w:t>万份，其中：股票期权</w:t>
      </w:r>
      <w:r>
        <w:rPr>
          <w:rFonts w:ascii="Times New Roman" w:eastAsia="Times New Roman" w:hAnsi="Times New Roman" w:cs="Times New Roman"/>
          <w:color w:val="000000"/>
          <w:spacing w:val="0"/>
          <w:w w:val="100"/>
          <w:position w:val="0"/>
        </w:rPr>
        <w:t>2,260</w:t>
      </w:r>
      <w:r>
        <w:rPr>
          <w:color w:val="000000"/>
          <w:spacing w:val="0"/>
          <w:w w:val="100"/>
          <w:position w:val="0"/>
        </w:rPr>
        <w:t>万份，限制性股票</w:t>
      </w:r>
      <w:r>
        <w:rPr>
          <w:rFonts w:ascii="Times New Roman" w:eastAsia="Times New Roman" w:hAnsi="Times New Roman" w:cs="Times New Roman"/>
          <w:color w:val="000000"/>
          <w:spacing w:val="0"/>
          <w:w w:val="100"/>
          <w:position w:val="0"/>
        </w:rPr>
        <w:t>740</w:t>
      </w:r>
      <w:r>
        <w:rPr>
          <w:color w:val="000000"/>
          <w:spacing w:val="0"/>
          <w:w w:val="100"/>
          <w:position w:val="0"/>
        </w:rPr>
        <w:t>万股。</w:t>
      </w:r>
    </w:p>
    <w:p>
      <w:pPr>
        <w:pStyle w:val="Style37"/>
        <w:keepNext w:val="0"/>
        <w:keepLines w:val="0"/>
        <w:widowControl w:val="0"/>
        <w:shd w:val="clear" w:color="auto" w:fill="auto"/>
        <w:bidi w:val="0"/>
        <w:spacing w:before="0" w:after="0" w:line="313" w:lineRule="exact"/>
        <w:ind w:left="0" w:right="0" w:firstLine="440"/>
        <w:jc w:val="both"/>
      </w:pPr>
      <w:bookmarkStart w:id="337" w:name="bookmark337"/>
      <w:r>
        <w:rPr>
          <w:rFonts w:ascii="Times New Roman" w:eastAsia="Times New Roman" w:hAnsi="Times New Roman" w:cs="Times New Roman"/>
          <w:color w:val="000000"/>
          <w:spacing w:val="0"/>
          <w:w w:val="100"/>
          <w:position w:val="0"/>
        </w:rPr>
        <w:t>2</w:t>
      </w:r>
      <w:bookmarkEnd w:id="337"/>
      <w:r>
        <w:rPr>
          <w:color w:val="000000"/>
          <w:spacing w:val="0"/>
          <w:w w:val="100"/>
          <w:position w:val="0"/>
        </w:rPr>
        <w:t>、 根据《上市公司股权激励管理办法》的相关规定，公司对激励对象的姓名和职务在公司内部进行了公示，公司监事 会结合公示情况对激励对象进行了核查，公司于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日披露了《监事会关于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 激励对象名单的公示情况说明及核查意见》。</w:t>
      </w:r>
    </w:p>
    <w:p>
      <w:pPr>
        <w:pStyle w:val="Style37"/>
        <w:keepNext w:val="0"/>
        <w:keepLines w:val="0"/>
        <w:widowControl w:val="0"/>
        <w:shd w:val="clear" w:color="auto" w:fill="auto"/>
        <w:tabs>
          <w:tab w:pos="721" w:val="left"/>
        </w:tabs>
        <w:bidi w:val="0"/>
        <w:spacing w:before="0" w:after="0" w:line="313" w:lineRule="exact"/>
        <w:ind w:left="0" w:right="0" w:firstLine="440"/>
        <w:jc w:val="both"/>
      </w:pPr>
      <w:bookmarkStart w:id="338" w:name="bookmark338"/>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日，神州数码控股有限公司股东周年大会续会审议批准了公司股权激励计划中的股票期权激励计划等 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年度第三次临时股东大会审议通过了《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年股票期权与限制性股票激励计划（草案）修 订稿》及其摘要等议案。公司实施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年股票期权与限制性股票激励计划获得批准，董事会被授权确定授予日、在激励对象 符合条件时向激励对象授予股票期权与限制性股票，并办理授予所必需的全部事宜。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0，公司第八届董事会</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年第七次临时会议和第八届监事会</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年股票期权与限制性股票激励计划激励 对象名单、授予权益数量及价格的议案》、《关于向激励对象授予股票期权与限制性股票的议案》。公司监事会对调整后的 激励对象名单再次进行了核实，本次激励计划中限制性股票的授予价格由为</w:t>
      </w:r>
      <w:r>
        <w:rPr>
          <w:rFonts w:ascii="Times New Roman" w:eastAsia="Times New Roman" w:hAnsi="Times New Roman" w:cs="Times New Roman"/>
          <w:color w:val="000000"/>
          <w:spacing w:val="0"/>
          <w:w w:val="100"/>
          <w:position w:val="0"/>
        </w:rPr>
        <w:t>6.38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tabs>
          <w:tab w:pos="702" w:val="left"/>
        </w:tabs>
        <w:bidi w:val="0"/>
        <w:spacing w:before="0" w:after="0" w:line="313" w:lineRule="exact"/>
        <w:ind w:left="0" w:right="0" w:firstLine="440"/>
        <w:jc w:val="both"/>
      </w:pPr>
      <w:bookmarkStart w:id="339" w:name="bookmark339"/>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日，经中国证券登记结算有限责任公司深圳分公司审核确认，公司本次股权激励计划授予登记完成， 实际授予并登记的限制性股票激励对象人数为</w:t>
      </w:r>
      <w:r>
        <w:rPr>
          <w:rFonts w:ascii="Times New Roman" w:eastAsia="Times New Roman" w:hAnsi="Times New Roman" w:cs="Times New Roman"/>
          <w:color w:val="000000"/>
          <w:spacing w:val="0"/>
          <w:w w:val="100"/>
          <w:position w:val="0"/>
        </w:rPr>
        <w:t>16</w:t>
      </w:r>
      <w:r>
        <w:rPr>
          <w:color w:val="000000"/>
          <w:spacing w:val="0"/>
          <w:w w:val="100"/>
          <w:position w:val="0"/>
        </w:rPr>
        <w:t>人，实际授予数量为</w:t>
      </w:r>
      <w:r>
        <w:rPr>
          <w:rFonts w:ascii="Times New Roman" w:eastAsia="Times New Roman" w:hAnsi="Times New Roman" w:cs="Times New Roman"/>
          <w:color w:val="000000"/>
          <w:spacing w:val="0"/>
          <w:w w:val="100"/>
          <w:position w:val="0"/>
        </w:rPr>
        <w:t>695</w:t>
      </w:r>
      <w:r>
        <w:rPr>
          <w:color w:val="000000"/>
          <w:spacing w:val="0"/>
          <w:w w:val="100"/>
          <w:position w:val="0"/>
        </w:rPr>
        <w:t>万股；授予股票期权激励对象人数为</w:t>
      </w:r>
      <w:r>
        <w:rPr>
          <w:rFonts w:ascii="Times New Roman" w:eastAsia="Times New Roman" w:hAnsi="Times New Roman" w:cs="Times New Roman"/>
          <w:color w:val="000000"/>
          <w:spacing w:val="0"/>
          <w:w w:val="100"/>
          <w:position w:val="0"/>
        </w:rPr>
        <w:t>104</w:t>
      </w:r>
      <w:r>
        <w:rPr>
          <w:color w:val="000000"/>
          <w:spacing w:val="0"/>
          <w:w w:val="100"/>
          <w:position w:val="0"/>
        </w:rPr>
        <w:t>人，实际授 予登记的股份数量为</w:t>
      </w:r>
      <w:r>
        <w:rPr>
          <w:rFonts w:ascii="Times New Roman" w:eastAsia="Times New Roman" w:hAnsi="Times New Roman" w:cs="Times New Roman"/>
          <w:color w:val="000000"/>
          <w:spacing w:val="0"/>
          <w:w w:val="100"/>
          <w:position w:val="0"/>
        </w:rPr>
        <w:t>2,247</w:t>
      </w:r>
      <w:r>
        <w:rPr>
          <w:color w:val="000000"/>
          <w:spacing w:val="0"/>
          <w:w w:val="100"/>
          <w:position w:val="0"/>
        </w:rPr>
        <w:t>万份。本次限制性股票授予完成后，公司股份总数由原来的</w:t>
      </w:r>
      <w:r>
        <w:rPr>
          <w:rFonts w:ascii="Times New Roman" w:eastAsia="Times New Roman" w:hAnsi="Times New Roman" w:cs="Times New Roman"/>
          <w:color w:val="000000"/>
          <w:spacing w:val="0"/>
          <w:w w:val="100"/>
          <w:position w:val="0"/>
        </w:rPr>
        <w:t>963,431,273</w:t>
      </w:r>
      <w:r>
        <w:rPr>
          <w:color w:val="000000"/>
          <w:spacing w:val="0"/>
          <w:w w:val="100"/>
          <w:position w:val="0"/>
        </w:rPr>
        <w:t>股增加至</w:t>
      </w:r>
      <w:r>
        <w:rPr>
          <w:rFonts w:ascii="Times New Roman" w:eastAsia="Times New Roman" w:hAnsi="Times New Roman" w:cs="Times New Roman"/>
          <w:color w:val="000000"/>
          <w:spacing w:val="0"/>
          <w:w w:val="100"/>
          <w:position w:val="0"/>
        </w:rPr>
        <w:t>970,381,273</w:t>
      </w:r>
      <w:r>
        <w:rPr>
          <w:color w:val="000000"/>
          <w:spacing w:val="0"/>
          <w:w w:val="100"/>
          <w:position w:val="0"/>
        </w:rPr>
        <w:t>股。</w:t>
      </w:r>
    </w:p>
    <w:p>
      <w:pPr>
        <w:pStyle w:val="Style37"/>
        <w:keepNext w:val="0"/>
        <w:keepLines w:val="0"/>
        <w:widowControl w:val="0"/>
        <w:shd w:val="clear" w:color="auto" w:fill="auto"/>
        <w:bidi w:val="0"/>
        <w:spacing w:before="0" w:after="0" w:line="313" w:lineRule="exact"/>
        <w:ind w:left="0" w:right="0" w:firstLine="440"/>
        <w:jc w:val="both"/>
      </w:pPr>
      <w:bookmarkStart w:id="340" w:name="bookmark340"/>
      <w:r>
        <w:rPr>
          <w:rFonts w:ascii="Times New Roman" w:eastAsia="Times New Roman" w:hAnsi="Times New Roman" w:cs="Times New Roman"/>
          <w:color w:val="000000"/>
          <w:spacing w:val="0"/>
          <w:w w:val="100"/>
          <w:position w:val="0"/>
        </w:rPr>
        <w:t>5</w:t>
      </w:r>
      <w:bookmarkEnd w:id="34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0，公司第八届董事会第七次会议和第八届监事会第七次会议审议通过了《关于调整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年股权激励 计划限制性股票回购价格的议案》、《关于注销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年股权激励计划部分股票期权的议案》、《关于回购注销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 励计划部分限制性股票的议案》，鉴于公司</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日实施完毕，董事会同意将限制性股票 的授予价格由</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6.306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股；同意公司对</w:t>
      </w:r>
      <w:r>
        <w:rPr>
          <w:rFonts w:ascii="Times New Roman" w:eastAsia="Times New Roman" w:hAnsi="Times New Roman" w:cs="Times New Roman"/>
          <w:color w:val="000000"/>
          <w:spacing w:val="0"/>
          <w:w w:val="100"/>
          <w:position w:val="0"/>
        </w:rPr>
        <w:t>4</w:t>
      </w:r>
      <w:r>
        <w:rPr>
          <w:color w:val="000000"/>
          <w:spacing w:val="0"/>
          <w:w w:val="100"/>
          <w:position w:val="0"/>
        </w:rPr>
        <w:t>名激励对象已获授但尚未行权的股票期权共计</w:t>
      </w:r>
      <w:r>
        <w:rPr>
          <w:rFonts w:ascii="Times New Roman" w:eastAsia="Times New Roman" w:hAnsi="Times New Roman" w:cs="Times New Roman"/>
          <w:color w:val="000000"/>
          <w:spacing w:val="0"/>
          <w:w w:val="100"/>
          <w:position w:val="0"/>
        </w:rPr>
        <w:t>95</w:t>
      </w:r>
      <w:r>
        <w:rPr>
          <w:color w:val="000000"/>
          <w:spacing w:val="0"/>
          <w:w w:val="100"/>
          <w:position w:val="0"/>
        </w:rPr>
        <w:t xml:space="preserve">万份进行注销、对 </w:t>
      </w:r>
      <w:r>
        <w:rPr>
          <w:rFonts w:ascii="Times New Roman" w:eastAsia="Times New Roman" w:hAnsi="Times New Roman" w:cs="Times New Roman"/>
          <w:color w:val="000000"/>
          <w:spacing w:val="0"/>
          <w:w w:val="100"/>
          <w:position w:val="0"/>
        </w:rPr>
        <w:t>1</w:t>
      </w:r>
      <w:r>
        <w:rPr>
          <w:color w:val="000000"/>
          <w:spacing w:val="0"/>
          <w:w w:val="100"/>
          <w:position w:val="0"/>
        </w:rPr>
        <w:t>名离职的限制性股票激励对象已获授但尚未解除限售的</w:t>
      </w:r>
      <w:r>
        <w:rPr>
          <w:rFonts w:ascii="Times New Roman" w:eastAsia="Times New Roman" w:hAnsi="Times New Roman" w:cs="Times New Roman"/>
          <w:color w:val="000000"/>
          <w:spacing w:val="0"/>
          <w:w w:val="100"/>
          <w:position w:val="0"/>
        </w:rPr>
        <w:t>30</w:t>
      </w:r>
      <w:r>
        <w:rPr>
          <w:color w:val="000000"/>
          <w:spacing w:val="0"/>
          <w:w w:val="100"/>
          <w:position w:val="0"/>
        </w:rPr>
        <w:t>万股限制性股票进行回购注销，回购价格为</w:t>
      </w:r>
      <w:r>
        <w:rPr>
          <w:rFonts w:ascii="Times New Roman" w:eastAsia="Times New Roman" w:hAnsi="Times New Roman" w:cs="Times New Roman"/>
          <w:color w:val="000000"/>
          <w:spacing w:val="0"/>
          <w:w w:val="100"/>
          <w:position w:val="0"/>
        </w:rPr>
        <w:t>6.306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bidi w:val="0"/>
        <w:spacing w:before="0" w:after="0" w:line="313" w:lineRule="exact"/>
        <w:ind w:left="0" w:right="0" w:firstLine="440"/>
        <w:jc w:val="both"/>
      </w:pPr>
      <w:bookmarkStart w:id="341" w:name="bookmark341"/>
      <w:r>
        <w:rPr>
          <w:rFonts w:ascii="Times New Roman" w:eastAsia="Times New Roman" w:hAnsi="Times New Roman" w:cs="Times New Roman"/>
          <w:color w:val="000000"/>
          <w:spacing w:val="0"/>
          <w:w w:val="100"/>
          <w:position w:val="0"/>
        </w:rPr>
        <w:t>6</w:t>
      </w:r>
      <w:bookmarkEnd w:id="341"/>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日，经中国证券登记结算有限责任公司深圳分公司审核确认，上述</w:t>
      </w:r>
      <w:r>
        <w:rPr>
          <w:rFonts w:ascii="Times New Roman" w:eastAsia="Times New Roman" w:hAnsi="Times New Roman" w:cs="Times New Roman"/>
          <w:color w:val="000000"/>
          <w:spacing w:val="0"/>
          <w:w w:val="100"/>
          <w:position w:val="0"/>
        </w:rPr>
        <w:t>95</w:t>
      </w:r>
      <w:r>
        <w:rPr>
          <w:color w:val="000000"/>
          <w:spacing w:val="0"/>
          <w:w w:val="100"/>
          <w:position w:val="0"/>
        </w:rPr>
        <w:t>万份股票期权已办理完成注销手 续。本次注销完成后，公司激励计划已授予股票期权的激励对象人数由</w:t>
      </w:r>
      <w:r>
        <w:rPr>
          <w:rFonts w:ascii="Times New Roman" w:eastAsia="Times New Roman" w:hAnsi="Times New Roman" w:cs="Times New Roman"/>
          <w:color w:val="000000"/>
          <w:spacing w:val="0"/>
          <w:w w:val="100"/>
          <w:position w:val="0"/>
        </w:rPr>
        <w:t>104</w:t>
      </w:r>
      <w:r>
        <w:rPr>
          <w:color w:val="000000"/>
          <w:spacing w:val="0"/>
          <w:w w:val="100"/>
          <w:position w:val="0"/>
        </w:rPr>
        <w:t>人调整为</w:t>
      </w:r>
      <w:r>
        <w:rPr>
          <w:rFonts w:ascii="Times New Roman" w:eastAsia="Times New Roman" w:hAnsi="Times New Roman" w:cs="Times New Roman"/>
          <w:color w:val="000000"/>
          <w:spacing w:val="0"/>
          <w:w w:val="100"/>
          <w:position w:val="0"/>
        </w:rPr>
        <w:t>100</w:t>
      </w:r>
      <w:r>
        <w:rPr>
          <w:color w:val="000000"/>
          <w:spacing w:val="0"/>
          <w:w w:val="100"/>
          <w:position w:val="0"/>
        </w:rPr>
        <w:t>人，已授予但尚未行权的股票期权数 量由</w:t>
      </w:r>
      <w:r>
        <w:rPr>
          <w:rFonts w:ascii="Times New Roman" w:eastAsia="Times New Roman" w:hAnsi="Times New Roman" w:cs="Times New Roman"/>
          <w:color w:val="000000"/>
          <w:spacing w:val="0"/>
          <w:w w:val="100"/>
          <w:position w:val="0"/>
        </w:rPr>
        <w:t>2,247</w:t>
      </w:r>
      <w:r>
        <w:rPr>
          <w:color w:val="000000"/>
          <w:spacing w:val="0"/>
          <w:w w:val="100"/>
          <w:position w:val="0"/>
        </w:rPr>
        <w:t>万份调整为</w:t>
      </w:r>
      <w:r>
        <w:rPr>
          <w:rFonts w:ascii="Times New Roman" w:eastAsia="Times New Roman" w:hAnsi="Times New Roman" w:cs="Times New Roman"/>
          <w:color w:val="000000"/>
          <w:spacing w:val="0"/>
          <w:w w:val="100"/>
          <w:position w:val="0"/>
        </w:rPr>
        <w:t>2,152</w:t>
      </w:r>
      <w:r>
        <w:rPr>
          <w:color w:val="000000"/>
          <w:spacing w:val="0"/>
          <w:w w:val="100"/>
          <w:position w:val="0"/>
        </w:rPr>
        <w:t>万份。</w:t>
      </w:r>
    </w:p>
    <w:p>
      <w:pPr>
        <w:pStyle w:val="Style37"/>
        <w:keepNext w:val="0"/>
        <w:keepLines w:val="0"/>
        <w:widowControl w:val="0"/>
        <w:shd w:val="clear" w:color="auto" w:fill="auto"/>
        <w:bidi w:val="0"/>
        <w:spacing w:before="0" w:after="0" w:line="313" w:lineRule="exact"/>
        <w:ind w:left="0" w:right="0" w:firstLine="440"/>
        <w:jc w:val="both"/>
      </w:pPr>
      <w:bookmarkStart w:id="342" w:name="bookmark342"/>
      <w:r>
        <w:rPr>
          <w:rFonts w:ascii="Times New Roman" w:eastAsia="Times New Roman" w:hAnsi="Times New Roman" w:cs="Times New Roman"/>
          <w:color w:val="000000"/>
          <w:spacing w:val="0"/>
          <w:w w:val="100"/>
          <w:position w:val="0"/>
        </w:rPr>
        <w:t>7</w:t>
      </w:r>
      <w:bookmarkEnd w:id="34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0，公司</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年度第二次临时股东大会审议通过了《关于回购注销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 票的议案》。经中国证券登记结算有限责任公司深圳分公司审核确认，上述</w:t>
      </w:r>
      <w:r>
        <w:rPr>
          <w:rFonts w:ascii="Times New Roman" w:eastAsia="Times New Roman" w:hAnsi="Times New Roman" w:cs="Times New Roman"/>
          <w:color w:val="000000"/>
          <w:spacing w:val="0"/>
          <w:w w:val="100"/>
          <w:position w:val="0"/>
        </w:rPr>
        <w:t>30</w:t>
      </w:r>
      <w:r>
        <w:rPr>
          <w:color w:val="000000"/>
          <w:spacing w:val="0"/>
          <w:w w:val="100"/>
          <w:position w:val="0"/>
        </w:rPr>
        <w:t>万股限制性股票已于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日办理完成 注销手续。</w:t>
      </w:r>
    </w:p>
    <w:p>
      <w:pPr>
        <w:pStyle w:val="Style37"/>
        <w:keepNext w:val="0"/>
        <w:keepLines w:val="0"/>
        <w:widowControl w:val="0"/>
        <w:shd w:val="clear" w:color="auto" w:fill="auto"/>
        <w:bidi w:val="0"/>
        <w:spacing w:before="0" w:after="0" w:line="313" w:lineRule="exact"/>
        <w:ind w:left="0" w:right="0" w:firstLine="440"/>
        <w:jc w:val="both"/>
      </w:pPr>
      <w:bookmarkStart w:id="343" w:name="bookmark343"/>
      <w:r>
        <w:rPr>
          <w:rFonts w:ascii="Times New Roman" w:eastAsia="Times New Roman" w:hAnsi="Times New Roman" w:cs="Times New Roman"/>
          <w:color w:val="000000"/>
          <w:spacing w:val="0"/>
          <w:w w:val="100"/>
          <w:position w:val="0"/>
        </w:rPr>
        <w:t>8</w:t>
      </w:r>
      <w:bookmarkEnd w:id="343"/>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年第五次临时会议和第八届监事会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年第一次临时会议审议通过了《关 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年股票期权与限制性股票激励计划第一个行权期懈除限售期行权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解除限售条件成就的议案》，同意为符合行权条件 的</w:t>
      </w:r>
      <w:r>
        <w:rPr>
          <w:rFonts w:ascii="Times New Roman" w:eastAsia="Times New Roman" w:hAnsi="Times New Roman" w:cs="Times New Roman"/>
          <w:color w:val="000000"/>
          <w:spacing w:val="0"/>
          <w:w w:val="100"/>
          <w:position w:val="0"/>
        </w:rPr>
        <w:t>100</w:t>
      </w:r>
      <w:r>
        <w:rPr>
          <w:color w:val="000000"/>
          <w:spacing w:val="0"/>
          <w:w w:val="100"/>
          <w:position w:val="0"/>
        </w:rPr>
        <w:t>名激励对象办理第一个行权期</w:t>
      </w:r>
      <w:r>
        <w:rPr>
          <w:rFonts w:ascii="Times New Roman" w:eastAsia="Times New Roman" w:hAnsi="Times New Roman" w:cs="Times New Roman"/>
          <w:color w:val="000000"/>
          <w:spacing w:val="0"/>
          <w:w w:val="100"/>
          <w:position w:val="0"/>
        </w:rPr>
        <w:t>1,076</w:t>
      </w:r>
      <w:r>
        <w:rPr>
          <w:color w:val="000000"/>
          <w:spacing w:val="0"/>
          <w:w w:val="100"/>
          <w:position w:val="0"/>
        </w:rPr>
        <w:t>万份股票期权的行权手续，为符合解除限售条件的</w:t>
      </w:r>
      <w:r>
        <w:rPr>
          <w:rFonts w:ascii="Times New Roman" w:eastAsia="Times New Roman" w:hAnsi="Times New Roman" w:cs="Times New Roman"/>
          <w:color w:val="000000"/>
          <w:spacing w:val="0"/>
          <w:w w:val="100"/>
          <w:position w:val="0"/>
        </w:rPr>
        <w:t>15</w:t>
      </w:r>
      <w:r>
        <w:rPr>
          <w:color w:val="000000"/>
          <w:spacing w:val="0"/>
          <w:w w:val="100"/>
          <w:position w:val="0"/>
        </w:rPr>
        <w:t>名激励对象办理第一个解除限 售期</w:t>
      </w:r>
      <w:r>
        <w:rPr>
          <w:rFonts w:ascii="Times New Roman" w:eastAsia="Times New Roman" w:hAnsi="Times New Roman" w:cs="Times New Roman"/>
          <w:color w:val="000000"/>
          <w:spacing w:val="0"/>
          <w:w w:val="100"/>
          <w:position w:val="0"/>
        </w:rPr>
        <w:t>332.50</w:t>
      </w:r>
      <w:r>
        <w:rPr>
          <w:color w:val="000000"/>
          <w:spacing w:val="0"/>
          <w:w w:val="100"/>
          <w:position w:val="0"/>
        </w:rPr>
        <w:t>万股限制性股票的解除限售手续。本次解除限售股份的上市流通日为2020年11月12日，自主行权第一个行权期实 际可行权期限为2020年11月19 0起至2021年10月29日止。截至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日，第一个行权期已行使股票期权数量为 </w:t>
      </w:r>
      <w:r>
        <w:rPr>
          <w:rFonts w:ascii="Times New Roman" w:eastAsia="Times New Roman" w:hAnsi="Times New Roman" w:cs="Times New Roman"/>
          <w:color w:val="000000"/>
          <w:spacing w:val="0"/>
          <w:w w:val="100"/>
          <w:position w:val="0"/>
        </w:rPr>
        <w:t>5,687,554</w:t>
      </w:r>
      <w:r>
        <w:rPr>
          <w:color w:val="000000"/>
          <w:spacing w:val="0"/>
          <w:w w:val="100"/>
          <w:position w:val="0"/>
        </w:rPr>
        <w:t>股。</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上述具体内容可详见《证券时报》和巨潮资讯网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上的相关公告。</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shd w:val="clear" w:color="auto" w:fill="FFFFFF"/>
        </w:rPr>
        <w:t xml:space="preserve">本报告期计提股权激励费用2, </w:t>
      </w:r>
      <w:r>
        <w:rPr>
          <w:color w:val="000000"/>
          <w:spacing w:val="0"/>
          <w:w w:val="100"/>
          <w:position w:val="0"/>
          <w:shd w:val="clear" w:color="auto" w:fill="FFFFFF"/>
        </w:rPr>
        <w:t xml:space="preserve">868. </w:t>
      </w:r>
      <w:r>
        <w:rPr>
          <w:color w:val="000000"/>
          <w:spacing w:val="0"/>
          <w:w w:val="100"/>
          <w:position w:val="0"/>
          <w:shd w:val="clear" w:color="auto" w:fill="FFFFFF"/>
        </w:rPr>
        <w:t xml:space="preserve">96万元，其中归属于母公司所有者承担的激励费用为2, </w:t>
      </w:r>
      <w:r>
        <w:rPr>
          <w:color w:val="000000"/>
          <w:spacing w:val="0"/>
          <w:w w:val="100"/>
          <w:position w:val="0"/>
          <w:shd w:val="clear" w:color="auto" w:fill="FFFFFF"/>
        </w:rPr>
        <w:t xml:space="preserve">676. </w:t>
      </w:r>
      <w:r>
        <w:rPr>
          <w:color w:val="000000"/>
          <w:spacing w:val="0"/>
          <w:w w:val="100"/>
          <w:position w:val="0"/>
          <w:shd w:val="clear" w:color="auto" w:fill="FFFFFF"/>
        </w:rPr>
        <w:t xml:space="preserve">03万元，剔除股权激励费 用后归属于上市公司股东的净利润50, </w:t>
      </w:r>
      <w:r>
        <w:rPr>
          <w:color w:val="000000"/>
          <w:spacing w:val="0"/>
          <w:w w:val="100"/>
          <w:position w:val="0"/>
          <w:shd w:val="clear" w:color="auto" w:fill="FFFFFF"/>
        </w:rPr>
        <w:t xml:space="preserve">243. </w:t>
      </w:r>
      <w:r>
        <w:rPr>
          <w:color w:val="000000"/>
          <w:spacing w:val="0"/>
          <w:w w:val="100"/>
          <w:position w:val="0"/>
          <w:shd w:val="clear" w:color="auto" w:fill="FFFFFF"/>
        </w:rPr>
        <w:t>43万元，股权激励费用占剔除股权激励费用后归属于上市公司股东的净利润的</w:t>
      </w:r>
    </w:p>
    <w:p>
      <w:pPr>
        <w:pStyle w:val="Style37"/>
        <w:keepNext w:val="0"/>
        <w:keepLines w:val="0"/>
        <w:widowControl w:val="0"/>
        <w:numPr>
          <w:ilvl w:val="0"/>
          <w:numId w:val="9"/>
        </w:numPr>
        <w:shd w:val="clear" w:color="auto" w:fill="auto"/>
        <w:tabs>
          <w:tab w:pos="255" w:val="left"/>
        </w:tabs>
        <w:bidi w:val="0"/>
        <w:spacing w:before="0" w:after="0" w:line="312" w:lineRule="exact"/>
        <w:ind w:left="0" w:right="0" w:firstLine="0"/>
        <w:jc w:val="both"/>
        <w:sectPr>
          <w:headerReference w:type="default" r:id="rId21"/>
          <w:footerReference w:type="default" r:id="rId22"/>
          <w:footnotePr>
            <w:pos w:val="pageBottom"/>
            <w:numFmt w:val="decimal"/>
            <w:numRestart w:val="continuous"/>
          </w:footnotePr>
          <w:pgSz w:w="11900" w:h="16840"/>
          <w:pgMar w:top="1402" w:right="1051" w:bottom="1556" w:left="1076" w:header="0" w:footer="3" w:gutter="0"/>
          <w:cols w:space="720"/>
          <w:noEndnote/>
          <w:rtlGutter w:val="0"/>
          <w:docGrid w:linePitch="360"/>
        </w:sectPr>
      </w:pPr>
      <w:bookmarkStart w:id="344" w:name="bookmark344"/>
      <w:bookmarkEnd w:id="344"/>
      <w:r>
        <w:rPr>
          <w:color w:val="000000"/>
          <w:spacing w:val="0"/>
          <w:w w:val="100"/>
          <w:position w:val="0"/>
        </w:rPr>
        <w:t>33%。其中核心技术人员股权激励费用占公司当期股权激励费用的比重为</w:t>
      </w:r>
      <w:r>
        <w:rPr>
          <w:color w:val="000000"/>
          <w:spacing w:val="0"/>
          <w:w w:val="100"/>
          <w:position w:val="0"/>
        </w:rPr>
        <w:t xml:space="preserve">24. </w:t>
      </w:r>
      <w:r>
        <w:rPr>
          <w:color w:val="000000"/>
          <w:spacing w:val="0"/>
          <w:w w:val="100"/>
          <w:position w:val="0"/>
        </w:rPr>
        <w:t>79%。</w:t>
      </w:r>
    </w:p>
    <w:p>
      <w:pPr>
        <w:pStyle w:val="Style35"/>
        <w:keepNext/>
        <w:keepLines/>
        <w:widowControl w:val="0"/>
        <w:shd w:val="clear" w:color="auto" w:fill="auto"/>
        <w:bidi w:val="0"/>
        <w:spacing w:before="300" w:after="34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十六、重大关联交易</w:t>
      </w:r>
      <w:bookmarkEnd w:id="345"/>
      <w:bookmarkEnd w:id="346"/>
      <w:bookmarkEnd w:id="347"/>
    </w:p>
    <w:p>
      <w:pPr>
        <w:pStyle w:val="Style41"/>
        <w:keepNext/>
        <w:keepLines/>
        <w:widowControl w:val="0"/>
        <w:shd w:val="clear" w:color="auto" w:fill="auto"/>
        <w:bidi w:val="0"/>
        <w:spacing w:before="0" w:after="34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、与日常经营相关的关联交易</w:t>
      </w:r>
      <w:bookmarkEnd w:id="348"/>
      <w:bookmarkEnd w:id="349"/>
      <w:bookmarkEnd w:id="351"/>
    </w:p>
    <w:p>
      <w:pPr>
        <w:pStyle w:val="Style2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5"/>
        <w:gridCol w:w="888"/>
        <w:gridCol w:w="888"/>
        <w:gridCol w:w="1157"/>
        <w:gridCol w:w="850"/>
        <w:gridCol w:w="850"/>
        <w:gridCol w:w="1133"/>
        <w:gridCol w:w="994"/>
        <w:gridCol w:w="994"/>
        <w:gridCol w:w="850"/>
        <w:gridCol w:w="994"/>
        <w:gridCol w:w="994"/>
        <w:gridCol w:w="1133"/>
        <w:gridCol w:w="123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right"/>
            </w:pPr>
            <w:r>
              <w:rPr>
                <w:color w:val="000000"/>
                <w:spacing w:val="0"/>
                <w:w w:val="100"/>
                <w:position w:val="0"/>
              </w:rPr>
              <w:t>占同类交易 金额的比例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获批的交易 额度（万元）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关联交易结 算方式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可获得的同 类交易市价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神州数码控 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受同一控 股股东及 最终控制 方控制的 其他企业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销售商品、技 术服务或劳务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技术服务或劳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北京神州邦 邦技术服务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销售商品、技 术服务或劳务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神州数码控 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受同一控 股股东及 最终控制 方控制的 其他企业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关联米购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按照合同进 行结算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p>
        </w:tc>
      </w:tr>
    </w:tbl>
    <w:p>
      <w:pPr>
        <w:spacing w:lineRule="exact" w:line="1"/>
        <w:rPr>
          <w:sz w:val="2"/>
          <w:szCs w:val="2"/>
        </w:rPr>
      </w:pPr>
      <w:r>
        <w:br w:type="page"/>
      </w:r>
    </w:p>
    <w:tbl>
      <w:tblPr>
        <w:tblOverlap w:val="never"/>
        <w:jc w:val="center"/>
        <w:tblLayout w:type="fixed"/>
      </w:tblPr>
      <w:tblGrid>
        <w:gridCol w:w="1075"/>
        <w:gridCol w:w="888"/>
        <w:gridCol w:w="888"/>
        <w:gridCol w:w="1157"/>
        <w:gridCol w:w="850"/>
        <w:gridCol w:w="850"/>
        <w:gridCol w:w="1133"/>
        <w:gridCol w:w="994"/>
        <w:gridCol w:w="994"/>
        <w:gridCol w:w="850"/>
        <w:gridCol w:w="994"/>
        <w:gridCol w:w="994"/>
        <w:gridCol w:w="1133"/>
        <w:gridCol w:w="1238"/>
      </w:tblGrid>
      <w:tr>
        <w:trPr>
          <w:trHeight w:val="16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神州数码控 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受同一控 股股东及 最终控制 方控制的 其他企业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采购行政办公 服务、货运服 务及其它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神州数码集 团股份有限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采购行政办公 服务、货运服 务及其它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北京神州邦 邦技术服务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关联米购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采购商品及其 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按照合同进 行结算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http://www.c</w:t>
            </w:r>
            <w:r>
              <w:fldChar w:fldCharType="end"/>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ninfo.com.cn</w:t>
            </w:r>
          </w:p>
        </w:tc>
      </w:tr>
      <w:tr>
        <w:trPr>
          <w:trHeight w:val="466"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29,909.09</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111,639</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560" w:firstLine="0"/>
              <w:jc w:val="right"/>
            </w:pPr>
            <w:r>
              <w:rPr>
                <w:rFonts w:ascii="Times New Roman" w:eastAsia="Times New Roman" w:hAnsi="Times New Roman" w:cs="Times New Roman"/>
                <w:color w:val="000000"/>
                <w:spacing w:val="0"/>
                <w:w w:val="100"/>
                <w:position w:val="0"/>
              </w:rPr>
              <w:t>--</w:t>
            </w:r>
          </w:p>
        </w:tc>
      </w:tr>
      <w:tr>
        <w:trPr>
          <w:trHeight w:val="461"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 预计的，在报告期内的实际履行情况</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年关联方交易情况：对神州控股关联销售预计</w:t>
            </w:r>
            <w:r>
              <w:rPr>
                <w:rFonts w:ascii="Times New Roman" w:eastAsia="Times New Roman" w:hAnsi="Times New Roman" w:cs="Times New Roman"/>
                <w:color w:val="000000"/>
                <w:spacing w:val="0"/>
                <w:w w:val="100"/>
                <w:position w:val="0"/>
              </w:rPr>
              <w:t>11,066.00</w:t>
            </w:r>
            <w:r>
              <w:rPr>
                <w:color w:val="000000"/>
                <w:spacing w:val="0"/>
                <w:w w:val="100"/>
                <w:position w:val="0"/>
              </w:rPr>
              <w:t>万元，实际履行</w:t>
            </w:r>
            <w:r>
              <w:rPr>
                <w:rFonts w:ascii="Times New Roman" w:eastAsia="Times New Roman" w:hAnsi="Times New Roman" w:cs="Times New Roman"/>
                <w:color w:val="000000"/>
                <w:spacing w:val="0"/>
                <w:w w:val="100"/>
                <w:position w:val="0"/>
              </w:rPr>
              <w:t>236.59</w:t>
            </w:r>
            <w:r>
              <w:rPr>
                <w:color w:val="000000"/>
                <w:spacing w:val="0"/>
                <w:w w:val="100"/>
                <w:position w:val="0"/>
              </w:rPr>
              <w:t>万元；对神州控股关联采购商品预计</w:t>
            </w:r>
            <w:r>
              <w:rPr>
                <w:rFonts w:ascii="Times New Roman" w:eastAsia="Times New Roman" w:hAnsi="Times New Roman" w:cs="Times New Roman"/>
                <w:color w:val="000000"/>
                <w:spacing w:val="0"/>
                <w:w w:val="100"/>
                <w:position w:val="0"/>
              </w:rPr>
              <w:t xml:space="preserve">35,700 </w:t>
            </w:r>
            <w:r>
              <w:rPr>
                <w:color w:val="000000"/>
                <w:spacing w:val="0"/>
                <w:w w:val="100"/>
                <w:position w:val="0"/>
              </w:rPr>
              <w:t>万元，实际履行</w:t>
            </w:r>
            <w:r>
              <w:rPr>
                <w:rFonts w:ascii="Times New Roman" w:eastAsia="Times New Roman" w:hAnsi="Times New Roman" w:cs="Times New Roman"/>
                <w:color w:val="000000"/>
                <w:spacing w:val="0"/>
                <w:w w:val="100"/>
                <w:position w:val="0"/>
              </w:rPr>
              <w:t>12,064.10</w:t>
            </w:r>
            <w:r>
              <w:rPr>
                <w:color w:val="000000"/>
                <w:spacing w:val="0"/>
                <w:w w:val="100"/>
                <w:position w:val="0"/>
              </w:rPr>
              <w:t>万元；对神州控股关联采购行政办公服务、货运服务及其它预计</w:t>
            </w:r>
            <w:r>
              <w:rPr>
                <w:rFonts w:ascii="Times New Roman" w:eastAsia="Times New Roman" w:hAnsi="Times New Roman" w:cs="Times New Roman"/>
                <w:color w:val="000000"/>
                <w:spacing w:val="0"/>
                <w:w w:val="100"/>
                <w:position w:val="0"/>
              </w:rPr>
              <w:t>2,073.00</w:t>
            </w:r>
            <w:r>
              <w:rPr>
                <w:color w:val="000000"/>
                <w:spacing w:val="0"/>
                <w:w w:val="100"/>
                <w:position w:val="0"/>
              </w:rPr>
              <w:t>万元，实际履行</w:t>
            </w:r>
            <w:r>
              <w:rPr>
                <w:rFonts w:ascii="Times New Roman" w:eastAsia="Times New Roman" w:hAnsi="Times New Roman" w:cs="Times New Roman"/>
                <w:color w:val="000000"/>
                <w:spacing w:val="0"/>
                <w:w w:val="100"/>
                <w:position w:val="0"/>
              </w:rPr>
              <w:t>1,259.10</w:t>
            </w:r>
            <w:r>
              <w:rPr>
                <w:color w:val="000000"/>
                <w:spacing w:val="0"/>
                <w:w w:val="100"/>
                <w:position w:val="0"/>
              </w:rPr>
              <w:t>万 元；对神州数码关联销售商品预计</w:t>
            </w:r>
            <w:r>
              <w:rPr>
                <w:rFonts w:ascii="Times New Roman" w:eastAsia="Times New Roman" w:hAnsi="Times New Roman" w:cs="Times New Roman"/>
                <w:color w:val="000000"/>
                <w:spacing w:val="0"/>
                <w:w w:val="100"/>
                <w:position w:val="0"/>
              </w:rPr>
              <w:t>6,500.00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6.02</w:t>
            </w:r>
            <w:r>
              <w:rPr>
                <w:color w:val="000000"/>
                <w:spacing w:val="0"/>
                <w:w w:val="100"/>
                <w:position w:val="0"/>
              </w:rPr>
              <w:t>万元；对神州数码关联销售技术服务或劳务预计</w:t>
            </w:r>
            <w:r>
              <w:rPr>
                <w:rFonts w:ascii="Times New Roman" w:eastAsia="Times New Roman" w:hAnsi="Times New Roman" w:cs="Times New Roman"/>
                <w:color w:val="000000"/>
                <w:spacing w:val="0"/>
                <w:w w:val="100"/>
                <w:position w:val="0"/>
              </w:rPr>
              <w:t>2,500.00</w:t>
            </w:r>
            <w:r>
              <w:rPr>
                <w:color w:val="000000"/>
                <w:spacing w:val="0"/>
                <w:w w:val="100"/>
                <w:position w:val="0"/>
              </w:rPr>
              <w:t>万元， 实际履行</w:t>
            </w:r>
            <w:r>
              <w:rPr>
                <w:rFonts w:ascii="Times New Roman" w:eastAsia="Times New Roman" w:hAnsi="Times New Roman" w:cs="Times New Roman"/>
                <w:color w:val="000000"/>
                <w:spacing w:val="0"/>
                <w:w w:val="100"/>
                <w:position w:val="0"/>
              </w:rPr>
              <w:t>168.46</w:t>
            </w:r>
            <w:r>
              <w:rPr>
                <w:color w:val="000000"/>
                <w:spacing w:val="0"/>
                <w:w w:val="100"/>
                <w:position w:val="0"/>
              </w:rPr>
              <w:t>万元；对神州数码关联采购商品预计</w:t>
            </w:r>
            <w:r>
              <w:rPr>
                <w:rFonts w:ascii="Times New Roman" w:eastAsia="Times New Roman" w:hAnsi="Times New Roman" w:cs="Times New Roman"/>
                <w:color w:val="000000"/>
                <w:spacing w:val="0"/>
                <w:w w:val="100"/>
                <w:position w:val="0"/>
              </w:rPr>
              <w:t>36,000.00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7,643.84</w:t>
            </w:r>
            <w:r>
              <w:rPr>
                <w:color w:val="000000"/>
                <w:spacing w:val="0"/>
                <w:w w:val="100"/>
                <w:position w:val="0"/>
              </w:rPr>
              <w:t>万元；对神州数码关联采购行政办公服 务、货运服务及其它预计</w:t>
            </w:r>
            <w:r>
              <w:rPr>
                <w:rFonts w:ascii="Times New Roman" w:eastAsia="Times New Roman" w:hAnsi="Times New Roman" w:cs="Times New Roman"/>
                <w:color w:val="000000"/>
                <w:spacing w:val="0"/>
                <w:w w:val="100"/>
                <w:position w:val="0"/>
              </w:rPr>
              <w:t>2,800.00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1,950.90</w:t>
            </w:r>
            <w:r>
              <w:rPr>
                <w:color w:val="000000"/>
                <w:spacing w:val="0"/>
                <w:w w:val="100"/>
                <w:position w:val="0"/>
              </w:rPr>
              <w:t>万元；对神州邦邦关联采购商品及其他预计</w:t>
            </w:r>
            <w:r>
              <w:rPr>
                <w:rFonts w:ascii="Times New Roman" w:eastAsia="Times New Roman" w:hAnsi="Times New Roman" w:cs="Times New Roman"/>
                <w:color w:val="000000"/>
                <w:spacing w:val="0"/>
                <w:w w:val="100"/>
                <w:position w:val="0"/>
              </w:rPr>
              <w:t>14,800</w:t>
            </w:r>
            <w:r>
              <w:rPr>
                <w:color w:val="000000"/>
                <w:spacing w:val="0"/>
                <w:w w:val="100"/>
                <w:position w:val="0"/>
              </w:rPr>
              <w:t xml:space="preserve">万元，实际履行 </w:t>
            </w:r>
            <w:r>
              <w:rPr>
                <w:rFonts w:ascii="Times New Roman" w:eastAsia="Times New Roman" w:hAnsi="Times New Roman" w:cs="Times New Roman"/>
                <w:color w:val="000000"/>
                <w:spacing w:val="0"/>
                <w:w w:val="100"/>
                <w:position w:val="0"/>
              </w:rPr>
              <w:t>6,470.06</w:t>
            </w:r>
            <w:r>
              <w:rPr>
                <w:color w:val="000000"/>
                <w:spacing w:val="0"/>
                <w:w w:val="100"/>
                <w:position w:val="0"/>
              </w:rPr>
              <w:t>万元；对神州邦邦关联销售商品、技术服务或劳务预计</w:t>
            </w:r>
            <w:r>
              <w:rPr>
                <w:rFonts w:ascii="Times New Roman" w:eastAsia="Times New Roman" w:hAnsi="Times New Roman" w:cs="Times New Roman"/>
                <w:color w:val="000000"/>
                <w:spacing w:val="0"/>
                <w:w w:val="100"/>
                <w:position w:val="0"/>
              </w:rPr>
              <w:t>110.02</w:t>
            </w:r>
            <w:r>
              <w:rPr>
                <w:color w:val="000000"/>
                <w:spacing w:val="0"/>
                <w:w w:val="100"/>
                <w:position w:val="0"/>
              </w:rPr>
              <w:t>万元，实际履行</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w:t>
            </w:r>
          </w:p>
        </w:tc>
      </w:tr>
      <w:tr>
        <w:trPr>
          <w:trHeight w:val="475"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23"/>
          <w:footerReference w:type="default" r:id="rId24"/>
          <w:footnotePr>
            <w:pos w:val="pageBottom"/>
            <w:numFmt w:val="decimal"/>
            <w:numRestart w:val="continuous"/>
          </w:footnotePr>
          <w:pgSz w:w="16840" w:h="11900" w:orient="landscape"/>
          <w:pgMar w:top="1124" w:right="1402" w:bottom="1800" w:left="1402" w:header="0" w:footer="3" w:gutter="0"/>
          <w:cols w:space="720"/>
          <w:noEndnote/>
          <w:rtlGutter w:val="0"/>
          <w:docGrid w:linePitch="360"/>
        </w:sectPr>
      </w:pPr>
    </w:p>
    <w:p>
      <w:pPr>
        <w:pStyle w:val="Style41"/>
        <w:keepNext/>
        <w:keepLines/>
        <w:widowControl w:val="0"/>
        <w:shd w:val="clear" w:color="auto" w:fill="auto"/>
        <w:tabs>
          <w:tab w:pos="378" w:val="left"/>
        </w:tabs>
        <w:bidi w:val="0"/>
        <w:spacing w:before="80" w:after="2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资产或股权收购、出售发生的关联交易</w:t>
      </w:r>
      <w:bookmarkEnd w:id="352"/>
      <w:bookmarkEnd w:id="353"/>
      <w:bookmarkEnd w:id="355"/>
    </w:p>
    <w:p>
      <w:pPr>
        <w:pStyle w:val="Style3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公司报告期未发生资产或股权收购、出售的关联交易。</w:t>
      </w:r>
    </w:p>
    <w:p>
      <w:pPr>
        <w:pStyle w:val="Style41"/>
        <w:keepNext/>
        <w:keepLines/>
        <w:widowControl w:val="0"/>
        <w:shd w:val="clear" w:color="auto" w:fill="auto"/>
        <w:tabs>
          <w:tab w:pos="378" w:val="left"/>
        </w:tabs>
        <w:bidi w:val="0"/>
        <w:spacing w:before="0" w:after="2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共同对外投资的关联交易</w:t>
      </w:r>
      <w:bookmarkEnd w:id="356"/>
      <w:bookmarkEnd w:id="357"/>
      <w:bookmarkEnd w:id="359"/>
    </w:p>
    <w:p>
      <w:pPr>
        <w:pStyle w:val="Style3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公司报告期未发生共同对外投资的关联交易。</w:t>
      </w:r>
    </w:p>
    <w:p>
      <w:pPr>
        <w:pStyle w:val="Style41"/>
        <w:keepNext/>
        <w:keepLines/>
        <w:widowControl w:val="0"/>
        <w:shd w:val="clear" w:color="auto" w:fill="auto"/>
        <w:tabs>
          <w:tab w:pos="378" w:val="left"/>
        </w:tabs>
        <w:bidi w:val="0"/>
        <w:spacing w:before="0" w:after="2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关联债权债务往来</w:t>
      </w:r>
      <w:bookmarkEnd w:id="360"/>
      <w:bookmarkEnd w:id="361"/>
      <w:bookmarkEnd w:id="363"/>
    </w:p>
    <w:p>
      <w:pPr>
        <w:pStyle w:val="Style3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公司报告期不存在关联债权债务往来。</w:t>
      </w:r>
    </w:p>
    <w:p>
      <w:pPr>
        <w:pStyle w:val="Style41"/>
        <w:keepNext/>
        <w:keepLines/>
        <w:widowControl w:val="0"/>
        <w:shd w:val="clear" w:color="auto" w:fill="auto"/>
        <w:tabs>
          <w:tab w:pos="378" w:val="left"/>
        </w:tabs>
        <w:bidi w:val="0"/>
        <w:spacing w:before="0" w:after="2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5</w:t>
      </w:r>
      <w:bookmarkEnd w:id="366"/>
      <w:r>
        <w:rPr>
          <w:color w:val="000000"/>
          <w:spacing w:val="0"/>
          <w:w w:val="100"/>
          <w:position w:val="0"/>
        </w:rPr>
        <w:t>、</w:t>
        <w:tab/>
        <w:t>其他重大关联交易</w:t>
      </w:r>
      <w:bookmarkEnd w:id="364"/>
      <w:bookmarkEnd w:id="365"/>
      <w:bookmarkEnd w:id="367"/>
    </w:p>
    <w:p>
      <w:pPr>
        <w:pStyle w:val="Style3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公司报告期无其他重大关联交易。</w:t>
      </w:r>
    </w:p>
    <w:p>
      <w:pPr>
        <w:pStyle w:val="Style35"/>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十七、重大合同及其履行情况</w:t>
      </w:r>
      <w:bookmarkEnd w:id="368"/>
      <w:bookmarkEnd w:id="369"/>
      <w:bookmarkEnd w:id="370"/>
    </w:p>
    <w:p>
      <w:pPr>
        <w:pStyle w:val="Style41"/>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、托管、承包、租赁事项情况</w:t>
      </w:r>
      <w:bookmarkEnd w:id="371"/>
      <w:bookmarkEnd w:id="372"/>
      <w:bookmarkEnd w:id="374"/>
    </w:p>
    <w:p>
      <w:pPr>
        <w:pStyle w:val="Style41"/>
        <w:keepNext/>
        <w:keepLines/>
        <w:widowControl w:val="0"/>
        <w:shd w:val="clear" w:color="auto" w:fill="auto"/>
        <w:tabs>
          <w:tab w:pos="493" w:val="left"/>
        </w:tabs>
        <w:bidi w:val="0"/>
        <w:spacing w:before="0" w:after="280" w:line="240" w:lineRule="auto"/>
        <w:ind w:left="0" w:right="0" w:firstLine="0"/>
        <w:jc w:val="left"/>
      </w:pPr>
      <w:bookmarkStart w:id="371" w:name="bookmark371"/>
      <w:bookmarkStart w:id="372" w:name="bookmark372"/>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1"/>
      <w:bookmarkEnd w:id="372"/>
      <w:bookmarkEnd w:id="376"/>
    </w:p>
    <w:p>
      <w:pPr>
        <w:pStyle w:val="Style3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28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7"/>
      <w:bookmarkEnd w:id="378"/>
      <w:bookmarkEnd w:id="380"/>
    </w:p>
    <w:p>
      <w:pPr>
        <w:pStyle w:val="Style3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after="2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1"/>
      <w:bookmarkEnd w:id="382"/>
      <w:bookmarkEnd w:id="384"/>
    </w:p>
    <w:p>
      <w:pPr>
        <w:pStyle w:val="Style3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租赁情况说明</w:t>
      </w:r>
    </w:p>
    <w:p>
      <w:pPr>
        <w:pStyle w:val="Style3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根据公司发展规划和聚焦金融科技战略布局，为满足公司及子公司办公需求，公司全资子公司北京神州数字科技有限公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神州数字</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日与北京新动力金科资产运营管理有限公司（以下简称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新动力</w:t>
      </w:r>
      <w:r>
        <w:rPr>
          <w:rFonts w:ascii="Times New Roman" w:eastAsia="Times New Roman" w:hAnsi="Times New Roman" w:cs="Times New Roman"/>
          <w:color w:val="000000"/>
          <w:spacing w:val="0"/>
          <w:w w:val="100"/>
          <w:position w:val="0"/>
        </w:rPr>
        <w:t>”</w:t>
      </w:r>
      <w:r>
        <w:rPr>
          <w:color w:val="000000"/>
          <w:spacing w:val="0"/>
          <w:w w:val="100"/>
          <w:position w:val="0"/>
        </w:rPr>
        <w:t>）签订了《写字 楼租赁合同》，租赁其位于北京市西城区西直门外大街</w:t>
      </w:r>
      <w:r>
        <w:rPr>
          <w:rFonts w:ascii="Times New Roman" w:eastAsia="Times New Roman" w:hAnsi="Times New Roman" w:cs="Times New Roman"/>
          <w:color w:val="000000"/>
          <w:spacing w:val="0"/>
          <w:w w:val="100"/>
          <w:position w:val="0"/>
        </w:rPr>
        <w:t>136</w:t>
      </w:r>
      <w:r>
        <w:rPr>
          <w:color w:val="000000"/>
          <w:spacing w:val="0"/>
          <w:w w:val="100"/>
          <w:position w:val="0"/>
        </w:rPr>
        <w:t>号部分楼层区域，建筑面积约为</w:t>
      </w:r>
      <w:r>
        <w:rPr>
          <w:rFonts w:ascii="Times New Roman" w:eastAsia="Times New Roman" w:hAnsi="Times New Roman" w:cs="Times New Roman"/>
          <w:color w:val="000000"/>
          <w:spacing w:val="0"/>
          <w:w w:val="100"/>
          <w:position w:val="0"/>
        </w:rPr>
        <w:t>2,511.05</w:t>
      </w:r>
      <w:r>
        <w:rPr>
          <w:color w:val="000000"/>
          <w:spacing w:val="0"/>
          <w:w w:val="100"/>
          <w:position w:val="0"/>
        </w:rPr>
        <w:t>平方米，租赁期限为</w:t>
      </w:r>
      <w:r>
        <w:rPr>
          <w:rFonts w:ascii="Times New Roman" w:eastAsia="Times New Roman" w:hAnsi="Times New Roman" w:cs="Times New Roman"/>
          <w:color w:val="000000"/>
          <w:spacing w:val="0"/>
          <w:w w:val="100"/>
          <w:position w:val="0"/>
        </w:rPr>
        <w:t>5</w:t>
      </w:r>
      <w:r>
        <w:rPr>
          <w:color w:val="000000"/>
          <w:spacing w:val="0"/>
          <w:w w:val="100"/>
          <w:position w:val="0"/>
        </w:rPr>
        <w:t>年,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日，神州数字与新动力签订了《写字楼租赁合同补充协议》，根据原 合同的条件和条款向新动力承租建筑面积约</w:t>
      </w:r>
      <w:r>
        <w:rPr>
          <w:rFonts w:ascii="Times New Roman" w:eastAsia="Times New Roman" w:hAnsi="Times New Roman" w:cs="Times New Roman"/>
          <w:color w:val="000000"/>
          <w:spacing w:val="0"/>
          <w:w w:val="100"/>
          <w:position w:val="0"/>
        </w:rPr>
        <w:t>531.40</w:t>
      </w:r>
      <w:r>
        <w:rPr>
          <w:color w:val="000000"/>
          <w:spacing w:val="0"/>
          <w:w w:val="100"/>
          <w:position w:val="0"/>
        </w:rPr>
        <w:t>平方米，本补充协议生效后，神州数字最终租赁房屋建筑面积约为</w:t>
      </w:r>
      <w:r>
        <w:rPr>
          <w:rFonts w:ascii="Times New Roman" w:eastAsia="Times New Roman" w:hAnsi="Times New Roman" w:cs="Times New Roman"/>
          <w:color w:val="000000"/>
          <w:spacing w:val="0"/>
          <w:w w:val="100"/>
          <w:position w:val="0"/>
        </w:rPr>
        <w:t xml:space="preserve">3042.45 </w:t>
      </w:r>
      <w:r>
        <w:rPr>
          <w:color w:val="000000"/>
          <w:spacing w:val="0"/>
          <w:w w:val="100"/>
          <w:position w:val="0"/>
        </w:rPr>
        <w:t>平方米。本租赁合同租赁期限为</w:t>
      </w:r>
      <w:r>
        <w:rPr>
          <w:rFonts w:ascii="Times New Roman" w:eastAsia="Times New Roman" w:hAnsi="Times New Roman" w:cs="Times New Roman"/>
          <w:color w:val="000000"/>
          <w:spacing w:val="0"/>
          <w:w w:val="100"/>
          <w:position w:val="0"/>
        </w:rPr>
        <w:t>5</w:t>
      </w:r>
      <w:r>
        <w:rPr>
          <w:color w:val="000000"/>
          <w:spacing w:val="0"/>
          <w:w w:val="100"/>
          <w:position w:val="0"/>
        </w:rPr>
        <w:t>年，本次新增租赁面积后，租金累计约为</w:t>
      </w:r>
      <w:r>
        <w:rPr>
          <w:rFonts w:ascii="Times New Roman" w:eastAsia="Times New Roman" w:hAnsi="Times New Roman" w:cs="Times New Roman"/>
          <w:color w:val="000000"/>
          <w:spacing w:val="0"/>
          <w:w w:val="100"/>
          <w:position w:val="0"/>
        </w:rPr>
        <w:t>8,439.85</w:t>
      </w:r>
      <w:r>
        <w:rPr>
          <w:color w:val="000000"/>
          <w:spacing w:val="0"/>
          <w:w w:val="100"/>
          <w:position w:val="0"/>
        </w:rPr>
        <w:t>万元，占公司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年度经审计净利润的 </w:t>
      </w:r>
      <w:r>
        <w:rPr>
          <w:rStyle w:val="CharStyle65"/>
        </w:rPr>
        <w:t>22.47</w:t>
      </w:r>
      <w:r>
        <w:rPr>
          <w:rStyle w:val="CharStyle65"/>
          <w:rFonts w:ascii="SimSun" w:eastAsia="SimSun" w:hAnsi="SimSun" w:cs="SimSun"/>
        </w:rPr>
        <w:t>%。</w:t>
      </w:r>
    </w:p>
    <w:p>
      <w:pPr>
        <w:pStyle w:val="Style3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上述具体情况详见公司分别于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）及《证券时报》 披露的《关于子公司签署房屋租赁合同的公告》（公告编号：</w:t>
      </w:r>
      <w:r>
        <w:rPr>
          <w:rFonts w:ascii="Times New Roman" w:eastAsia="Times New Roman" w:hAnsi="Times New Roman" w:cs="Times New Roman"/>
          <w:color w:val="000000"/>
          <w:spacing w:val="0"/>
          <w:w w:val="100"/>
          <w:position w:val="0"/>
        </w:rPr>
        <w:t>2020-111</w:t>
      </w:r>
      <w:r>
        <w:rPr>
          <w:color w:val="000000"/>
          <w:spacing w:val="0"/>
          <w:w w:val="100"/>
          <w:position w:val="0"/>
        </w:rPr>
        <w:t>）</w:t>
      </w:r>
      <w:r>
        <w:rPr>
          <w:color w:val="000000"/>
          <w:spacing w:val="0"/>
          <w:w w:val="100"/>
          <w:position w:val="0"/>
        </w:rPr>
        <w:t>、《关于子公司签署房屋租赁合同补充协议的公告》 （公告编号：</w:t>
      </w:r>
      <w:r>
        <w:rPr>
          <w:rFonts w:ascii="Times New Roman" w:eastAsia="Times New Roman" w:hAnsi="Times New Roman" w:cs="Times New Roman"/>
          <w:color w:val="000000"/>
          <w:spacing w:val="0"/>
          <w:w w:val="100"/>
          <w:position w:val="0"/>
        </w:rPr>
        <w:t>2020-138</w:t>
      </w:r>
      <w:r>
        <w:rPr>
          <w:color w:val="000000"/>
          <w:spacing w:val="0"/>
          <w:w w:val="100"/>
          <w:position w:val="0"/>
        </w:rPr>
        <w:t>）。</w:t>
      </w:r>
    </w:p>
    <w:p>
      <w:pPr>
        <w:pStyle w:val="Style37"/>
        <w:keepNext w:val="0"/>
        <w:keepLines w:val="0"/>
        <w:widowControl w:val="0"/>
        <w:shd w:val="clear" w:color="auto" w:fill="auto"/>
        <w:bidi w:val="0"/>
        <w:spacing w:before="0" w:after="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41"/>
        <w:keepNext/>
        <w:keepLines/>
        <w:widowControl w:val="0"/>
        <w:shd w:val="clear" w:color="auto" w:fill="auto"/>
        <w:bidi w:val="0"/>
        <w:spacing w:before="0" w:after="26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、重大担保</w:t>
      </w:r>
      <w:bookmarkEnd w:id="385"/>
      <w:bookmarkEnd w:id="386"/>
      <w:bookmarkEnd w:id="388"/>
    </w:p>
    <w:p>
      <w:pPr>
        <w:pStyle w:val="Style37"/>
        <w:keepNext w:val="0"/>
        <w:keepLines w:val="0"/>
        <w:widowControl w:val="0"/>
        <w:shd w:val="clear" w:color="auto" w:fill="auto"/>
        <w:bidi w:val="0"/>
        <w:spacing w:before="0" w:after="380" w:line="33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9"/>
      <w:bookmarkEnd w:id="390"/>
      <w:bookmarkEnd w:id="392"/>
    </w:p>
    <w:p>
      <w:pPr>
        <w:pStyle w:val="Style26"/>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单位：万元</w:t>
      </w:r>
    </w:p>
    <w:tbl>
      <w:tblPr>
        <w:tblOverlap w:val="never"/>
        <w:jc w:val="center"/>
        <w:tblLayout w:type="fixed"/>
      </w:tblPr>
      <w:tblGrid>
        <w:gridCol w:w="1987"/>
        <w:gridCol w:w="1138"/>
        <w:gridCol w:w="850"/>
        <w:gridCol w:w="1133"/>
        <w:gridCol w:w="816"/>
        <w:gridCol w:w="1310"/>
        <w:gridCol w:w="768"/>
        <w:gridCol w:w="797"/>
        <w:gridCol w:w="787"/>
      </w:tblGrid>
      <w:tr>
        <w:trPr>
          <w:trHeight w:val="466"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tc>
      </w:tr>
      <w:tr>
        <w:trPr>
          <w:trHeight w:val="466"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9,897.56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北京中农信达信息技术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神州数码系统集成服务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15,889.98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87"/>
        <w:gridCol w:w="1138"/>
        <w:gridCol w:w="850"/>
        <w:gridCol w:w="1133"/>
        <w:gridCol w:w="816"/>
        <w:gridCol w:w="1310"/>
        <w:gridCol w:w="768"/>
        <w:gridCol w:w="797"/>
        <w:gridCol w:w="787"/>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Digital China Advanced</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Systems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神州数码信息系统有限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公司及其子公司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神州数码信息服务股份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神州数码系统集成服务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87"/>
        <w:gridCol w:w="1138"/>
        <w:gridCol w:w="850"/>
        <w:gridCol w:w="1133"/>
        <w:gridCol w:w="806"/>
        <w:gridCol w:w="1320"/>
        <w:gridCol w:w="768"/>
        <w:gridCol w:w="792"/>
        <w:gridCol w:w="792"/>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Digital China Advanced</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Systems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252,610.85</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560,349.33</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99,866.86</w:t>
            </w:r>
          </w:p>
        </w:tc>
      </w:tr>
      <w:tr>
        <w:trPr>
          <w:trHeight w:val="466"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神州数码信息服务股份 有限公司北京分公司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26,523.21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报告期内审批对子公司担保额度合计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35,547</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26,523.21</w:t>
            </w:r>
          </w:p>
        </w:tc>
      </w:tr>
      <w:tr>
        <w:trPr>
          <w:trHeight w:val="461"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288,157.85</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608,349.33</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126,390.07</w:t>
            </w:r>
          </w:p>
        </w:tc>
      </w:tr>
      <w:tr>
        <w:trPr>
          <w:trHeight w:val="461"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w:t>
            </w:r>
          </w:p>
        </w:tc>
      </w:tr>
      <w:tr>
        <w:trPr>
          <w:trHeight w:val="466"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6"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107,048.17</w:t>
            </w:r>
          </w:p>
        </w:tc>
      </w:tr>
      <w:tr>
        <w:trPr>
          <w:trHeight w:val="461"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75"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107,048.17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采用复合方式担保的具体情况说明：无</w:t>
      </w:r>
    </w:p>
    <w:p>
      <w:pPr>
        <w:pStyle w:val="Style41"/>
        <w:keepNext/>
        <w:keepLines/>
        <w:widowControl w:val="0"/>
        <w:numPr>
          <w:ilvl w:val="0"/>
          <w:numId w:val="11"/>
        </w:numPr>
        <w:shd w:val="clear" w:color="auto" w:fill="auto"/>
        <w:bidi w:val="0"/>
        <w:spacing w:before="0" w:after="380" w:line="240" w:lineRule="auto"/>
        <w:ind w:left="0" w:right="0" w:firstLine="0"/>
        <w:jc w:val="left"/>
      </w:pPr>
      <w:bookmarkStart w:id="393" w:name="bookmark393"/>
      <w:bookmarkStart w:id="394" w:name="bookmark394"/>
      <w:bookmarkStart w:id="395" w:name="bookmark395"/>
      <w:bookmarkStart w:id="396" w:name="bookmark396"/>
      <w:bookmarkEnd w:id="395"/>
      <w:r>
        <w:rPr>
          <w:color w:val="000000"/>
          <w:spacing w:val="0"/>
          <w:w w:val="100"/>
          <w:position w:val="0"/>
        </w:rPr>
        <w:t>违规对外担保情况</w:t>
      </w:r>
      <w:bookmarkEnd w:id="393"/>
      <w:bookmarkEnd w:id="394"/>
      <w:bookmarkEnd w:id="396"/>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41"/>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、委托他人进行现金资产管理情况</w:t>
      </w:r>
      <w:bookmarkEnd w:id="397"/>
      <w:bookmarkEnd w:id="398"/>
      <w:bookmarkEnd w:id="400"/>
    </w:p>
    <w:p>
      <w:pPr>
        <w:pStyle w:val="Style41"/>
        <w:keepNext/>
        <w:keepLines/>
        <w:widowControl w:val="0"/>
        <w:numPr>
          <w:ilvl w:val="0"/>
          <w:numId w:val="13"/>
        </w:numPr>
        <w:shd w:val="clear" w:color="auto" w:fill="auto"/>
        <w:bidi w:val="0"/>
        <w:spacing w:before="0" w:after="380" w:line="240" w:lineRule="auto"/>
        <w:ind w:left="0" w:right="0" w:firstLine="0"/>
        <w:jc w:val="left"/>
      </w:pPr>
      <w:bookmarkStart w:id="397" w:name="bookmark397"/>
      <w:bookmarkStart w:id="398" w:name="bookmark398"/>
      <w:bookmarkStart w:id="401" w:name="bookmark401"/>
      <w:bookmarkStart w:id="402" w:name="bookmark402"/>
      <w:bookmarkEnd w:id="401"/>
      <w:r>
        <w:rPr>
          <w:color w:val="000000"/>
          <w:spacing w:val="0"/>
          <w:w w:val="100"/>
          <w:position w:val="0"/>
        </w:rPr>
        <w:t>委托理财情况</w:t>
      </w:r>
      <w:bookmarkEnd w:id="397"/>
      <w:bookmarkEnd w:id="398"/>
      <w:bookmarkEnd w:id="402"/>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58"/>
        <w:gridCol w:w="1982"/>
        <w:gridCol w:w="1906"/>
        <w:gridCol w:w="1862"/>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46,020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70"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76,020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3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13"/>
        </w:numPr>
        <w:shd w:val="clear" w:color="auto" w:fill="auto"/>
        <w:bidi w:val="0"/>
        <w:spacing w:before="0" w:after="380" w:line="240" w:lineRule="auto"/>
        <w:ind w:left="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rPr>
        <w:t>委托贷款情况</w:t>
      </w:r>
      <w:bookmarkEnd w:id="403"/>
      <w:bookmarkEnd w:id="404"/>
      <w:bookmarkEnd w:id="406"/>
    </w:p>
    <w:p>
      <w:pPr>
        <w:pStyle w:val="Style3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41"/>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、日常经营重大合同</w:t>
      </w:r>
      <w:bookmarkEnd w:id="407"/>
      <w:bookmarkEnd w:id="408"/>
      <w:bookmarkEnd w:id="410"/>
    </w:p>
    <w:p>
      <w:pPr>
        <w:pStyle w:val="Style3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3"/>
        <w:gridCol w:w="1363"/>
        <w:gridCol w:w="1944"/>
        <w:gridCol w:w="1277"/>
        <w:gridCol w:w="955"/>
        <w:gridCol w:w="1358"/>
        <w:gridCol w:w="131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合同订立公司方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合同订立对方名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本期及累计确认 的销售收入金额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应收账款回款 情况</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神州数码系统集 成服务有限公司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广东美的制冷设 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《广东美的制冷设备有 限公司</w:t>
            </w:r>
            <w:r>
              <w:rPr>
                <w:rFonts w:ascii="Times New Roman" w:eastAsia="Times New Roman" w:hAnsi="Times New Roman" w:cs="Times New Roman"/>
                <w:color w:val="000000"/>
                <w:spacing w:val="0"/>
                <w:w w:val="100"/>
                <w:position w:val="0"/>
              </w:rPr>
              <w:t>IT</w:t>
            </w:r>
            <w:r>
              <w:rPr>
                <w:color w:val="000000"/>
                <w:spacing w:val="0"/>
                <w:w w:val="100"/>
                <w:position w:val="0"/>
              </w:rPr>
              <w:t>终端桌面服务 外包及服务项目框架合 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框架合同预估 合同总额为 </w:t>
            </w:r>
            <w:r>
              <w:rPr>
                <w:rFonts w:ascii="Times New Roman" w:eastAsia="Times New Roman" w:hAnsi="Times New Roman" w:cs="Times New Roman"/>
                <w:color w:val="000000"/>
                <w:spacing w:val="0"/>
                <w:w w:val="100"/>
                <w:position w:val="0"/>
              </w:rPr>
              <w:t xml:space="preserve">4,409.62 </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本期确认 </w:t>
            </w:r>
            <w:r>
              <w:rPr>
                <w:rFonts w:ascii="Times New Roman" w:eastAsia="Times New Roman" w:hAnsi="Times New Roman" w:cs="Times New Roman"/>
                <w:color w:val="000000"/>
                <w:spacing w:val="0"/>
                <w:w w:val="100"/>
                <w:position w:val="0"/>
              </w:rPr>
              <w:t xml:space="preserve">1,452.04 </w:t>
            </w:r>
            <w:r>
              <w:rPr>
                <w:color w:val="000000"/>
                <w:spacing w:val="0"/>
                <w:w w:val="100"/>
                <w:position w:val="0"/>
              </w:rPr>
              <w:t xml:space="preserve">万元， 累计确认 </w:t>
            </w:r>
            <w:r>
              <w:rPr>
                <w:rFonts w:ascii="Times New Roman" w:eastAsia="Times New Roman" w:hAnsi="Times New Roman" w:cs="Times New Roman"/>
                <w:color w:val="000000"/>
                <w:spacing w:val="0"/>
                <w:w w:val="100"/>
                <w:position w:val="0"/>
              </w:rPr>
              <w:t xml:space="preserve">4079.74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累计回款金额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4,245.50 </w:t>
            </w:r>
            <w:r>
              <w:rPr>
                <w:color w:val="000000"/>
                <w:spacing w:val="0"/>
                <w:w w:val="100"/>
                <w:position w:val="0"/>
              </w:rPr>
              <w:t>万元</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神州数码系统集 成服务有限公司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华为技术有限公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《网络与机房</w:t>
            </w:r>
            <w:r>
              <w:rPr>
                <w:rFonts w:ascii="Times New Roman" w:eastAsia="Times New Roman" w:hAnsi="Times New Roman" w:cs="Times New Roman"/>
                <w:color w:val="000000"/>
                <w:spacing w:val="0"/>
                <w:w w:val="100"/>
                <w:position w:val="0"/>
              </w:rPr>
              <w:t>IT</w:t>
            </w:r>
            <w:r>
              <w:rPr>
                <w:color w:val="000000"/>
                <w:spacing w:val="0"/>
                <w:w w:val="100"/>
                <w:position w:val="0"/>
              </w:rPr>
              <w:t>运维业 务外包合同采购说明书</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SOW</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本期确认 </w:t>
            </w:r>
            <w:r>
              <w:rPr>
                <w:rFonts w:ascii="Times New Roman" w:eastAsia="Times New Roman" w:hAnsi="Times New Roman" w:cs="Times New Roman"/>
                <w:color w:val="000000"/>
                <w:spacing w:val="0"/>
                <w:w w:val="100"/>
                <w:position w:val="0"/>
              </w:rPr>
              <w:t xml:space="preserve">1,759.47 </w:t>
            </w:r>
            <w:r>
              <w:rPr>
                <w:color w:val="000000"/>
                <w:spacing w:val="0"/>
                <w:w w:val="100"/>
                <w:position w:val="0"/>
              </w:rPr>
              <w:t xml:space="preserve">万元， 累计确认 </w:t>
            </w:r>
            <w:r>
              <w:rPr>
                <w:rFonts w:ascii="Times New Roman" w:eastAsia="Times New Roman" w:hAnsi="Times New Roman" w:cs="Times New Roman"/>
                <w:color w:val="000000"/>
                <w:spacing w:val="0"/>
                <w:w w:val="100"/>
                <w:position w:val="0"/>
              </w:rPr>
              <w:t xml:space="preserve">2,407.03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累计回款金额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2,454.14 </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373"/>
        <w:gridCol w:w="1363"/>
        <w:gridCol w:w="1944"/>
        <w:gridCol w:w="1277"/>
        <w:gridCol w:w="955"/>
        <w:gridCol w:w="1358"/>
        <w:gridCol w:w="1310"/>
      </w:tblGrid>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 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2018</w:t>
            </w:r>
            <w:r>
              <w:rPr>
                <w:color w:val="000000"/>
                <w:spacing w:val="0"/>
                <w:w w:val="100"/>
                <w:position w:val="0"/>
              </w:rPr>
              <w:t>年金税三期管理 决策支持系统升级完善 及运维和机构改革软件 服务项目（</w:t>
            </w:r>
            <w:r>
              <w:rPr>
                <w:rFonts w:ascii="Times New Roman" w:eastAsia="Times New Roman" w:hAnsi="Times New Roman" w:cs="Times New Roman"/>
                <w:color w:val="000000"/>
                <w:spacing w:val="0"/>
                <w:w w:val="100"/>
                <w:position w:val="0"/>
              </w:rPr>
              <w:t>1</w:t>
            </w:r>
            <w:r>
              <w:rPr>
                <w:color w:val="000000"/>
                <w:spacing w:val="0"/>
                <w:w w:val="100"/>
                <w:position w:val="0"/>
              </w:rPr>
              <w:t>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6,988.35 </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本期未确认收 入，累计确认 </w:t>
            </w:r>
            <w:r>
              <w:rPr>
                <w:rFonts w:ascii="Times New Roman" w:eastAsia="Times New Roman" w:hAnsi="Times New Roman" w:cs="Times New Roman"/>
                <w:color w:val="000000"/>
                <w:spacing w:val="0"/>
                <w:w w:val="100"/>
                <w:position w:val="0"/>
              </w:rPr>
              <w:t xml:space="preserve">6,988.35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累计回款金额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6,988.35 </w:t>
            </w:r>
            <w:r>
              <w:rPr>
                <w:color w:val="000000"/>
                <w:spacing w:val="0"/>
                <w:w w:val="100"/>
                <w:position w:val="0"/>
              </w:rPr>
              <w:t>万元</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 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《国家税务总局</w:t>
            </w:r>
            <w:r>
              <w:rPr>
                <w:rFonts w:ascii="Times New Roman" w:eastAsia="Times New Roman" w:hAnsi="Times New Roman" w:cs="Times New Roman"/>
                <w:color w:val="000000"/>
                <w:spacing w:val="0"/>
                <w:w w:val="100"/>
                <w:position w:val="0"/>
              </w:rPr>
              <w:t>2018</w:t>
            </w:r>
            <w:r>
              <w:rPr>
                <w:color w:val="000000"/>
                <w:spacing w:val="0"/>
                <w:w w:val="100"/>
                <w:position w:val="0"/>
              </w:rPr>
              <w:t>年 财税库银税收收入电子 缴库横向联网系统升级 完善及国税地税机构改 革软件服务项目中标公 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3,438.21 </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本期未确认收 入，累计确认 </w:t>
            </w:r>
            <w:r>
              <w:rPr>
                <w:rFonts w:ascii="Times New Roman" w:eastAsia="Times New Roman" w:hAnsi="Times New Roman" w:cs="Times New Roman"/>
                <w:color w:val="000000"/>
                <w:spacing w:val="0"/>
                <w:w w:val="100"/>
                <w:position w:val="0"/>
              </w:rPr>
              <w:t xml:space="preserve">3,438.21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累计回款金额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3,438.21 </w:t>
            </w: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 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2019</w:t>
            </w:r>
            <w:r>
              <w:rPr>
                <w:color w:val="000000"/>
                <w:spacing w:val="0"/>
                <w:w w:val="100"/>
                <w:position w:val="0"/>
              </w:rPr>
              <w:t>年金税三期管理 决策系统升级完善及运 维项目（第</w:t>
            </w:r>
            <w:r>
              <w:rPr>
                <w:rFonts w:ascii="Times New Roman" w:eastAsia="Times New Roman" w:hAnsi="Times New Roman" w:cs="Times New Roman"/>
                <w:color w:val="000000"/>
                <w:spacing w:val="0"/>
                <w:w w:val="100"/>
                <w:position w:val="0"/>
              </w:rPr>
              <w:t>1</w:t>
            </w:r>
            <w:r>
              <w:rPr>
                <w:color w:val="000000"/>
                <w:spacing w:val="0"/>
                <w:w w:val="100"/>
                <w:position w:val="0"/>
              </w:rPr>
              <w:t>包）合同书》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5,239.08 </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尚未验收，本期 及累计未确认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累计回款金额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1,571.72 </w:t>
            </w: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神州远景（西安） 科技发展有限公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烟台市大数据局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《烟台市大数据局烟台 苹果大数据中心项目建 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1,044.88 </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本期确认</w:t>
            </w:r>
            <w:r>
              <w:rPr>
                <w:rFonts w:ascii="Times New Roman" w:eastAsia="Times New Roman" w:hAnsi="Times New Roman" w:cs="Times New Roman"/>
                <w:color w:val="000000"/>
                <w:spacing w:val="0"/>
                <w:w w:val="100"/>
                <w:position w:val="0"/>
              </w:rPr>
              <w:t xml:space="preserve">825.08 </w:t>
            </w:r>
            <w:r>
              <w:rPr>
                <w:color w:val="000000"/>
                <w:spacing w:val="0"/>
                <w:w w:val="100"/>
                <w:position w:val="0"/>
              </w:rPr>
              <w:t xml:space="preserve">万元，累计确认 </w:t>
            </w:r>
            <w:r>
              <w:rPr>
                <w:rFonts w:ascii="Times New Roman" w:eastAsia="Times New Roman" w:hAnsi="Times New Roman" w:cs="Times New Roman"/>
                <w:color w:val="000000"/>
                <w:spacing w:val="0"/>
                <w:w w:val="100"/>
                <w:position w:val="0"/>
              </w:rPr>
              <w:t>825.08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累计回款金额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835.90</w:t>
            </w:r>
            <w:r>
              <w:rPr>
                <w:color w:val="000000"/>
                <w:spacing w:val="0"/>
                <w:w w:val="100"/>
                <w:position w:val="0"/>
              </w:rPr>
              <w:t>万元</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北京中农信达信 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陕西省农村信用 社联合社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《陕西信合银农直联管 理平台采购项目》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3,384</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w:t>
            </w:r>
          </w:p>
          <w:p>
            <w:pPr>
              <w:pStyle w:val="Style29"/>
              <w:keepNext w:val="0"/>
              <w:keepLines w:val="0"/>
              <w:widowControl w:val="0"/>
              <w:shd w:val="clear" w:color="auto" w:fill="auto"/>
              <w:bidi w:val="0"/>
              <w:spacing w:before="0" w:after="100" w:line="326" w:lineRule="exact"/>
              <w:ind w:left="0" w:right="0" w:firstLine="0"/>
              <w:jc w:val="left"/>
            </w:pPr>
            <w:r>
              <w:rPr>
                <w:rFonts w:ascii="Times New Roman" w:eastAsia="Times New Roman" w:hAnsi="Times New Roman" w:cs="Times New Roman"/>
                <w:color w:val="000000"/>
                <w:spacing w:val="0"/>
                <w:w w:val="100"/>
                <w:position w:val="0"/>
              </w:rPr>
              <w:t xml:space="preserve">2,123.89 </w:t>
            </w:r>
            <w:r>
              <w:rPr>
                <w:color w:val="000000"/>
                <w:spacing w:val="0"/>
                <w:w w:val="100"/>
                <w:position w:val="0"/>
              </w:rPr>
              <w:t>万元， 累计确认</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 xml:space="preserve">2,123.89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本项目回款</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3,104</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北京中农信达信 息技术有限公司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江苏省互联网农 业发展中心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《江苏省农村及政务信 息化业务整合优化项目》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1,396.5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尚未验收，本期 及累计未确认</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累计回款金额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516.71</w:t>
            </w:r>
            <w:r>
              <w:rPr>
                <w:color w:val="000000"/>
                <w:spacing w:val="0"/>
                <w:w w:val="100"/>
                <w:position w:val="0"/>
              </w:rPr>
              <w:t>万元</w:t>
            </w:r>
          </w:p>
        </w:tc>
      </w:tr>
    </w:tbl>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注：下属子公司北京旗硕基业科技股份有限公司于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日与农业部规划设计院设施农业研究所、北京华农农业 工程技术有限公司签署了《战略合作协议》，该协议系框架性协议，不涉及具体金额。</w:t>
      </w:r>
    </w:p>
    <w:p>
      <w:pPr>
        <w:pStyle w:val="Style37"/>
        <w:keepNext w:val="0"/>
        <w:keepLines w:val="0"/>
        <w:widowControl w:val="0"/>
        <w:shd w:val="clear" w:color="auto" w:fill="auto"/>
        <w:bidi w:val="0"/>
        <w:spacing w:before="0" w:after="120" w:line="360" w:lineRule="exact"/>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rPr>
        <w:t>30%</w:t>
      </w:r>
      <w:r>
        <w:rPr>
          <w:color w:val="000000"/>
          <w:spacing w:val="0"/>
          <w:w w:val="100"/>
          <w:position w:val="0"/>
        </w:rPr>
        <w:t>以上</w:t>
      </w:r>
    </w:p>
    <w:p>
      <w:pPr>
        <w:pStyle w:val="Style37"/>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0" w:line="377"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5</w:t>
      </w:r>
      <w:bookmarkEnd w:id="413"/>
      <w:r>
        <w:rPr>
          <w:color w:val="000000"/>
          <w:spacing w:val="0"/>
          <w:w w:val="100"/>
          <w:position w:val="0"/>
        </w:rPr>
        <w:t>、其他重大合同</w:t>
      </w:r>
      <w:bookmarkEnd w:id="411"/>
      <w:bookmarkEnd w:id="412"/>
      <w:bookmarkEnd w:id="414"/>
    </w:p>
    <w:p>
      <w:pPr>
        <w:pStyle w:val="Style37"/>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公司报告期不存在其他重大合同。</w:t>
      </w:r>
    </w:p>
    <w:p>
      <w:pPr>
        <w:pStyle w:val="Style35"/>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十八、社会责任情况</w:t>
      </w:r>
      <w:bookmarkEnd w:id="415"/>
      <w:bookmarkEnd w:id="416"/>
      <w:bookmarkEnd w:id="417"/>
    </w:p>
    <w:p>
      <w:pPr>
        <w:pStyle w:val="Style41"/>
        <w:keepNext/>
        <w:keepLines/>
        <w:widowControl w:val="0"/>
        <w:shd w:val="clear" w:color="auto" w:fill="auto"/>
        <w:tabs>
          <w:tab w:pos="368" w:val="left"/>
        </w:tabs>
        <w:bidi w:val="0"/>
        <w:spacing w:before="0" w:after="120" w:line="377"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w:t>
        <w:tab/>
        <w:t>履行社会责任情况</w:t>
      </w:r>
      <w:bookmarkEnd w:id="418"/>
      <w:bookmarkEnd w:id="419"/>
      <w:bookmarkEnd w:id="421"/>
    </w:p>
    <w:p>
      <w:pPr>
        <w:pStyle w:val="Style3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具体内容请查看公司于同日在巨潮资讯网刊登的《</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w:t>
      </w:r>
    </w:p>
    <w:p>
      <w:pPr>
        <w:pStyle w:val="Style41"/>
        <w:keepNext/>
        <w:keepLines/>
        <w:widowControl w:val="0"/>
        <w:shd w:val="clear" w:color="auto" w:fill="auto"/>
        <w:tabs>
          <w:tab w:pos="378" w:val="left"/>
        </w:tabs>
        <w:bidi w:val="0"/>
        <w:spacing w:before="0" w:after="120" w:line="377"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履行精准扶贫社会责任情况</w:t>
      </w:r>
      <w:bookmarkEnd w:id="422"/>
      <w:bookmarkEnd w:id="423"/>
      <w:bookmarkEnd w:id="425"/>
    </w:p>
    <w:p>
      <w:pPr>
        <w:pStyle w:val="Style37"/>
        <w:keepNext w:val="0"/>
        <w:keepLines w:val="0"/>
        <w:widowControl w:val="0"/>
        <w:shd w:val="clear" w:color="auto" w:fill="auto"/>
        <w:bidi w:val="0"/>
        <w:spacing w:before="0" w:after="240" w:line="314" w:lineRule="exact"/>
        <w:ind w:left="0" w:right="0" w:firstLine="440"/>
        <w:jc w:val="left"/>
      </w:pPr>
      <w:r>
        <w:rPr>
          <w:color w:val="000000"/>
          <w:spacing w:val="0"/>
          <w:w w:val="100"/>
          <w:position w:val="0"/>
        </w:rPr>
        <w:t>公司主要通过为脱贫攻坚各项工作提供信息化的数据平台、以大数据能力推动农产品产业升级优化等方式响应落实</w:t>
      </w:r>
      <w:r>
        <w:rPr>
          <w:rFonts w:ascii="Times New Roman" w:eastAsia="Times New Roman" w:hAnsi="Times New Roman" w:cs="Times New Roman"/>
          <w:color w:val="000000"/>
          <w:spacing w:val="0"/>
          <w:w w:val="100"/>
          <w:position w:val="0"/>
        </w:rPr>
        <w:t>“</w:t>
      </w:r>
      <w:r>
        <w:rPr>
          <w:color w:val="000000"/>
          <w:spacing w:val="0"/>
          <w:w w:val="100"/>
          <w:position w:val="0"/>
        </w:rPr>
        <w:t>精 准扶贫</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rFonts w:ascii="Times New Roman" w:eastAsia="Times New Roman" w:hAnsi="Times New Roman" w:cs="Times New Roman"/>
          <w:color w:val="000000"/>
          <w:spacing w:val="0"/>
          <w:w w:val="100"/>
          <w:position w:val="0"/>
        </w:rPr>
        <w:t>”</w:t>
      </w:r>
      <w:r>
        <w:rPr>
          <w:color w:val="000000"/>
          <w:spacing w:val="0"/>
          <w:w w:val="100"/>
          <w:position w:val="0"/>
        </w:rPr>
        <w:t>战略的社会责任，科技赋能精准扶贫的具体内容请查看公司于同日在巨潮资讯网刊登的《</w:t>
      </w:r>
      <w:r>
        <w:rPr>
          <w:rFonts w:ascii="Times New Roman" w:eastAsia="Times New Roman" w:hAnsi="Times New Roman" w:cs="Times New Roman"/>
          <w:color w:val="000000"/>
          <w:spacing w:val="0"/>
          <w:w w:val="100"/>
          <w:position w:val="0"/>
        </w:rPr>
        <w:t>2020</w:t>
      </w:r>
      <w:r>
        <w:rPr>
          <w:color w:val="000000"/>
          <w:spacing w:val="0"/>
          <w:w w:val="100"/>
          <w:position w:val="0"/>
        </w:rPr>
        <w:t>年度社 会责任报告》。</w:t>
      </w:r>
    </w:p>
    <w:p>
      <w:pPr>
        <w:pStyle w:val="Style41"/>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、环境保护相关的情况</w:t>
      </w:r>
      <w:bookmarkEnd w:id="426"/>
      <w:bookmarkEnd w:id="427"/>
      <w:bookmarkEnd w:id="429"/>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公司及下属子公司不属于排污企业。</w:t>
      </w:r>
    </w:p>
    <w:p>
      <w:pPr>
        <w:pStyle w:val="Style35"/>
        <w:keepNext/>
        <w:keepLines/>
        <w:widowControl w:val="0"/>
        <w:shd w:val="clear" w:color="auto" w:fill="auto"/>
        <w:bidi w:val="0"/>
        <w:spacing w:before="0" w:after="18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十九、其他重大事项的说明</w:t>
      </w:r>
      <w:bookmarkEnd w:id="430"/>
      <w:bookmarkEnd w:id="431"/>
      <w:bookmarkEnd w:id="432"/>
    </w:p>
    <w:p>
      <w:pPr>
        <w:pStyle w:val="Style37"/>
        <w:keepNext w:val="0"/>
        <w:keepLines w:val="0"/>
        <w:widowControl w:val="0"/>
        <w:shd w:val="clear" w:color="auto" w:fill="auto"/>
        <w:bidi w:val="0"/>
        <w:spacing w:before="0" w:after="40" w:line="40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40" w:line="401" w:lineRule="exact"/>
        <w:ind w:left="0" w:right="0" w:firstLine="440"/>
        <w:jc w:val="left"/>
      </w:pPr>
      <w:bookmarkStart w:id="433" w:name="bookmark433"/>
      <w:r>
        <w:rPr>
          <w:b/>
          <w:bCs/>
          <w:color w:val="000000"/>
          <w:spacing w:val="0"/>
          <w:w w:val="100"/>
          <w:position w:val="0"/>
        </w:rPr>
        <w:t>（</w:t>
      </w:r>
      <w:bookmarkEnd w:id="433"/>
      <w:r>
        <w:rPr>
          <w:b/>
          <w:bCs/>
          <w:color w:val="000000"/>
          <w:spacing w:val="0"/>
          <w:w w:val="100"/>
          <w:position w:val="0"/>
        </w:rPr>
        <w:t>一）关于下属子公司对外出售股票资产的情况说明</w:t>
      </w:r>
    </w:p>
    <w:p>
      <w:pPr>
        <w:pStyle w:val="Style37"/>
        <w:keepNext w:val="0"/>
        <w:keepLines w:val="0"/>
        <w:widowControl w:val="0"/>
        <w:shd w:val="clear" w:color="auto" w:fill="auto"/>
        <w:bidi w:val="0"/>
        <w:spacing w:before="0" w:after="40" w:line="405"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日，公司下属子公司</w:t>
      </w:r>
      <w:r>
        <w:rPr>
          <w:rFonts w:ascii="Times New Roman" w:eastAsia="Times New Roman" w:hAnsi="Times New Roman" w:cs="Times New Roman"/>
          <w:color w:val="000000"/>
          <w:spacing w:val="0"/>
          <w:w w:val="100"/>
          <w:position w:val="0"/>
        </w:rPr>
        <w:t>DCSL</w:t>
      </w:r>
      <w:r>
        <w:rPr>
          <w:color w:val="000000"/>
          <w:spacing w:val="0"/>
          <w:w w:val="100"/>
          <w:position w:val="0"/>
        </w:rPr>
        <w:t>通过鼎捷软件股份有限公司（以下简称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鼎捷软件</w:t>
      </w:r>
      <w:r>
        <w:rPr>
          <w:rFonts w:ascii="Times New Roman" w:eastAsia="Times New Roman" w:hAnsi="Times New Roman" w:cs="Times New Roman"/>
          <w:color w:val="000000"/>
          <w:spacing w:val="0"/>
          <w:w w:val="100"/>
          <w:position w:val="0"/>
        </w:rPr>
        <w:t>”</w:t>
      </w:r>
      <w:r>
        <w:rPr>
          <w:color w:val="000000"/>
          <w:spacing w:val="0"/>
          <w:w w:val="100"/>
          <w:position w:val="0"/>
        </w:rPr>
        <w:t>）披露了《关于公司持 股</w:t>
      </w:r>
      <w:r>
        <w:rPr>
          <w:rFonts w:ascii="Times New Roman" w:eastAsia="Times New Roman" w:hAnsi="Times New Roman" w:cs="Times New Roman"/>
          <w:color w:val="000000"/>
          <w:spacing w:val="0"/>
          <w:w w:val="100"/>
          <w:position w:val="0"/>
        </w:rPr>
        <w:t>5%</w:t>
      </w:r>
      <w:r>
        <w:rPr>
          <w:color w:val="000000"/>
          <w:spacing w:val="0"/>
          <w:w w:val="100"/>
          <w:position w:val="0"/>
        </w:rPr>
        <w:t>以上的股东减持股份计划的公告》，计划通过集中竞价交易方式减不超过鼎捷软件总股本的</w:t>
      </w:r>
      <w:r>
        <w:rPr>
          <w:rFonts w:ascii="Times New Roman" w:eastAsia="Times New Roman" w:hAnsi="Times New Roman" w:cs="Times New Roman"/>
          <w:color w:val="000000"/>
          <w:spacing w:val="0"/>
          <w:w w:val="100"/>
          <w:position w:val="0"/>
        </w:rPr>
        <w:t>2%</w:t>
      </w:r>
      <w:r>
        <w:rPr>
          <w:color w:val="000000"/>
          <w:spacing w:val="0"/>
          <w:w w:val="100"/>
          <w:position w:val="0"/>
        </w:rPr>
        <w:t>的股份，并于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日通过鼎捷软件披露了《关于持股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以上股东减持计划时间过半的进展公告》、《关于持股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 持计划实施完毕的公告》。</w:t>
      </w:r>
    </w:p>
    <w:p>
      <w:pPr>
        <w:pStyle w:val="Style37"/>
        <w:keepNext w:val="0"/>
        <w:keepLines w:val="0"/>
        <w:widowControl w:val="0"/>
        <w:shd w:val="clear" w:color="auto" w:fill="auto"/>
        <w:bidi w:val="0"/>
        <w:spacing w:before="0" w:after="40" w:line="400" w:lineRule="exact"/>
        <w:ind w:left="0" w:right="0" w:firstLine="440"/>
        <w:jc w:val="left"/>
      </w:pPr>
      <w:r>
        <w:rPr>
          <w:rFonts w:ascii="Times New Roman" w:eastAsia="Times New Roman" w:hAnsi="Times New Roman" w:cs="Times New Roman"/>
          <w:color w:val="000000"/>
          <w:spacing w:val="0"/>
          <w:w w:val="100"/>
          <w:position w:val="0"/>
        </w:rPr>
        <w:t>DCSL</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日通过鼎捷软件披露了《关于公司持股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以上的股东减持股份计划的公告》，计划通过集中 竞价交易方式减不超过鼎捷软件总股本的</w:t>
      </w:r>
      <w:r>
        <w:rPr>
          <w:rFonts w:ascii="Times New Roman" w:eastAsia="Times New Roman" w:hAnsi="Times New Roman" w:cs="Times New Roman"/>
          <w:color w:val="000000"/>
          <w:spacing w:val="0"/>
          <w:w w:val="100"/>
          <w:position w:val="0"/>
        </w:rPr>
        <w:t>2%</w:t>
      </w:r>
      <w:r>
        <w:rPr>
          <w:color w:val="000000"/>
          <w:spacing w:val="0"/>
          <w:w w:val="100"/>
          <w:position w:val="0"/>
        </w:rPr>
        <w:t>的股份。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日，公司分别召开第八届董事会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 二次临时会议、</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年第一次临时股东大会审议通过了《关于下属子公司拟以协议转让方式转让鼎捷软件股份的议案》， </w:t>
      </w:r>
      <w:r>
        <w:rPr>
          <w:rFonts w:ascii="Times New Roman" w:eastAsia="Times New Roman" w:hAnsi="Times New Roman" w:cs="Times New Roman"/>
          <w:color w:val="000000"/>
          <w:spacing w:val="0"/>
          <w:w w:val="100"/>
          <w:position w:val="0"/>
        </w:rPr>
        <w:t>DCSL</w:t>
      </w:r>
      <w:r>
        <w:rPr>
          <w:color w:val="000000"/>
          <w:spacing w:val="0"/>
          <w:w w:val="100"/>
          <w:position w:val="0"/>
        </w:rPr>
        <w:t>拟将持有的鼎捷软件无限售流通股</w:t>
      </w:r>
      <w:r>
        <w:rPr>
          <w:rFonts w:ascii="Times New Roman" w:eastAsia="Times New Roman" w:hAnsi="Times New Roman" w:cs="Times New Roman"/>
          <w:color w:val="000000"/>
          <w:spacing w:val="0"/>
          <w:w w:val="100"/>
          <w:position w:val="0"/>
        </w:rPr>
        <w:t>39,971,265</w:t>
      </w:r>
      <w:r>
        <w:rPr>
          <w:color w:val="000000"/>
          <w:spacing w:val="0"/>
          <w:w w:val="100"/>
          <w:position w:val="0"/>
        </w:rPr>
        <w:t>股以协议转让的方式全部转让给富士康工业互联网股份有限公司（以下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工业富联</w:t>
      </w:r>
      <w:r>
        <w:rPr>
          <w:rFonts w:ascii="Times New Roman" w:eastAsia="Times New Roman" w:hAnsi="Times New Roman" w:cs="Times New Roman"/>
          <w:color w:val="000000"/>
          <w:spacing w:val="0"/>
          <w:w w:val="100"/>
          <w:position w:val="0"/>
        </w:rPr>
        <w:t>”</w:t>
      </w:r>
      <w:r>
        <w:rPr>
          <w:color w:val="000000"/>
          <w:spacing w:val="0"/>
          <w:w w:val="100"/>
          <w:position w:val="0"/>
        </w:rPr>
        <w:t>），转让价格为</w:t>
      </w:r>
      <w:r>
        <w:rPr>
          <w:rFonts w:ascii="Times New Roman" w:eastAsia="Times New Roman" w:hAnsi="Times New Roman" w:cs="Times New Roman"/>
          <w:color w:val="000000"/>
          <w:spacing w:val="0"/>
          <w:w w:val="100"/>
          <w:position w:val="0"/>
        </w:rPr>
        <w:t>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股，股份转让价款总计人民币</w:t>
      </w:r>
      <w:r>
        <w:rPr>
          <w:rFonts w:ascii="Times New Roman" w:eastAsia="Times New Roman" w:hAnsi="Times New Roman" w:cs="Times New Roman"/>
          <w:color w:val="000000"/>
          <w:spacing w:val="0"/>
          <w:w w:val="100"/>
          <w:position w:val="0"/>
        </w:rPr>
        <w:t>559,597,710</w:t>
      </w:r>
      <w:r>
        <w:rPr>
          <w:color w:val="000000"/>
          <w:spacing w:val="0"/>
          <w:w w:val="100"/>
          <w:position w:val="0"/>
        </w:rPr>
        <w:t>元，具体内容详见公司于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日披露的《关于下属子公司拟以协议转让方式转让鼎捷软件股份的公告》（公告编号：</w:t>
      </w:r>
      <w:r>
        <w:rPr>
          <w:rFonts w:ascii="Times New Roman" w:eastAsia="Times New Roman" w:hAnsi="Times New Roman" w:cs="Times New Roman"/>
          <w:color w:val="000000"/>
          <w:spacing w:val="0"/>
          <w:w w:val="100"/>
          <w:position w:val="0"/>
        </w:rPr>
        <w:t>2020-058</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年度第一次 临时股东大会决议公告》（公告编号：</w:t>
      </w:r>
      <w:r>
        <w:rPr>
          <w:rFonts w:ascii="Times New Roman" w:eastAsia="Times New Roman" w:hAnsi="Times New Roman" w:cs="Times New Roman"/>
          <w:color w:val="000000"/>
          <w:spacing w:val="0"/>
          <w:w w:val="100"/>
          <w:position w:val="0"/>
        </w:rPr>
        <w:t>2020-064</w:t>
      </w:r>
      <w:r>
        <w:rPr>
          <w:color w:val="000000"/>
          <w:spacing w:val="0"/>
          <w:w w:val="100"/>
          <w:position w:val="0"/>
        </w:rPr>
        <w:t>）。鉴于</w:t>
      </w:r>
      <w:r>
        <w:rPr>
          <w:rFonts w:ascii="Times New Roman" w:eastAsia="Times New Roman" w:hAnsi="Times New Roman" w:cs="Times New Roman"/>
          <w:color w:val="000000"/>
          <w:spacing w:val="0"/>
          <w:w w:val="100"/>
          <w:position w:val="0"/>
        </w:rPr>
        <w:t>DCSL</w:t>
      </w:r>
      <w:r>
        <w:rPr>
          <w:color w:val="000000"/>
          <w:spacing w:val="0"/>
          <w:w w:val="100"/>
          <w:position w:val="0"/>
        </w:rPr>
        <w:t>将持有的鼎捷软件全部股份协议转让给工业富联，因此</w:t>
      </w:r>
      <w:r>
        <w:rPr>
          <w:rFonts w:ascii="Times New Roman" w:eastAsia="Times New Roman" w:hAnsi="Times New Roman" w:cs="Times New Roman"/>
          <w:color w:val="000000"/>
          <w:spacing w:val="0"/>
          <w:w w:val="100"/>
          <w:position w:val="0"/>
        </w:rPr>
        <w:t xml:space="preserve">DCSL </w:t>
      </w:r>
      <w:r>
        <w:rPr>
          <w:color w:val="000000"/>
          <w:spacing w:val="0"/>
          <w:w w:val="100"/>
          <w:position w:val="0"/>
        </w:rPr>
        <w:t>将不再占用</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日披露的减持计划的减持额度。</w:t>
      </w:r>
    </w:p>
    <w:p>
      <w:pPr>
        <w:pStyle w:val="Style37"/>
        <w:keepNext w:val="0"/>
        <w:keepLines w:val="0"/>
        <w:widowControl w:val="0"/>
        <w:shd w:val="clear" w:color="auto" w:fill="auto"/>
        <w:bidi w:val="0"/>
        <w:spacing w:before="0" w:after="40" w:line="40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日，公司披露了《关于下属子公司协议转让鼎捷软件股份的进展公告》（公告编号：</w:t>
      </w:r>
      <w:r>
        <w:rPr>
          <w:rFonts w:ascii="Times New Roman" w:eastAsia="Times New Roman" w:hAnsi="Times New Roman" w:cs="Times New Roman"/>
          <w:color w:val="000000"/>
          <w:spacing w:val="0"/>
          <w:w w:val="100"/>
          <w:position w:val="0"/>
        </w:rPr>
        <w:t>2020-110</w:t>
      </w:r>
      <w:r>
        <w:rPr>
          <w:color w:val="000000"/>
          <w:spacing w:val="0"/>
          <w:w w:val="100"/>
          <w:position w:val="0"/>
        </w:rPr>
        <w:t>）</w:t>
      </w:r>
      <w:r>
        <w:rPr>
          <w:color w:val="000000"/>
          <w:spacing w:val="0"/>
          <w:w w:val="100"/>
          <w:position w:val="0"/>
        </w:rPr>
        <w:t>，国家 市场监督管理总局出具了《经营者集中反垄断审查不予禁止决定书》（反垄断审查决定〔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442</w:t>
      </w:r>
      <w:r>
        <w:rPr>
          <w:color w:val="000000"/>
          <w:spacing w:val="0"/>
          <w:w w:val="100"/>
          <w:position w:val="0"/>
        </w:rPr>
        <w:t>号），决定对富士康工业 互联网股份有限公司收购鼎捷软件股份有限公司股权案不予禁止。</w:t>
      </w:r>
    </w:p>
    <w:p>
      <w:pPr>
        <w:pStyle w:val="Style37"/>
        <w:keepNext w:val="0"/>
        <w:keepLines w:val="0"/>
        <w:widowControl w:val="0"/>
        <w:shd w:val="clear" w:color="auto" w:fill="auto"/>
        <w:bidi w:val="0"/>
        <w:spacing w:before="0" w:after="40" w:line="402"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日，为进一步满足国家外汇管理政策与实务要求，公司召开第八届董事会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年第六次临时会议审 议通过了《关于下属子公司签署</w:t>
      </w:r>
      <w:r>
        <w:rPr>
          <w:color w:val="000000"/>
          <w:spacing w:val="0"/>
          <w:w w:val="100"/>
          <w:position w:val="0"/>
        </w:rPr>
        <w:t>〈</w:t>
      </w:r>
      <w:r>
        <w:rPr>
          <w:color w:val="000000"/>
          <w:spacing w:val="0"/>
          <w:w w:val="100"/>
          <w:position w:val="0"/>
        </w:rPr>
        <w:t>股份买卖协议的补充协议</w:t>
      </w:r>
      <w:r>
        <w:rPr>
          <w:color w:val="000000"/>
          <w:spacing w:val="0"/>
          <w:w w:val="100"/>
          <w:position w:val="0"/>
        </w:rPr>
        <w:t>〉</w:t>
      </w:r>
      <w:r>
        <w:rPr>
          <w:color w:val="000000"/>
          <w:spacing w:val="0"/>
          <w:w w:val="100"/>
          <w:position w:val="0"/>
        </w:rPr>
        <w:t>的议案》，同日各方签署了《关于鼎捷软件股份有限公司之股份 买卖协议的补充协议》。具体情况详见公司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日披露的《关于下属子公司签署</w:t>
      </w:r>
      <w:r>
        <w:rPr>
          <w:color w:val="000000"/>
          <w:spacing w:val="0"/>
          <w:w w:val="100"/>
          <w:position w:val="0"/>
        </w:rPr>
        <w:t>〈</w:t>
      </w:r>
      <w:r>
        <w:rPr>
          <w:color w:val="000000"/>
          <w:spacing w:val="0"/>
          <w:w w:val="100"/>
          <w:position w:val="0"/>
        </w:rPr>
        <w:t>股份买卖协议的补充协议</w:t>
      </w:r>
      <w:r>
        <w:rPr>
          <w:rFonts w:ascii="Times New Roman" w:eastAsia="Times New Roman" w:hAnsi="Times New Roman" w:cs="Times New Roman"/>
          <w:color w:val="000000"/>
          <w:spacing w:val="0"/>
          <w:w w:val="100"/>
          <w:position w:val="0"/>
        </w:rPr>
        <w:t>＞</w:t>
      </w:r>
      <w:r>
        <w:rPr>
          <w:color w:val="000000"/>
          <w:spacing w:val="0"/>
          <w:w w:val="100"/>
          <w:position w:val="0"/>
        </w:rPr>
        <w:t>的 公告》（公告编号：</w:t>
      </w:r>
      <w:r>
        <w:rPr>
          <w:rFonts w:ascii="Times New Roman" w:eastAsia="Times New Roman" w:hAnsi="Times New Roman" w:cs="Times New Roman"/>
          <w:color w:val="000000"/>
          <w:spacing w:val="0"/>
          <w:w w:val="100"/>
          <w:position w:val="0"/>
        </w:rPr>
        <w:t>2020-115</w:t>
      </w:r>
      <w:r>
        <w:rPr>
          <w:color w:val="000000"/>
          <w:spacing w:val="0"/>
          <w:w w:val="100"/>
          <w:position w:val="0"/>
        </w:rPr>
        <w:t>）。</w:t>
      </w:r>
    </w:p>
    <w:p>
      <w:pPr>
        <w:pStyle w:val="Style37"/>
        <w:keepNext w:val="0"/>
        <w:keepLines w:val="0"/>
        <w:widowControl w:val="0"/>
        <w:shd w:val="clear" w:color="auto" w:fill="auto"/>
        <w:bidi w:val="0"/>
        <w:spacing w:before="0" w:after="40" w:line="39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日，公司披露了《关于下属子公司协议转让鼎捷软件股份的进展公告》（公告编号：</w:t>
      </w:r>
      <w:r>
        <w:rPr>
          <w:rFonts w:ascii="Times New Roman" w:eastAsia="Times New Roman" w:hAnsi="Times New Roman" w:cs="Times New Roman"/>
          <w:color w:val="000000"/>
          <w:spacing w:val="0"/>
          <w:w w:val="100"/>
          <w:position w:val="0"/>
        </w:rPr>
        <w:t>2020-123</w:t>
      </w:r>
      <w:r>
        <w:rPr>
          <w:color w:val="000000"/>
          <w:spacing w:val="0"/>
          <w:w w:val="100"/>
          <w:position w:val="0"/>
        </w:rPr>
        <w:t>）,</w:t>
      </w:r>
      <w:r>
        <w:rPr>
          <w:color w:val="000000"/>
          <w:spacing w:val="0"/>
          <w:w w:val="100"/>
          <w:position w:val="0"/>
        </w:rPr>
        <w:t>深圳证 券交易所已出具《上市公司股份转让申请确认书》〔</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247</w:t>
      </w:r>
      <w:r>
        <w:rPr>
          <w:color w:val="000000"/>
          <w:spacing w:val="0"/>
          <w:w w:val="100"/>
          <w:position w:val="0"/>
        </w:rPr>
        <w:t>号），对上述股份转让予以确认。</w:t>
      </w:r>
    </w:p>
    <w:p>
      <w:pPr>
        <w:pStyle w:val="Style37"/>
        <w:keepNext w:val="0"/>
        <w:keepLines w:val="0"/>
        <w:widowControl w:val="0"/>
        <w:shd w:val="clear" w:color="auto" w:fill="auto"/>
        <w:bidi w:val="0"/>
        <w:spacing w:before="0" w:after="240" w:line="401"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日，公司披露了《关于下属子公司协议转让鼎捷软件股份过户完成的公告》（公告编号：</w:t>
      </w:r>
      <w:r>
        <w:rPr>
          <w:rFonts w:ascii="Times New Roman" w:eastAsia="Times New Roman" w:hAnsi="Times New Roman" w:cs="Times New Roman"/>
          <w:color w:val="000000"/>
          <w:spacing w:val="0"/>
          <w:w w:val="100"/>
          <w:position w:val="0"/>
        </w:rPr>
        <w:t>2020-132</w:t>
      </w:r>
      <w:r>
        <w:rPr>
          <w:color w:val="000000"/>
          <w:spacing w:val="0"/>
          <w:w w:val="100"/>
          <w:position w:val="0"/>
        </w:rPr>
        <w:t xml:space="preserve">）, </w:t>
      </w:r>
      <w:r>
        <w:rPr>
          <w:rFonts w:ascii="Times New Roman" w:eastAsia="Times New Roman" w:hAnsi="Times New Roman" w:cs="Times New Roman"/>
          <w:color w:val="000000"/>
          <w:spacing w:val="0"/>
          <w:w w:val="100"/>
          <w:position w:val="0"/>
        </w:rPr>
        <w:t>DCSL</w:t>
      </w:r>
      <w:r>
        <w:rPr>
          <w:color w:val="000000"/>
          <w:spacing w:val="0"/>
          <w:w w:val="100"/>
          <w:position w:val="0"/>
        </w:rPr>
        <w:t>与工业富联于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日完成上述协议转让股份的过户登记手续。截至本公告披露日，</w:t>
      </w:r>
      <w:r>
        <w:rPr>
          <w:rFonts w:ascii="Times New Roman" w:eastAsia="Times New Roman" w:hAnsi="Times New Roman" w:cs="Times New Roman"/>
          <w:color w:val="000000"/>
          <w:spacing w:val="0"/>
          <w:w w:val="100"/>
          <w:position w:val="0"/>
        </w:rPr>
        <w:t>DCSL</w:t>
      </w:r>
      <w:r>
        <w:rPr>
          <w:color w:val="000000"/>
          <w:spacing w:val="0"/>
          <w:w w:val="100"/>
          <w:position w:val="0"/>
        </w:rPr>
        <w:t>不持有鼎捷软 件股份。</w:t>
      </w:r>
    </w:p>
    <w:p>
      <w:pPr>
        <w:pStyle w:val="Style37"/>
        <w:keepNext w:val="0"/>
        <w:keepLines w:val="0"/>
        <w:widowControl w:val="0"/>
        <w:shd w:val="clear" w:color="auto" w:fill="auto"/>
        <w:bidi w:val="0"/>
        <w:spacing w:before="0" w:after="80" w:line="240" w:lineRule="auto"/>
        <w:ind w:left="0" w:right="0" w:firstLine="540"/>
        <w:jc w:val="left"/>
      </w:pPr>
      <w:bookmarkStart w:id="434" w:name="bookmark434"/>
      <w:r>
        <w:rPr>
          <w:b/>
          <w:bCs/>
          <w:color w:val="000000"/>
          <w:spacing w:val="0"/>
          <w:w w:val="100"/>
          <w:position w:val="0"/>
        </w:rPr>
        <w:t>（</w:t>
      </w:r>
      <w:bookmarkEnd w:id="434"/>
      <w:r>
        <w:rPr>
          <w:b/>
          <w:bCs/>
          <w:color w:val="000000"/>
          <w:spacing w:val="0"/>
          <w:w w:val="100"/>
          <w:position w:val="0"/>
        </w:rPr>
        <w:t>二）扶贫捐赠相关情况说明</w:t>
      </w:r>
    </w:p>
    <w:p>
      <w:pPr>
        <w:pStyle w:val="Style37"/>
        <w:keepNext w:val="0"/>
        <w:keepLines w:val="0"/>
        <w:widowControl w:val="0"/>
        <w:shd w:val="clear" w:color="auto" w:fill="auto"/>
        <w:tabs>
          <w:tab w:pos="722" w:val="left"/>
        </w:tabs>
        <w:bidi w:val="0"/>
        <w:spacing w:before="0" w:after="40" w:line="400" w:lineRule="exact"/>
        <w:ind w:left="0" w:right="0" w:firstLine="440"/>
        <w:jc w:val="both"/>
      </w:pPr>
      <w:bookmarkStart w:id="435" w:name="bookmark435"/>
      <w:r>
        <w:rPr>
          <w:rFonts w:ascii="Times New Roman" w:eastAsia="Times New Roman" w:hAnsi="Times New Roman" w:cs="Times New Roman"/>
          <w:color w:val="000000"/>
          <w:spacing w:val="0"/>
          <w:w w:val="100"/>
          <w:position w:val="0"/>
        </w:rPr>
        <w:t>1</w:t>
      </w:r>
      <w:bookmarkEnd w:id="435"/>
      <w:r>
        <w:rPr>
          <w:color w:val="000000"/>
          <w:spacing w:val="0"/>
          <w:w w:val="100"/>
          <w:position w:val="0"/>
        </w:rPr>
        <w:t>、</w:t>
        <w:tab/>
        <w:t>关于对外捐赠助力湖北疫后重振脱贫攻坚的进展情况</w:t>
      </w:r>
    </w:p>
    <w:p>
      <w:pPr>
        <w:pStyle w:val="Style37"/>
        <w:keepNext w:val="0"/>
        <w:keepLines w:val="0"/>
        <w:widowControl w:val="0"/>
        <w:shd w:val="clear" w:color="auto" w:fill="auto"/>
        <w:bidi w:val="0"/>
        <w:spacing w:before="0" w:after="40" w:line="400" w:lineRule="exact"/>
        <w:ind w:left="0" w:right="0" w:firstLine="440"/>
        <w:jc w:val="both"/>
      </w:pPr>
      <w:r>
        <w:rPr>
          <w:color w:val="000000"/>
          <w:spacing w:val="0"/>
          <w:w w:val="100"/>
          <w:position w:val="0"/>
        </w:rPr>
        <w:t>为积极履行上市公司的社会责任，充分体现家国担当，助力湖北渡过难关，公司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日召开的第八届董事 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年第一次临时会议审议通过了《关于对外捐赠助力湖北疫后重振脱贫攻坚的议案》，同意由公司或控股子公司捐赠人 民币</w:t>
      </w:r>
      <w:r>
        <w:rPr>
          <w:rFonts w:ascii="Times New Roman" w:eastAsia="Times New Roman" w:hAnsi="Times New Roman" w:cs="Times New Roman"/>
          <w:color w:val="000000"/>
          <w:spacing w:val="0"/>
          <w:w w:val="100"/>
          <w:position w:val="0"/>
        </w:rPr>
        <w:t>100</w:t>
      </w:r>
      <w:r>
        <w:rPr>
          <w:color w:val="000000"/>
          <w:spacing w:val="0"/>
          <w:w w:val="100"/>
          <w:position w:val="0"/>
        </w:rPr>
        <w:t>万元。具体内容详见公司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日披露的《关于对外捐赠助力湖北疫后重振脱贫攻坚的公告》。报告期内， 公司已完成实际捐赠。</w:t>
      </w:r>
    </w:p>
    <w:p>
      <w:pPr>
        <w:pStyle w:val="Style37"/>
        <w:keepNext w:val="0"/>
        <w:keepLines w:val="0"/>
        <w:widowControl w:val="0"/>
        <w:shd w:val="clear" w:color="auto" w:fill="auto"/>
        <w:tabs>
          <w:tab w:pos="741" w:val="left"/>
        </w:tabs>
        <w:bidi w:val="0"/>
        <w:spacing w:before="0" w:after="40" w:line="400" w:lineRule="exact"/>
        <w:ind w:left="0" w:right="0" w:firstLine="440"/>
        <w:jc w:val="both"/>
      </w:pPr>
      <w:bookmarkStart w:id="436" w:name="bookmark436"/>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关于向南京市高淳区慈善总会捐赠抗洪赈灾款的进展情况</w:t>
      </w:r>
    </w:p>
    <w:p>
      <w:pPr>
        <w:pStyle w:val="Style37"/>
        <w:keepNext w:val="0"/>
        <w:keepLines w:val="0"/>
        <w:widowControl w:val="0"/>
        <w:shd w:val="clear" w:color="auto" w:fill="auto"/>
        <w:bidi w:val="0"/>
        <w:spacing w:before="0" w:after="40" w:line="40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年因受强降水及天文大潮等影响，南京市高淳区及周边地区遭受严重损失。为切实履行上市公司社会责任、回馈 社会，以实际行动支持抗洪赈灾工作，公司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年第四次临时会议审议通过了《关 于向南京市高淳区慈善总会捐赠抗洪赈灾款的议案》，同意由公司或控股子公司以自有资金向南京市高淳区慈善总会捐赠人 民币</w:t>
      </w:r>
      <w:r>
        <w:rPr>
          <w:rFonts w:ascii="Times New Roman" w:eastAsia="Times New Roman" w:hAnsi="Times New Roman" w:cs="Times New Roman"/>
          <w:color w:val="000000"/>
          <w:spacing w:val="0"/>
          <w:w w:val="100"/>
          <w:position w:val="0"/>
        </w:rPr>
        <w:t>20</w:t>
      </w:r>
      <w:r>
        <w:rPr>
          <w:color w:val="000000"/>
          <w:spacing w:val="0"/>
          <w:w w:val="100"/>
          <w:position w:val="0"/>
        </w:rPr>
        <w:t>万元。具体内容详见公司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日披露的《关于向南京市高淳区慈善总会捐赠抗洪赈灾款的公告》。报告期 内，公司已完成实际捐赠。</w:t>
      </w:r>
    </w:p>
    <w:p>
      <w:pPr>
        <w:pStyle w:val="Style37"/>
        <w:keepNext w:val="0"/>
        <w:keepLines w:val="0"/>
        <w:widowControl w:val="0"/>
        <w:shd w:val="clear" w:color="auto" w:fill="auto"/>
        <w:tabs>
          <w:tab w:pos="741" w:val="left"/>
        </w:tabs>
        <w:bidi w:val="0"/>
        <w:spacing w:before="0" w:after="40" w:line="400" w:lineRule="exact"/>
        <w:ind w:left="0" w:right="0" w:firstLine="440"/>
        <w:jc w:val="both"/>
      </w:pPr>
      <w:bookmarkStart w:id="437" w:name="bookmark437"/>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关于向东润公益基金会捐赠的进展情况</w:t>
      </w:r>
    </w:p>
    <w:p>
      <w:pPr>
        <w:pStyle w:val="Style37"/>
        <w:keepNext w:val="0"/>
        <w:keepLines w:val="0"/>
        <w:widowControl w:val="0"/>
        <w:shd w:val="clear" w:color="auto" w:fill="auto"/>
        <w:bidi w:val="0"/>
        <w:spacing w:before="0" w:after="220" w:line="398" w:lineRule="exact"/>
        <w:ind w:left="0" w:right="0" w:firstLine="440"/>
        <w:jc w:val="both"/>
      </w:pPr>
      <w:r>
        <w:rPr>
          <w:color w:val="000000"/>
          <w:spacing w:val="0"/>
          <w:w w:val="100"/>
          <w:position w:val="0"/>
        </w:rPr>
        <w:t>为帮助贫困偏远地区的青少年提供更公平的教育机会，帮助贫困学生更好地成长与发展，并为国家科学人才培育做出 贡献，公司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年第七次临时会议审议通过了《关于向东润公益基金会捐赠的议案》, 同意由公司或控股子公司以自有资金向东润公益基金会捐赠人民币</w:t>
      </w:r>
      <w:r>
        <w:rPr>
          <w:rFonts w:ascii="Times New Roman" w:eastAsia="Times New Roman" w:hAnsi="Times New Roman" w:cs="Times New Roman"/>
          <w:color w:val="000000"/>
          <w:spacing w:val="0"/>
          <w:w w:val="100"/>
          <w:position w:val="0"/>
        </w:rPr>
        <w:t>50</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日披露的 《关于向东润公益基金会捐赠的公告》。报告期内，公司已完成实际捐赠。</w:t>
      </w:r>
    </w:p>
    <w:p>
      <w:pPr>
        <w:pStyle w:val="Style37"/>
        <w:keepNext w:val="0"/>
        <w:keepLines w:val="0"/>
        <w:widowControl w:val="0"/>
        <w:shd w:val="clear" w:color="auto" w:fill="auto"/>
        <w:bidi w:val="0"/>
        <w:spacing w:before="0" w:after="220" w:line="240" w:lineRule="auto"/>
        <w:ind w:left="0" w:right="0" w:firstLine="440"/>
        <w:jc w:val="both"/>
      </w:pPr>
      <w:bookmarkStart w:id="438" w:name="bookmark438"/>
      <w:r>
        <w:rPr>
          <w:b/>
          <w:bCs/>
          <w:color w:val="000000"/>
          <w:spacing w:val="0"/>
          <w:w w:val="100"/>
          <w:position w:val="0"/>
        </w:rPr>
        <w:t>（</w:t>
      </w:r>
      <w:bookmarkEnd w:id="438"/>
      <w:r>
        <w:rPr>
          <w:b/>
          <w:bCs/>
          <w:color w:val="000000"/>
          <w:spacing w:val="0"/>
          <w:w w:val="100"/>
          <w:position w:val="0"/>
        </w:rPr>
        <w:t>三）其他重要事项</w:t>
      </w:r>
    </w:p>
    <w:p>
      <w:pPr>
        <w:pStyle w:val="Style37"/>
        <w:keepNext w:val="0"/>
        <w:keepLines w:val="0"/>
        <w:widowControl w:val="0"/>
        <w:shd w:val="clear" w:color="auto" w:fill="auto"/>
        <w:bidi w:val="0"/>
        <w:spacing w:before="0" w:after="40" w:line="240" w:lineRule="auto"/>
        <w:ind w:left="0" w:right="0" w:firstLine="440"/>
        <w:jc w:val="both"/>
      </w:pPr>
      <w:r>
        <w:rPr>
          <w:color w:val="000000"/>
          <w:spacing w:val="0"/>
          <w:w w:val="100"/>
          <w:position w:val="0"/>
        </w:rPr>
        <w:t>报告期内，公司信息披露索引如下:</w:t>
      </w:r>
    </w:p>
    <w:tbl>
      <w:tblPr>
        <w:tblOverlap w:val="never"/>
        <w:jc w:val="center"/>
        <w:tblLayout w:type="fixed"/>
      </w:tblPr>
      <w:tblGrid>
        <w:gridCol w:w="998"/>
        <w:gridCol w:w="4963"/>
        <w:gridCol w:w="1416"/>
        <w:gridCol w:w="1133"/>
        <w:gridCol w:w="1142"/>
      </w:tblGrid>
      <w:tr>
        <w:trPr>
          <w:trHeight w:val="98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事项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刊载的报刊名称 及版面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刊载日期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刊载的互联网 网站及检索路 径</w:t>
            </w: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2020/1/8</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巨潮资讯网 (</w:t>
            </w: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cninfo.com.cn</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2020/1/10</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2020/1/15</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年度获得政府补助的公告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2020/1/17</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关于公司控股股东部分股份解除质押的公告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以上股东减持股份实施情况的公告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2020/2/4</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以上股东减持公司股份的预披露公告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2020/2/4</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年度日常关联交易预计事项的提示性公告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A8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2020/2/19</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关于股东权益变动的提示性公告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2020/2/20</w:t>
            </w: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简式权益变动报告书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2020/2/20</w:t>
            </w:r>
          </w:p>
        </w:tc>
        <w:tc>
          <w:tcPr>
            <w:vMerge/>
            <w:tcBorders>
              <w:left w:val="single" w:sz="4"/>
              <w:right w:val="single" w:sz="4"/>
            </w:tcBorders>
            <w:shd w:val="clear" w:color="auto" w:fill="FFFFFF"/>
            <w:vAlign w:val="center"/>
          </w:tcPr>
          <w:p>
            <w:pP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关于股东减持公司股份的预披露公告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2020/2/20</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98"/>
        <w:gridCol w:w="4963"/>
        <w:gridCol w:w="1416"/>
        <w:gridCol w:w="1133"/>
        <w:gridCol w:w="1142"/>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关于控股股东股票质押式回购交易展期的公告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2020/2/29</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关于获得政府补助的公告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2020/3/12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关于计提资产减值准备及核销资产的公告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2020/3/21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关于控股股东股票质押式回购交易展期的公告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2020/3/25</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第八届董事会第五次会议决议公告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年年度报告摘要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关于拟续聘</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独立董事候选人声明（黄辉）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w:t>
            </w:r>
            <w:r>
              <w:rPr>
                <w:rFonts w:ascii="Times New Roman" w:eastAsia="Times New Roman" w:hAnsi="Times New Roman" w:cs="Times New Roman"/>
                <w:color w:val="000000"/>
                <w:spacing w:val="0"/>
                <w:w w:val="100"/>
                <w:position w:val="0"/>
              </w:rPr>
              <w:t>Benjamin Zhai</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关于变更公司会计政策的公告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2 019</w:t>
            </w:r>
            <w:r>
              <w:rPr>
                <w:color w:val="000000"/>
                <w:spacing w:val="0"/>
                <w:w w:val="100"/>
                <w:position w:val="0"/>
              </w:rPr>
              <w:t>年年度股东大会的通知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B153,154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第八届监事会第五次会议决议公告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2020/4/11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2020/4/15</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2020/4/15</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2 019</w:t>
            </w:r>
            <w:r>
              <w:rPr>
                <w:color w:val="000000"/>
                <w:spacing w:val="0"/>
                <w:w w:val="100"/>
                <w:position w:val="0"/>
              </w:rPr>
              <w:t>年年度股东大会的提示性公告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2020/4/18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关于公司控股股东部分股份解除质押的公告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2020/4/22</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2020/4/23</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关于股东股份减持的进展公告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2020/4/23</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2020/4/23</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关于公司股东股份解除质押的公告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2020/4/30</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关于公司控股股东部分股份解除质押的公告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2020/5/7</w:t>
            </w: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关于非公开发行股份解除限售的提示性公告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2020/5/8</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4963"/>
        <w:gridCol w:w="1416"/>
        <w:gridCol w:w="1133"/>
        <w:gridCol w:w="1142"/>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关于下属子公司拟被授予</w:t>
            </w:r>
            <w:r>
              <w:rPr>
                <w:rFonts w:ascii="Times New Roman" w:eastAsia="Times New Roman" w:hAnsi="Times New Roman" w:cs="Times New Roman"/>
                <w:color w:val="000000"/>
                <w:spacing w:val="0"/>
                <w:w w:val="100"/>
                <w:position w:val="0"/>
              </w:rPr>
              <w:t>CS4</w:t>
            </w:r>
            <w:r>
              <w:rPr>
                <w:color w:val="000000"/>
                <w:spacing w:val="0"/>
                <w:w w:val="100"/>
                <w:position w:val="0"/>
              </w:rPr>
              <w:t>级企业的公告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2020/5/15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关于公司控股股东部分股份解除质押的公告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2020/5/19</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2020/5/22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2020/5/22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关于控股子公司重要经营项目中标的自愿性信息披露公告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以上股东股份减持的进展公告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2020/5/28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以上股东权益变动的进展公告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2020/5/28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以上股东减持公司股份的预披露公告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2020/5/28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2020/5/30</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关于对外捐赠助力湖北疫后重振脱贫攻坚的公告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2020/5/30</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关于控股子公司签署重要经营合同的自愿信息披露公告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关于股东减持股份实施情况的公告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2020/6/13</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2020/6/16</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关于下属子公司获得</w:t>
            </w:r>
            <w:r>
              <w:rPr>
                <w:rFonts w:ascii="Times New Roman" w:eastAsia="Times New Roman" w:hAnsi="Times New Roman" w:cs="Times New Roman"/>
                <w:color w:val="000000"/>
                <w:spacing w:val="0"/>
                <w:w w:val="100"/>
                <w:position w:val="0"/>
              </w:rPr>
              <w:t>CS4</w:t>
            </w:r>
            <w:r>
              <w:rPr>
                <w:color w:val="000000"/>
                <w:spacing w:val="0"/>
                <w:w w:val="100"/>
                <w:position w:val="0"/>
              </w:rPr>
              <w:t>级企业证书的公告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2020/6/24</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关于公司控股股东部分股份解除质押的公告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2020/6/29</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关于控股子公司签署重要经营合同的自愿信息披露公告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2020/6/29</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关于公司控股股东部分股份解除质押的公告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2020/6/30</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2020/7/6</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关于下属子公司拟以协议转让方式转让鼎捷软件股份的公告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2020/7/6</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年度第一次临时股东大会的通知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2020/7/6</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2020/7/10</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关于预计公司新增担保额度的公告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2020/7/10</w:t>
            </w:r>
          </w:p>
        </w:tc>
        <w:tc>
          <w:tcPr>
            <w:tcBorders>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关于增加</w:t>
            </w:r>
            <w:r>
              <w:rPr>
                <w:rFonts w:ascii="Times New Roman" w:eastAsia="Times New Roman" w:hAnsi="Times New Roman" w:cs="Times New Roman"/>
                <w:color w:val="000000"/>
                <w:spacing w:val="0"/>
                <w:w w:val="100"/>
                <w:position w:val="0"/>
              </w:rPr>
              <w:t>2020</w:t>
            </w:r>
            <w:r>
              <w:rPr>
                <w:color w:val="000000"/>
                <w:spacing w:val="0"/>
                <w:w w:val="100"/>
                <w:position w:val="0"/>
              </w:rPr>
              <w:t>年度第一次临时股东大会临时提案暨召开</w:t>
            </w:r>
            <w:r>
              <w:rPr>
                <w:rFonts w:ascii="Times New Roman" w:eastAsia="Times New Roman" w:hAnsi="Times New Roman" w:cs="Times New Roman"/>
                <w:color w:val="000000"/>
                <w:spacing w:val="0"/>
                <w:w w:val="100"/>
                <w:position w:val="0"/>
              </w:rPr>
              <w:t>2020</w:t>
            </w:r>
            <w:r>
              <w:rPr>
                <w:color w:val="000000"/>
                <w:spacing w:val="0"/>
                <w:w w:val="100"/>
                <w:position w:val="0"/>
              </w:rPr>
              <w:t>年 度第一次临时股东大会的补充通知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2020/7/10</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年度第一次临时股东大会的提示性公告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2020/7/18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年度第一次临时股东大会决议公告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2020/7/28</w:t>
            </w: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关于向南京市高淳区慈善总会捐赠抗洪赈灾款的公告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2020/7/28</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4963"/>
        <w:gridCol w:w="1416"/>
        <w:gridCol w:w="1133"/>
        <w:gridCol w:w="1142"/>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2020/8/8</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关于公司控股股东股票质押式回购交易提前购回的公告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关于公司控股股东股票质押式回购交易提前购回的公告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2020/8/12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以上股东减持股份实施情况的公告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2020/8/25</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第八届董事会第七次会议决议公告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rPr>
              <w:t>2 019</w:t>
            </w:r>
            <w:r>
              <w:rPr>
                <w:color w:val="000000"/>
                <w:spacing w:val="0"/>
                <w:w w:val="100"/>
                <w:position w:val="0"/>
              </w:rPr>
              <w:t>年股权激励计划限制性股票回购价格的公告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年股权激励计划部分限制性股票的公告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年股权激励计划部分股票期权的公告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关于为控股子公司提供财务资助的公告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B159,B160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关于预计公司新增担保额度的公告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关于以集中竞价交易方式回购公司股份方案的公告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年度第二次临时股东大会的通知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第八届监事会第七次会议决议公告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2020/8/27</w:t>
            </w:r>
          </w:p>
        </w:tc>
        <w:tc>
          <w:tcPr>
            <w:tcBorders>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关于回购股份事项前十名股东及前十名无限售条件股东持股情 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2020/8/29</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关于公司控股股东股票质押式回购交易到期购回的公告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回购报告书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关于股份回购进展情况的公告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年股权激励计划部分股票期权注销完成的公告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2020/9/5</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年度第二次临时股东大会的提示性公告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2020/9/12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2020/9/16</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关于回购注销部分限制性股票减资暨通知债权人的公告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2020/9/16</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以上股东股份减持的进展公告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2020/9/18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关于公司控股股东股票质押式回购交易到期购回的公告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2020/9/26</w:t>
            </w: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关于股份回购进展情况的公告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2020/10/9</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4963"/>
        <w:gridCol w:w="1416"/>
        <w:gridCol w:w="1133"/>
        <w:gridCol w:w="1142"/>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2020/10/14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关于公司控股股东股票质押式回购交易提前购回的公告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2020/10/16</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2020/10/17</w:t>
            </w: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关于下属子公司取得</w:t>
            </w:r>
            <w:r>
              <w:rPr>
                <w:rFonts w:ascii="Times New Roman" w:eastAsia="Times New Roman" w:hAnsi="Times New Roman" w:cs="Times New Roman"/>
                <w:color w:val="000000"/>
                <w:spacing w:val="0"/>
                <w:w w:val="100"/>
                <w:position w:val="0"/>
              </w:rPr>
              <w:t>C MMI5</w:t>
            </w:r>
            <w:r>
              <w:rPr>
                <w:color w:val="000000"/>
                <w:spacing w:val="0"/>
                <w:w w:val="100"/>
                <w:position w:val="0"/>
              </w:rPr>
              <w:t>级证书及高新技术企业认定相关情 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2020/10/23</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第八届董事会第八次会议决议公告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2020/10/31</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年第三季度报告正文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关于新增关联方暨日常关联交易预计的公告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第八届监事会第八次会议决议公告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2020/10/31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2020/11/4</w:t>
            </w:r>
          </w:p>
        </w:tc>
        <w:tc>
          <w:tcPr>
            <w:tcBorders>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年股票期权与限制性股票激励计划第一个行权期</w:t>
            </w:r>
            <w:r>
              <w:rPr>
                <w:rFonts w:ascii="Times New Roman" w:eastAsia="Times New Roman" w:hAnsi="Times New Roman" w:cs="Times New Roman"/>
                <w:color w:val="000000"/>
                <w:spacing w:val="0"/>
                <w:w w:val="100"/>
                <w:position w:val="0"/>
              </w:rPr>
              <w:t>/</w:t>
            </w:r>
            <w:r>
              <w:rPr>
                <w:color w:val="000000"/>
                <w:spacing w:val="0"/>
                <w:w w:val="100"/>
                <w:position w:val="0"/>
              </w:rPr>
              <w:t>解除 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2020/11/4</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2020/11/4</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关于股份回购进展情况的公告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2020/11/4</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关于在控股子公司之间调剂担保额度及提供担保的进展公告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2020/11/5</w:t>
            </w:r>
          </w:p>
        </w:tc>
        <w:tc>
          <w:tcPr>
            <w:tcBorders>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年股权激励计划限制性股票第一期解除限售上市流通 的提示性公告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关于下属子公司协议转让鼎捷软件股份的进展公告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2020/11/11</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关于子公司签署房屋租赁合同的公告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2020/11/12</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关于部分高级管理人员减持公司股份的预披露公告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2020/11/14</w:t>
            </w:r>
          </w:p>
        </w:tc>
        <w:tc>
          <w:tcPr>
            <w:tcBorders>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年股权激励计划第一个行权期采用自主行权模式的提 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年第六次临时会议决议公告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关于下属子公司签署《股份买卖协议的补充协议》的公告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2020/11/18</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关于控股子公司重要经营项目中标的自愿性信息披露公告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2020/11/20</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年股权激励计划部分限制性股票回购注销完成的公告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年第七次临时会议决议公告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2020/11/27</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关于向东润公益基金会捐赠的公告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2020/11/27</w:t>
            </w: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关于为公司及子公司提供担保的进展公告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2020/11/27</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4963"/>
        <w:gridCol w:w="1416"/>
        <w:gridCol w:w="1133"/>
        <w:gridCol w:w="1142"/>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关于公司控股股东股票质押式回购交易提前购回的公告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关于股份回购进展情况的公告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关于下属子公司协议转让鼎捷软件股份的进展公告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2020/12/9</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年第八次临时会议决议公告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关于预计公司及下属子公司</w:t>
            </w:r>
            <w:r>
              <w:rPr>
                <w:rFonts w:ascii="Times New Roman" w:eastAsia="Times New Roman" w:hAnsi="Times New Roman" w:cs="Times New Roman"/>
                <w:color w:val="000000"/>
                <w:spacing w:val="0"/>
                <w:w w:val="100"/>
                <w:position w:val="0"/>
              </w:rPr>
              <w:t>2021</w:t>
            </w:r>
            <w:r>
              <w:rPr>
                <w:color w:val="000000"/>
                <w:spacing w:val="0"/>
                <w:w w:val="100"/>
                <w:position w:val="0"/>
              </w:rPr>
              <w:t>年担保额度的公告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w:t>
            </w:r>
            <w:r>
              <w:rPr>
                <w:rFonts w:ascii="Times New Roman" w:eastAsia="Times New Roman" w:hAnsi="Times New Roman" w:cs="Times New Roman"/>
                <w:color w:val="000000"/>
                <w:spacing w:val="0"/>
                <w:w w:val="100"/>
                <w:position w:val="0"/>
              </w:rPr>
              <w:t>2021</w:t>
            </w:r>
            <w:r>
              <w:rPr>
                <w:color w:val="000000"/>
                <w:spacing w:val="0"/>
                <w:w w:val="100"/>
                <w:position w:val="0"/>
              </w:rPr>
              <w:t>年度固定收益类投资及委托理财额度的公告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关于为控股子公司提供财务资助的公告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年度第三次临时股东大会的通知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第八届监事会</w:t>
            </w:r>
            <w:r>
              <w:rPr>
                <w:rFonts w:ascii="Times New Roman" w:eastAsia="Times New Roman" w:hAnsi="Times New Roman" w:cs="Times New Roman"/>
                <w:color w:val="000000"/>
                <w:spacing w:val="0"/>
                <w:w w:val="100"/>
                <w:position w:val="0"/>
              </w:rPr>
              <w:t>2020</w:t>
            </w:r>
            <w:r>
              <w:rPr>
                <w:color w:val="000000"/>
                <w:spacing w:val="0"/>
                <w:w w:val="100"/>
                <w:position w:val="0"/>
              </w:rPr>
              <w:t>年二次临时会议决议公告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关于首次回购公司股份的公告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关于下属子公司协议转让鼎捷软件股份过户完成的公告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2020/12/15</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关于控股子公司签署重要经营合同的自愿性信息披露公告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2020/12/15</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以上股东减持股份实施情况的公告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2020/12/19</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关于公司控股股东股票质押式回购交易提前购回的公告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2020/12/22</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年度第三次临时股东大会的提示性公告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2020/12/29</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关于公司控股股东进行股票质押式回购交易的公告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2020/12/31</w:t>
            </w:r>
          </w:p>
        </w:tc>
        <w:tc>
          <w:tcPr>
            <w:vMerge/>
            <w:tcBorders>
              <w:left w:val="single" w:sz="4"/>
              <w:right w:val="single" w:sz="4"/>
            </w:tcBorders>
            <w:shd w:val="clear" w:color="auto" w:fill="FFFFFF"/>
            <w:vAlign w:val="top"/>
          </w:tcPr>
          <w:p>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关于子公司签署房屋租赁合同补充协议的公告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2020/12/31</w:t>
            </w:r>
          </w:p>
        </w:tc>
        <w:tc>
          <w:tcPr>
            <w:vMerge/>
            <w:tcBorders>
              <w:left w:val="single" w:sz="4"/>
              <w:right w:val="single" w:sz="4"/>
            </w:tcBorders>
            <w:shd w:val="clear" w:color="auto" w:fill="FFFFFF"/>
            <w:vAlign w:val="top"/>
          </w:tcPr>
          <w:p>
            <w:pPr/>
          </w:p>
        </w:tc>
      </w:tr>
      <w:tr>
        <w:trPr>
          <w:trHeight w:val="49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关于部分高级管理人员股份减持的进展公告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2020/12/31</w:t>
            </w:r>
          </w:p>
        </w:tc>
        <w:tc>
          <w:tcPr>
            <w:vMerge/>
            <w:tcBorders>
              <w:left w:val="single" w:sz="4"/>
              <w:bottom w:val="single" w:sz="4"/>
              <w:right w:val="single" w:sz="4"/>
            </w:tcBorders>
            <w:shd w:val="clear" w:color="auto" w:fill="FFFFFF"/>
            <w:vAlign w:val="top"/>
          </w:tcPr>
          <w:p>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二十、公司子公司重大事项</w:t>
      </w:r>
      <w:bookmarkEnd w:id="439"/>
      <w:bookmarkEnd w:id="440"/>
      <w:bookmarkEnd w:id="441"/>
    </w:p>
    <w:p>
      <w:pPr>
        <w:pStyle w:val="Style37"/>
        <w:keepNext w:val="0"/>
        <w:keepLines w:val="0"/>
        <w:widowControl w:val="0"/>
        <w:shd w:val="clear" w:color="auto" w:fill="auto"/>
        <w:bidi w:val="0"/>
        <w:spacing w:before="0" w:after="34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88" w:right="1049" w:bottom="1498"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00" w:line="240" w:lineRule="auto"/>
        <w:ind w:left="0" w:right="0" w:firstLine="0"/>
        <w:jc w:val="center"/>
      </w:pPr>
      <w:bookmarkStart w:id="442" w:name="bookmark442"/>
      <w:bookmarkStart w:id="443" w:name="bookmark443"/>
      <w:bookmarkStart w:id="444" w:name="bookmark444"/>
      <w:r>
        <w:rPr>
          <w:color w:val="000000"/>
          <w:spacing w:val="0"/>
          <w:w w:val="100"/>
          <w:position w:val="0"/>
        </w:rPr>
        <w:t>第六节股份变动及股东情况</w:t>
      </w:r>
      <w:bookmarkEnd w:id="442"/>
      <w:bookmarkEnd w:id="443"/>
      <w:bookmarkEnd w:id="444"/>
    </w:p>
    <w:p>
      <w:pPr>
        <w:pStyle w:val="Style35"/>
        <w:keepNext/>
        <w:keepLines/>
        <w:widowControl w:val="0"/>
        <w:shd w:val="clear" w:color="auto" w:fill="auto"/>
        <w:bidi w:val="0"/>
        <w:spacing w:before="0" w:after="180" w:line="240" w:lineRule="auto"/>
        <w:ind w:left="0" w:right="0" w:firstLine="0"/>
        <w:jc w:val="left"/>
      </w:pPr>
      <w:bookmarkStart w:id="445" w:name="bookmark445"/>
      <w:bookmarkStart w:id="446" w:name="bookmark446"/>
      <w:bookmarkStart w:id="447" w:name="bookmark447"/>
      <w:bookmarkStart w:id="448" w:name="bookmark448"/>
      <w:bookmarkStart w:id="449" w:name="bookmark449"/>
      <w:r>
        <w:rPr>
          <w:color w:val="000000"/>
          <w:spacing w:val="0"/>
          <w:w w:val="100"/>
          <w:position w:val="0"/>
          <w:sz w:val="24"/>
          <w:szCs w:val="24"/>
        </w:rPr>
        <w:t>一</w:t>
      </w:r>
      <w:bookmarkEnd w:id="448"/>
      <w:r>
        <w:rPr>
          <w:color w:val="000000"/>
          <w:spacing w:val="0"/>
          <w:w w:val="100"/>
          <w:position w:val="0"/>
          <w:sz w:val="24"/>
          <w:szCs w:val="24"/>
        </w:rPr>
        <w:t>、股份变动情况</w:t>
      </w:r>
      <w:bookmarkEnd w:id="446"/>
      <w:bookmarkEnd w:id="447"/>
      <w:bookmarkEnd w:id="449"/>
      <w:bookmarkEnd w:id="445"/>
    </w:p>
    <w:p>
      <w:pPr>
        <w:pStyle w:val="Style41"/>
        <w:keepNext/>
        <w:keepLines/>
        <w:widowControl w:val="0"/>
        <w:shd w:val="clear" w:color="auto" w:fill="auto"/>
        <w:bidi w:val="0"/>
        <w:spacing w:before="0" w:after="12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、股份变动情况</w:t>
      </w:r>
      <w:bookmarkEnd w:id="450"/>
      <w:bookmarkEnd w:id="451"/>
      <w:bookmarkEnd w:id="453"/>
    </w:p>
    <w:p>
      <w:pPr>
        <w:pStyle w:val="Style26"/>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单位：股</w:t>
      </w:r>
    </w:p>
    <w:tbl>
      <w:tblPr>
        <w:tblOverlap w:val="never"/>
        <w:jc w:val="center"/>
        <w:tblLayout w:type="fixed"/>
      </w:tblPr>
      <w:tblGrid>
        <w:gridCol w:w="3269"/>
        <w:gridCol w:w="1210"/>
        <w:gridCol w:w="1205"/>
        <w:gridCol w:w="1205"/>
        <w:gridCol w:w="1200"/>
        <w:gridCol w:w="1200"/>
        <w:gridCol w:w="1205"/>
        <w:gridCol w:w="1205"/>
        <w:gridCol w:w="1162"/>
        <w:gridCol w:w="11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29,296,364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-19,067,061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-18,954,561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29,296,364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-19,067,061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-18,954,561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25,649,252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-15,419,949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-15,307,449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941,084,909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5,575,054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18,767,061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24,342,115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965,427,024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941,084,909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5,575,054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18,767,061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24,342,115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965,427,024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970,381,273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5,687,554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5,387,554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975,768,827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99" w:line="1" w:lineRule="exact"/>
      </w:pPr>
    </w:p>
    <w:p>
      <w:pPr>
        <w:pStyle w:val="Style64"/>
        <w:keepNext w:val="0"/>
        <w:keepLines w:val="0"/>
        <w:widowControl w:val="0"/>
        <w:shd w:val="clear" w:color="auto" w:fill="auto"/>
        <w:bidi w:val="0"/>
        <w:spacing w:before="0" w:after="240" w:line="240" w:lineRule="auto"/>
        <w:ind w:left="0" w:right="0" w:firstLine="0"/>
        <w:jc w:val="center"/>
        <w:sectPr>
          <w:headerReference w:type="default" r:id="rId27"/>
          <w:footerReference w:type="default" r:id="rId28"/>
          <w:footnotePr>
            <w:pos w:val="pageBottom"/>
            <w:numFmt w:val="decimal"/>
            <w:numRestart w:val="continuous"/>
          </w:footnotePr>
          <w:pgSz w:w="16840" w:h="11900" w:orient="landscape"/>
          <w:pgMar w:top="1441" w:right="1402" w:bottom="1181" w:left="1402" w:header="0" w:footer="753" w:gutter="0"/>
          <w:cols w:space="720"/>
          <w:noEndnote/>
          <w:rtlGutter w:val="0"/>
          <w:docGrid w:linePitch="360"/>
        </w:sectPr>
      </w:pPr>
      <w:r>
        <w:rPr>
          <w:color w:val="000000"/>
          <w:spacing w:val="0"/>
          <w:w w:val="100"/>
          <w:position w:val="0"/>
        </w:rPr>
        <w:t>79</w:t>
      </w:r>
    </w:p>
    <w:p>
      <w:pPr>
        <w:pStyle w:val="Style37"/>
        <w:keepNext w:val="0"/>
        <w:keepLines w:val="0"/>
        <w:widowControl w:val="0"/>
        <w:shd w:val="clear" w:color="auto" w:fill="auto"/>
        <w:bidi w:val="0"/>
        <w:spacing w:before="100" w:after="180" w:line="312" w:lineRule="exact"/>
        <w:ind w:left="0" w:right="0" w:firstLine="0"/>
        <w:jc w:val="left"/>
      </w:pPr>
      <w:r>
        <w:rPr>
          <w:color w:val="000000"/>
          <w:spacing w:val="0"/>
          <w:w w:val="100"/>
          <w:position w:val="0"/>
        </w:rPr>
        <w:t>股份变动的原因</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tabs>
          <w:tab w:pos="620" w:val="left"/>
        </w:tabs>
        <w:bidi w:val="0"/>
        <w:spacing w:before="0" w:after="0" w:line="312" w:lineRule="exact"/>
        <w:ind w:left="0" w:right="0" w:firstLine="300"/>
        <w:jc w:val="left"/>
      </w:pPr>
      <w:bookmarkStart w:id="454" w:name="bookmark454"/>
      <w:r>
        <w:rPr>
          <w:rFonts w:ascii="Times New Roman" w:eastAsia="Times New Roman" w:hAnsi="Times New Roman" w:cs="Times New Roman"/>
          <w:color w:val="000000"/>
          <w:spacing w:val="0"/>
          <w:w w:val="100"/>
          <w:position w:val="0"/>
        </w:rPr>
        <w:t>1</w:t>
      </w:r>
      <w:bookmarkEnd w:id="45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年资产重组非公开发行的共计</w:t>
      </w:r>
      <w:r>
        <w:rPr>
          <w:rFonts w:ascii="Times New Roman" w:eastAsia="Times New Roman" w:hAnsi="Times New Roman" w:cs="Times New Roman"/>
          <w:color w:val="000000"/>
          <w:spacing w:val="0"/>
          <w:w w:val="100"/>
          <w:position w:val="0"/>
        </w:rPr>
        <w:t>22,335,564</w:t>
      </w:r>
      <w:r>
        <w:rPr>
          <w:color w:val="000000"/>
          <w:spacing w:val="0"/>
          <w:w w:val="100"/>
          <w:position w:val="0"/>
        </w:rPr>
        <w:t xml:space="preserve">股股份解除限售并上市流通，分别为程艳云 </w:t>
      </w:r>
      <w:r>
        <w:rPr>
          <w:rFonts w:ascii="Times New Roman" w:eastAsia="Times New Roman" w:hAnsi="Times New Roman" w:cs="Times New Roman"/>
          <w:color w:val="000000"/>
          <w:spacing w:val="0"/>
          <w:w w:val="100"/>
          <w:position w:val="0"/>
        </w:rPr>
        <w:t>8,527,926</w:t>
      </w:r>
      <w:r>
        <w:rPr>
          <w:color w:val="000000"/>
          <w:spacing w:val="0"/>
          <w:w w:val="100"/>
          <w:position w:val="0"/>
        </w:rPr>
        <w:t>股、吴冬华</w:t>
      </w:r>
      <w:r>
        <w:rPr>
          <w:rFonts w:ascii="Times New Roman" w:eastAsia="Times New Roman" w:hAnsi="Times New Roman" w:cs="Times New Roman"/>
          <w:color w:val="000000"/>
          <w:spacing w:val="0"/>
          <w:w w:val="100"/>
          <w:position w:val="0"/>
        </w:rPr>
        <w:t>7,735,638</w:t>
      </w:r>
      <w:r>
        <w:rPr>
          <w:color w:val="000000"/>
          <w:spacing w:val="0"/>
          <w:w w:val="100"/>
          <w:position w:val="0"/>
        </w:rPr>
        <w:t>股、南京博飞信投资管理有限公司</w:t>
      </w:r>
      <w:r>
        <w:rPr>
          <w:rFonts w:ascii="Times New Roman" w:eastAsia="Times New Roman" w:hAnsi="Times New Roman" w:cs="Times New Roman"/>
          <w:color w:val="000000"/>
          <w:spacing w:val="0"/>
          <w:w w:val="100"/>
          <w:position w:val="0"/>
        </w:rPr>
        <w:t>2,808,225</w:t>
      </w:r>
      <w:r>
        <w:rPr>
          <w:color w:val="000000"/>
          <w:spacing w:val="0"/>
          <w:w w:val="100"/>
          <w:position w:val="0"/>
        </w:rPr>
        <w:t>股、南京明通投资管理中心（有限合伙）</w:t>
      </w:r>
      <w:r>
        <w:rPr>
          <w:rFonts w:ascii="Times New Roman" w:eastAsia="Times New Roman" w:hAnsi="Times New Roman" w:cs="Times New Roman"/>
          <w:color w:val="000000"/>
          <w:spacing w:val="0"/>
          <w:w w:val="100"/>
          <w:position w:val="0"/>
        </w:rPr>
        <w:t xml:space="preserve">838,887 </w:t>
      </w:r>
      <w:r>
        <w:rPr>
          <w:color w:val="000000"/>
          <w:spacing w:val="0"/>
          <w:w w:val="100"/>
          <w:position w:val="0"/>
        </w:rPr>
        <w:t>股、陈大龙</w:t>
      </w:r>
      <w:r>
        <w:rPr>
          <w:rFonts w:ascii="Times New Roman" w:eastAsia="Times New Roman" w:hAnsi="Times New Roman" w:cs="Times New Roman"/>
          <w:color w:val="000000"/>
          <w:spacing w:val="0"/>
          <w:w w:val="100"/>
          <w:position w:val="0"/>
        </w:rPr>
        <w:t>716,097</w:t>
      </w:r>
      <w:r>
        <w:rPr>
          <w:color w:val="000000"/>
          <w:spacing w:val="0"/>
          <w:w w:val="100"/>
          <w:position w:val="0"/>
        </w:rPr>
        <w:t>股、李晶</w:t>
      </w:r>
      <w:r>
        <w:rPr>
          <w:rFonts w:ascii="Times New Roman" w:eastAsia="Times New Roman" w:hAnsi="Times New Roman" w:cs="Times New Roman"/>
          <w:color w:val="000000"/>
          <w:spacing w:val="0"/>
          <w:w w:val="100"/>
          <w:position w:val="0"/>
        </w:rPr>
        <w:t>715,698</w:t>
      </w:r>
      <w:r>
        <w:rPr>
          <w:color w:val="000000"/>
          <w:spacing w:val="0"/>
          <w:w w:val="100"/>
          <w:position w:val="0"/>
        </w:rPr>
        <w:t>股、吴秀兰</w:t>
      </w:r>
      <w:r>
        <w:rPr>
          <w:rFonts w:ascii="Times New Roman" w:eastAsia="Times New Roman" w:hAnsi="Times New Roman" w:cs="Times New Roman"/>
          <w:color w:val="000000"/>
          <w:spacing w:val="0"/>
          <w:w w:val="100"/>
          <w:position w:val="0"/>
        </w:rPr>
        <w:t>705,251</w:t>
      </w:r>
      <w:r>
        <w:rPr>
          <w:color w:val="000000"/>
          <w:spacing w:val="0"/>
          <w:w w:val="100"/>
          <w:position w:val="0"/>
        </w:rPr>
        <w:t>股、常杰</w:t>
      </w:r>
      <w:r>
        <w:rPr>
          <w:rFonts w:ascii="Times New Roman" w:eastAsia="Times New Roman" w:hAnsi="Times New Roman" w:cs="Times New Roman"/>
          <w:color w:val="000000"/>
          <w:spacing w:val="0"/>
          <w:w w:val="100"/>
          <w:position w:val="0"/>
        </w:rPr>
        <w:t>119,349</w:t>
      </w:r>
      <w:r>
        <w:rPr>
          <w:color w:val="000000"/>
          <w:spacing w:val="0"/>
          <w:w w:val="100"/>
          <w:position w:val="0"/>
        </w:rPr>
        <w:t>股、王计斌</w:t>
      </w:r>
      <w:r>
        <w:rPr>
          <w:rFonts w:ascii="Times New Roman" w:eastAsia="Times New Roman" w:hAnsi="Times New Roman" w:cs="Times New Roman"/>
          <w:color w:val="000000"/>
          <w:spacing w:val="0"/>
          <w:w w:val="100"/>
          <w:position w:val="0"/>
        </w:rPr>
        <w:t>105,308</w:t>
      </w:r>
      <w:r>
        <w:rPr>
          <w:color w:val="000000"/>
          <w:spacing w:val="0"/>
          <w:w w:val="100"/>
          <w:position w:val="0"/>
        </w:rPr>
        <w:t>股、施伟</w:t>
      </w:r>
      <w:r>
        <w:rPr>
          <w:rFonts w:ascii="Times New Roman" w:eastAsia="Times New Roman" w:hAnsi="Times New Roman" w:cs="Times New Roman"/>
          <w:color w:val="000000"/>
          <w:spacing w:val="0"/>
          <w:w w:val="100"/>
          <w:position w:val="0"/>
        </w:rPr>
        <w:t>63,185</w:t>
      </w:r>
      <w:r>
        <w:rPr>
          <w:color w:val="000000"/>
          <w:spacing w:val="0"/>
          <w:w w:val="100"/>
          <w:position w:val="0"/>
        </w:rPr>
        <w:t>股。因吴 冬华先生于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日辞职，不再担任公司副总裁职务，导致本报告期内新增高管锁定股（限售股）</w:t>
      </w:r>
      <w:r>
        <w:rPr>
          <w:rFonts w:ascii="Times New Roman" w:eastAsia="Times New Roman" w:hAnsi="Times New Roman" w:cs="Times New Roman"/>
          <w:color w:val="000000"/>
          <w:spacing w:val="0"/>
          <w:w w:val="100"/>
          <w:position w:val="0"/>
        </w:rPr>
        <w:t>5,801,728</w:t>
      </w:r>
      <w:r>
        <w:rPr>
          <w:color w:val="000000"/>
          <w:spacing w:val="0"/>
          <w:w w:val="100"/>
          <w:position w:val="0"/>
        </w:rPr>
        <w:t>股。</w:t>
      </w:r>
    </w:p>
    <w:p>
      <w:pPr>
        <w:pStyle w:val="Style37"/>
        <w:keepNext w:val="0"/>
        <w:keepLines w:val="0"/>
        <w:widowControl w:val="0"/>
        <w:shd w:val="clear" w:color="auto" w:fill="auto"/>
        <w:tabs>
          <w:tab w:pos="642" w:val="left"/>
        </w:tabs>
        <w:bidi w:val="0"/>
        <w:spacing w:before="0" w:after="0" w:line="312" w:lineRule="exact"/>
        <w:ind w:left="0" w:right="0" w:firstLine="300"/>
        <w:jc w:val="left"/>
      </w:pPr>
      <w:bookmarkStart w:id="455" w:name="bookmark455"/>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年股票期权与限制性股票激励计划之股份变动</w:t>
      </w:r>
    </w:p>
    <w:p>
      <w:pPr>
        <w:pStyle w:val="Style37"/>
        <w:keepNext w:val="0"/>
        <w:keepLines w:val="0"/>
        <w:widowControl w:val="0"/>
        <w:shd w:val="clear" w:color="auto" w:fill="auto"/>
        <w:bidi w:val="0"/>
        <w:spacing w:before="0" w:after="0" w:line="312" w:lineRule="exact"/>
        <w:ind w:left="0" w:right="0" w:firstLine="300"/>
        <w:jc w:val="left"/>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年度第二次临时股东大会审议通过了《关于回购注销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 性股票的议案》，同意公司对</w:t>
      </w:r>
      <w:r>
        <w:rPr>
          <w:rFonts w:ascii="Times New Roman" w:eastAsia="Times New Roman" w:hAnsi="Times New Roman" w:cs="Times New Roman"/>
          <w:color w:val="000000"/>
          <w:spacing w:val="0"/>
          <w:w w:val="100"/>
          <w:position w:val="0"/>
        </w:rPr>
        <w:t>1</w:t>
      </w:r>
      <w:r>
        <w:rPr>
          <w:color w:val="000000"/>
          <w:spacing w:val="0"/>
          <w:w w:val="100"/>
          <w:position w:val="0"/>
        </w:rPr>
        <w:t>名已离职激励对象已获授获授但尚未解除限售的全部限制性股票</w:t>
      </w:r>
      <w:r>
        <w:rPr>
          <w:rFonts w:ascii="Times New Roman" w:eastAsia="Times New Roman" w:hAnsi="Times New Roman" w:cs="Times New Roman"/>
          <w:color w:val="000000"/>
          <w:spacing w:val="0"/>
          <w:w w:val="100"/>
          <w:position w:val="0"/>
        </w:rPr>
        <w:t>300,000</w:t>
      </w:r>
      <w:r>
        <w:rPr>
          <w:color w:val="000000"/>
          <w:spacing w:val="0"/>
          <w:w w:val="100"/>
          <w:position w:val="0"/>
        </w:rPr>
        <w:t xml:space="preserve">股予以回购注销。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日，公司完成了回购注销手续。</w:t>
      </w:r>
    </w:p>
    <w:p>
      <w:pPr>
        <w:pStyle w:val="Style37"/>
        <w:keepNext w:val="0"/>
        <w:keepLines w:val="0"/>
        <w:widowControl w:val="0"/>
        <w:shd w:val="clear" w:color="auto" w:fill="auto"/>
        <w:bidi w:val="0"/>
        <w:spacing w:before="0" w:after="0" w:line="317" w:lineRule="exact"/>
        <w:ind w:left="0" w:right="0" w:firstLine="300"/>
        <w:jc w:val="left"/>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0，</w:t>
      </w:r>
      <w:r>
        <w:rPr>
          <w:rFonts w:ascii="Times New Roman" w:eastAsia="Times New Roman" w:hAnsi="Times New Roman" w:cs="Times New Roman"/>
          <w:color w:val="000000"/>
          <w:spacing w:val="0"/>
          <w:w w:val="100"/>
          <w:position w:val="0"/>
        </w:rPr>
        <w:t>15</w:t>
      </w:r>
      <w:r>
        <w:rPr>
          <w:color w:val="000000"/>
          <w:spacing w:val="0"/>
          <w:w w:val="100"/>
          <w:position w:val="0"/>
        </w:rPr>
        <w:t>名限制性股票激励对象持有的</w:t>
      </w:r>
      <w:r>
        <w:rPr>
          <w:rFonts w:ascii="Times New Roman" w:eastAsia="Times New Roman" w:hAnsi="Times New Roman" w:cs="Times New Roman"/>
          <w:color w:val="000000"/>
          <w:spacing w:val="0"/>
          <w:w w:val="100"/>
          <w:position w:val="0"/>
        </w:rPr>
        <w:t>3,325,000</w:t>
      </w:r>
      <w:r>
        <w:rPr>
          <w:color w:val="000000"/>
          <w:spacing w:val="0"/>
          <w:w w:val="100"/>
          <w:position w:val="0"/>
        </w:rPr>
        <w:t>股解除限售并上市流通，实际上市流通</w:t>
      </w:r>
      <w:r>
        <w:rPr>
          <w:rFonts w:ascii="Times New Roman" w:eastAsia="Times New Roman" w:hAnsi="Times New Roman" w:cs="Times New Roman"/>
          <w:color w:val="000000"/>
          <w:spacing w:val="0"/>
          <w:w w:val="100"/>
          <w:position w:val="0"/>
        </w:rPr>
        <w:t xml:space="preserve">2,237,500 </w:t>
      </w:r>
      <w:r>
        <w:rPr>
          <w:color w:val="000000"/>
          <w:spacing w:val="0"/>
          <w:w w:val="100"/>
          <w:position w:val="0"/>
        </w:rPr>
        <w:t>股，新增高管锁定股（限售股）</w:t>
      </w:r>
      <w:r>
        <w:rPr>
          <w:rFonts w:ascii="Times New Roman" w:eastAsia="Times New Roman" w:hAnsi="Times New Roman" w:cs="Times New Roman"/>
          <w:color w:val="000000"/>
          <w:spacing w:val="0"/>
          <w:w w:val="100"/>
          <w:position w:val="0"/>
        </w:rPr>
        <w:t>1,087,500</w:t>
      </w:r>
      <w:r>
        <w:rPr>
          <w:color w:val="000000"/>
          <w:spacing w:val="0"/>
          <w:w w:val="100"/>
          <w:position w:val="0"/>
        </w:rPr>
        <w:t>股。</w:t>
      </w:r>
    </w:p>
    <w:p>
      <w:pPr>
        <w:pStyle w:val="Style37"/>
        <w:keepNext w:val="0"/>
        <w:keepLines w:val="0"/>
        <w:widowControl w:val="0"/>
        <w:shd w:val="clear" w:color="auto" w:fill="auto"/>
        <w:tabs>
          <w:tab w:pos="812" w:val="left"/>
        </w:tabs>
        <w:bidi w:val="0"/>
        <w:spacing w:before="0" w:after="0" w:line="312" w:lineRule="exact"/>
        <w:ind w:left="0" w:right="0" w:firstLine="300"/>
        <w:jc w:val="left"/>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年股权激励计划第一个行权期采用自主行权模式，实际可行权期限为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日止，可行权数量为</w:t>
      </w:r>
      <w:r>
        <w:rPr>
          <w:rFonts w:ascii="Times New Roman" w:eastAsia="Times New Roman" w:hAnsi="Times New Roman" w:cs="Times New Roman"/>
          <w:color w:val="000000"/>
          <w:spacing w:val="0"/>
          <w:w w:val="100"/>
          <w:position w:val="0"/>
        </w:rPr>
        <w:t>10,760,000</w:t>
      </w:r>
      <w:r>
        <w:rPr>
          <w:color w:val="000000"/>
          <w:spacing w:val="0"/>
          <w:w w:val="100"/>
          <w:position w:val="0"/>
        </w:rPr>
        <w:t>份。本报告期内，激励对象累计行权</w:t>
      </w:r>
      <w:r>
        <w:rPr>
          <w:rFonts w:ascii="Times New Roman" w:eastAsia="Times New Roman" w:hAnsi="Times New Roman" w:cs="Times New Roman"/>
          <w:color w:val="000000"/>
          <w:spacing w:val="0"/>
          <w:w w:val="100"/>
          <w:position w:val="0"/>
        </w:rPr>
        <w:t>5,687,554</w:t>
      </w:r>
      <w:r>
        <w:rPr>
          <w:color w:val="000000"/>
          <w:spacing w:val="0"/>
          <w:w w:val="100"/>
          <w:position w:val="0"/>
        </w:rPr>
        <w:t>股，导致公司总股本增加。其中，公司 高级管理人员于宏志先生累计行权</w:t>
      </w:r>
      <w:r>
        <w:rPr>
          <w:rFonts w:ascii="Times New Roman" w:eastAsia="Times New Roman" w:hAnsi="Times New Roman" w:cs="Times New Roman"/>
          <w:color w:val="000000"/>
          <w:spacing w:val="0"/>
          <w:w w:val="100"/>
          <w:position w:val="0"/>
        </w:rPr>
        <w:t>150,000</w:t>
      </w:r>
      <w:r>
        <w:rPr>
          <w:color w:val="000000"/>
          <w:spacing w:val="0"/>
          <w:w w:val="100"/>
          <w:position w:val="0"/>
        </w:rPr>
        <w:t>股，导致本报告期内新增高管锁定股（限售股）</w:t>
      </w:r>
      <w:r>
        <w:rPr>
          <w:rFonts w:ascii="Times New Roman" w:eastAsia="Times New Roman" w:hAnsi="Times New Roman" w:cs="Times New Roman"/>
          <w:color w:val="000000"/>
          <w:spacing w:val="0"/>
          <w:w w:val="100"/>
          <w:position w:val="0"/>
        </w:rPr>
        <w:t>112,500</w:t>
      </w:r>
      <w:r>
        <w:rPr>
          <w:color w:val="000000"/>
          <w:spacing w:val="0"/>
          <w:w w:val="100"/>
          <w:position w:val="0"/>
        </w:rPr>
        <w:t>股。</w:t>
      </w:r>
    </w:p>
    <w:p>
      <w:pPr>
        <w:pStyle w:val="Style37"/>
        <w:keepNext w:val="0"/>
        <w:keepLines w:val="0"/>
        <w:widowControl w:val="0"/>
        <w:shd w:val="clear" w:color="auto" w:fill="auto"/>
        <w:bidi w:val="0"/>
        <w:spacing w:before="0" w:after="140" w:line="322" w:lineRule="exact"/>
        <w:ind w:left="0" w:right="0" w:firstLine="300"/>
        <w:jc w:val="left"/>
      </w:pPr>
      <w:bookmarkStart w:id="459" w:name="bookmark459"/>
      <w:r>
        <w:rPr>
          <w:rFonts w:ascii="Times New Roman" w:eastAsia="Times New Roman" w:hAnsi="Times New Roman" w:cs="Times New Roman"/>
          <w:color w:val="000000"/>
          <w:spacing w:val="0"/>
          <w:w w:val="100"/>
          <w:position w:val="0"/>
        </w:rPr>
        <w:t>3</w:t>
      </w:r>
      <w:bookmarkEnd w:id="459"/>
      <w:r>
        <w:rPr>
          <w:color w:val="000000"/>
          <w:spacing w:val="0"/>
          <w:w w:val="100"/>
          <w:position w:val="0"/>
        </w:rPr>
        <w:t>、 因公司原高级管理人员任玉龙先生于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日辞职，本报告期内，任玉龙先生增持公司股份</w:t>
      </w:r>
      <w:r>
        <w:rPr>
          <w:rFonts w:ascii="Times New Roman" w:eastAsia="Times New Roman" w:hAnsi="Times New Roman" w:cs="Times New Roman"/>
          <w:color w:val="000000"/>
          <w:spacing w:val="0"/>
          <w:w w:val="100"/>
          <w:position w:val="0"/>
        </w:rPr>
        <w:t>5,700</w:t>
      </w:r>
      <w:r>
        <w:rPr>
          <w:color w:val="000000"/>
          <w:spacing w:val="0"/>
          <w:w w:val="100"/>
          <w:position w:val="0"/>
        </w:rPr>
        <w:t>股，导致 本报告期内新增高管锁定股（限售股）</w:t>
      </w:r>
      <w:r>
        <w:rPr>
          <w:rFonts w:ascii="Times New Roman" w:eastAsia="Times New Roman" w:hAnsi="Times New Roman" w:cs="Times New Roman"/>
          <w:color w:val="000000"/>
          <w:spacing w:val="0"/>
          <w:w w:val="100"/>
          <w:position w:val="0"/>
        </w:rPr>
        <w:t>4,275</w:t>
      </w:r>
      <w:r>
        <w:rPr>
          <w:color w:val="000000"/>
          <w:spacing w:val="0"/>
          <w:w w:val="100"/>
          <w:position w:val="0"/>
        </w:rPr>
        <w:t>股。</w:t>
      </w:r>
    </w:p>
    <w:p>
      <w:pPr>
        <w:pStyle w:val="Style37"/>
        <w:keepNext w:val="0"/>
        <w:keepLines w:val="0"/>
        <w:widowControl w:val="0"/>
        <w:shd w:val="clear" w:color="auto" w:fill="auto"/>
        <w:bidi w:val="0"/>
        <w:spacing w:before="0" w:after="180" w:line="312" w:lineRule="exact"/>
        <w:ind w:left="0" w:right="0" w:firstLine="0"/>
        <w:jc w:val="left"/>
      </w:pPr>
      <w:r>
        <w:rPr>
          <w:color w:val="000000"/>
          <w:spacing w:val="0"/>
          <w:w w:val="100"/>
          <w:position w:val="0"/>
        </w:rPr>
        <w:t>股份变动的批准情况</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十五、公司股权激励计划、员工持股计划或其他员工激励措施的实施情况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180" w:line="312" w:lineRule="exact"/>
        <w:ind w:left="0" w:right="0" w:firstLine="0"/>
        <w:jc w:val="left"/>
      </w:pPr>
      <w:r>
        <w:rPr>
          <w:color w:val="000000"/>
          <w:spacing w:val="0"/>
          <w:w w:val="100"/>
          <w:position w:val="0"/>
        </w:rPr>
        <w:t>股份变动的过户情况</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十五、公司股权激励计划、员工持股计划或其他员工激励措施的实施情况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180" w:line="312" w:lineRule="exact"/>
        <w:ind w:left="0" w:right="0" w:firstLine="0"/>
        <w:jc w:val="left"/>
      </w:pPr>
      <w:r>
        <w:rPr>
          <w:color w:val="000000"/>
          <w:spacing w:val="0"/>
          <w:w w:val="100"/>
          <w:position w:val="0"/>
        </w:rPr>
        <w:t>股份回购的实施进展情况</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日召开第八届董事会第七次会议审议通过了《关于以集中竞价交易方式回购公司股份方案的议案》, 同意公司使用自有资金或自筹资金以集中竞价交易方式回购公司</w:t>
      </w:r>
      <w:r>
        <w:rPr>
          <w:rFonts w:ascii="Times New Roman" w:eastAsia="Times New Roman" w:hAnsi="Times New Roman" w:cs="Times New Roman"/>
          <w:color w:val="000000"/>
          <w:spacing w:val="0"/>
          <w:w w:val="100"/>
          <w:position w:val="0"/>
        </w:rPr>
        <w:t>A</w:t>
      </w:r>
      <w:r>
        <w:rPr>
          <w:color w:val="000000"/>
          <w:spacing w:val="0"/>
          <w:w w:val="100"/>
          <w:position w:val="0"/>
        </w:rPr>
        <w:t>股股份（以下简称</w:t>
      </w:r>
      <w:r>
        <w:rPr>
          <w:rFonts w:ascii="Times New Roman" w:eastAsia="Times New Roman" w:hAnsi="Times New Roman" w:cs="Times New Roman"/>
          <w:color w:val="000000"/>
          <w:spacing w:val="0"/>
          <w:w w:val="100"/>
          <w:position w:val="0"/>
        </w:rPr>
        <w:t>“</w:t>
      </w:r>
      <w:r>
        <w:rPr>
          <w:color w:val="000000"/>
          <w:spacing w:val="0"/>
          <w:w w:val="100"/>
          <w:position w:val="0"/>
        </w:rPr>
        <w:t>本次回购</w:t>
      </w:r>
      <w:r>
        <w:rPr>
          <w:rFonts w:ascii="Times New Roman" w:eastAsia="Times New Roman" w:hAnsi="Times New Roman" w:cs="Times New Roman"/>
          <w:color w:val="000000"/>
          <w:spacing w:val="0"/>
          <w:w w:val="100"/>
          <w:position w:val="0"/>
        </w:rPr>
        <w:t>”</w:t>
      </w:r>
      <w:r>
        <w:rPr>
          <w:color w:val="000000"/>
          <w:spacing w:val="0"/>
          <w:w w:val="100"/>
          <w:position w:val="0"/>
        </w:rPr>
        <w:t>），用于实施公司员工持股 计划或股权激励。本次回购股份的价格为不超过人民币</w:t>
      </w:r>
      <w:r>
        <w:rPr>
          <w:rFonts w:ascii="Times New Roman" w:eastAsia="Times New Roman" w:hAnsi="Times New Roman" w:cs="Times New Roman"/>
          <w:color w:val="000000"/>
          <w:spacing w:val="0"/>
          <w:w w:val="100"/>
          <w:position w:val="0"/>
        </w:rPr>
        <w:t>25.5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股（含），回购资金总额为不低于人民币</w:t>
      </w:r>
      <w:r>
        <w:rPr>
          <w:rFonts w:ascii="Times New Roman" w:eastAsia="Times New Roman" w:hAnsi="Times New Roman" w:cs="Times New Roman"/>
          <w:color w:val="000000"/>
          <w:spacing w:val="0"/>
          <w:w w:val="100"/>
          <w:position w:val="0"/>
        </w:rPr>
        <w:t>1</w:t>
      </w:r>
      <w:r>
        <w:rPr>
          <w:color w:val="000000"/>
          <w:spacing w:val="0"/>
          <w:w w:val="100"/>
          <w:position w:val="0"/>
        </w:rPr>
        <w:t>亿元且不超过人民 币</w:t>
      </w:r>
      <w:r>
        <w:rPr>
          <w:rFonts w:ascii="Times New Roman" w:eastAsia="Times New Roman" w:hAnsi="Times New Roman" w:cs="Times New Roman"/>
          <w:color w:val="000000"/>
          <w:spacing w:val="0"/>
          <w:w w:val="100"/>
          <w:position w:val="0"/>
        </w:rPr>
        <w:t>2</w:t>
      </w:r>
      <w:r>
        <w:rPr>
          <w:color w:val="000000"/>
          <w:spacing w:val="0"/>
          <w:w w:val="100"/>
          <w:position w:val="0"/>
        </w:rPr>
        <w:t>亿元（均包含本数）本次回购期限为自董事会审议通过本次回购方案之日起</w:t>
      </w:r>
      <w:r>
        <w:rPr>
          <w:rFonts w:ascii="Times New Roman" w:eastAsia="Times New Roman" w:hAnsi="Times New Roman" w:cs="Times New Roman"/>
          <w:color w:val="000000"/>
          <w:spacing w:val="0"/>
          <w:w w:val="100"/>
          <w:position w:val="0"/>
        </w:rPr>
        <w:t>12</w:t>
      </w:r>
      <w:r>
        <w:rPr>
          <w:color w:val="000000"/>
          <w:spacing w:val="0"/>
          <w:w w:val="100"/>
          <w:position w:val="0"/>
        </w:rPr>
        <w:t>个月内。</w:t>
      </w:r>
    </w:p>
    <w:p>
      <w:pPr>
        <w:pStyle w:val="Style3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日首次通过回购专用证券账户以集中竞价交易方式实施了本次回购方案。截至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日，公司累计回购股份</w:t>
      </w:r>
      <w:r>
        <w:rPr>
          <w:rFonts w:ascii="Times New Roman" w:eastAsia="Times New Roman" w:hAnsi="Times New Roman" w:cs="Times New Roman"/>
          <w:color w:val="000000"/>
          <w:spacing w:val="0"/>
          <w:w w:val="100"/>
          <w:position w:val="0"/>
        </w:rPr>
        <w:t>8,775,208</w:t>
      </w:r>
      <w:r>
        <w:rPr>
          <w:color w:val="000000"/>
          <w:spacing w:val="0"/>
          <w:w w:val="100"/>
          <w:position w:val="0"/>
        </w:rPr>
        <w:t>股，购买股份的最高成交价为</w:t>
      </w:r>
      <w:r>
        <w:rPr>
          <w:rFonts w:ascii="Times New Roman" w:eastAsia="Times New Roman" w:hAnsi="Times New Roman" w:cs="Times New Roman"/>
          <w:color w:val="000000"/>
          <w:spacing w:val="0"/>
          <w:w w:val="100"/>
          <w:position w:val="0"/>
        </w:rPr>
        <w:t>16.70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14.80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股，支付的总金额约为 </w:t>
      </w:r>
      <w:r>
        <w:rPr>
          <w:rFonts w:ascii="Times New Roman" w:eastAsia="Times New Roman" w:hAnsi="Times New Roman" w:cs="Times New Roman"/>
          <w:color w:val="000000"/>
          <w:spacing w:val="0"/>
          <w:w w:val="100"/>
          <w:position w:val="0"/>
        </w:rPr>
        <w:t>13,921.59</w:t>
      </w:r>
      <w:r>
        <w:rPr>
          <w:color w:val="000000"/>
          <w:spacing w:val="0"/>
          <w:w w:val="100"/>
          <w:position w:val="0"/>
        </w:rPr>
        <w:t>万元（不含佣金、过户费等交易费用）。</w:t>
      </w:r>
    </w:p>
    <w:p>
      <w:pPr>
        <w:pStyle w:val="Style37"/>
        <w:keepNext w:val="0"/>
        <w:keepLines w:val="0"/>
        <w:widowControl w:val="0"/>
        <w:shd w:val="clear" w:color="auto" w:fill="auto"/>
        <w:bidi w:val="0"/>
        <w:spacing w:before="0" w:after="140" w:line="315" w:lineRule="exact"/>
        <w:ind w:left="0" w:right="0" w:firstLine="300"/>
        <w:jc w:val="left"/>
      </w:pPr>
      <w:r>
        <w:rPr>
          <w:color w:val="000000"/>
          <w:spacing w:val="0"/>
          <w:w w:val="100"/>
          <w:position w:val="0"/>
        </w:rPr>
        <w:t>截至本报告披露日，公司累计通过回购专用证券账户以集中竞价交易方式回购公司股份</w:t>
      </w:r>
      <w:r>
        <w:rPr>
          <w:rFonts w:ascii="Times New Roman" w:eastAsia="Times New Roman" w:hAnsi="Times New Roman" w:cs="Times New Roman"/>
          <w:color w:val="000000"/>
          <w:spacing w:val="0"/>
          <w:w w:val="100"/>
          <w:position w:val="0"/>
        </w:rPr>
        <w:t>12,864,476</w:t>
      </w:r>
      <w:r>
        <w:rPr>
          <w:color w:val="000000"/>
          <w:spacing w:val="0"/>
          <w:w w:val="100"/>
          <w:position w:val="0"/>
        </w:rPr>
        <w:t>股，购买股份的最高 成交价为</w:t>
      </w:r>
      <w:r>
        <w:rPr>
          <w:rFonts w:ascii="Times New Roman" w:eastAsia="Times New Roman" w:hAnsi="Times New Roman" w:cs="Times New Roman"/>
          <w:color w:val="000000"/>
          <w:spacing w:val="0"/>
          <w:w w:val="100"/>
          <w:position w:val="0"/>
        </w:rPr>
        <w:t>16.70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14.70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股，实际支付的总金额为人民币</w:t>
      </w:r>
      <w:r>
        <w:rPr>
          <w:rFonts w:ascii="Times New Roman" w:eastAsia="Times New Roman" w:hAnsi="Times New Roman" w:cs="Times New Roman"/>
          <w:color w:val="000000"/>
          <w:spacing w:val="0"/>
          <w:w w:val="100"/>
          <w:position w:val="0"/>
        </w:rPr>
        <w:t>200,030,533.97</w:t>
      </w:r>
      <w:r>
        <w:rPr>
          <w:color w:val="000000"/>
          <w:spacing w:val="0"/>
          <w:w w:val="100"/>
          <w:position w:val="0"/>
        </w:rPr>
        <w:t>元（不含佣金、过户费等交易 费用）。公司本次回购股份方案已实施完毕。上述具体内容可详见《证券时报》和巨潮资讯网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w:t>
      </w:r>
      <w:r>
        <w:rPr>
          <w:color w:val="000000"/>
          <w:spacing w:val="0"/>
          <w:w w:val="100"/>
          <w:position w:val="0"/>
        </w:rPr>
        <w:t xml:space="preserve"> 相关公告。</w:t>
      </w:r>
    </w:p>
    <w:p>
      <w:pPr>
        <w:pStyle w:val="Style37"/>
        <w:keepNext w:val="0"/>
        <w:keepLines w:val="0"/>
        <w:widowControl w:val="0"/>
        <w:shd w:val="clear" w:color="auto" w:fill="auto"/>
        <w:bidi w:val="0"/>
        <w:spacing w:before="0" w:after="180" w:line="312" w:lineRule="exact"/>
        <w:ind w:left="0" w:right="0" w:firstLine="0"/>
        <w:jc w:val="left"/>
      </w:pPr>
      <w:r>
        <w:rPr>
          <w:color w:val="000000"/>
          <w:spacing w:val="0"/>
          <w:w w:val="100"/>
          <w:position w:val="0"/>
        </w:rPr>
        <w:t>采用集中竞价方式减持回购股份的实施进展情况</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6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本报告期内，因公司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年股权激励计划之部分限制性股票回购注销及股票期权自主行权，公司总股本由</w:t>
      </w:r>
      <w:r>
        <w:rPr>
          <w:rFonts w:ascii="Times New Roman" w:eastAsia="Times New Roman" w:hAnsi="Times New Roman" w:cs="Times New Roman"/>
          <w:color w:val="000000"/>
          <w:spacing w:val="0"/>
          <w:w w:val="100"/>
          <w:position w:val="0"/>
        </w:rPr>
        <w:t xml:space="preserve">970,381,273 </w:t>
      </w:r>
      <w:r>
        <w:rPr>
          <w:color w:val="000000"/>
          <w:spacing w:val="0"/>
          <w:w w:val="100"/>
          <w:position w:val="0"/>
        </w:rPr>
        <w:t>股增加至</w:t>
      </w:r>
      <w:r>
        <w:rPr>
          <w:rFonts w:ascii="Times New Roman" w:eastAsia="Times New Roman" w:hAnsi="Times New Roman" w:cs="Times New Roman"/>
          <w:color w:val="000000"/>
          <w:spacing w:val="0"/>
          <w:w w:val="100"/>
          <w:position w:val="0"/>
        </w:rPr>
        <w:t>975,768,827</w:t>
      </w:r>
      <w:r>
        <w:rPr>
          <w:color w:val="000000"/>
          <w:spacing w:val="0"/>
          <w:w w:val="100"/>
          <w:position w:val="0"/>
        </w:rPr>
        <w:t>股。按照变动后的新股本</w:t>
      </w:r>
      <w:r>
        <w:rPr>
          <w:rFonts w:ascii="Times New Roman" w:eastAsia="Times New Roman" w:hAnsi="Times New Roman" w:cs="Times New Roman"/>
          <w:color w:val="000000"/>
          <w:spacing w:val="0"/>
          <w:w w:val="100"/>
          <w:position w:val="0"/>
        </w:rPr>
        <w:t>975,768,827</w:t>
      </w:r>
      <w:r>
        <w:rPr>
          <w:color w:val="000000"/>
          <w:spacing w:val="0"/>
          <w:w w:val="100"/>
          <w:position w:val="0"/>
        </w:rPr>
        <w:t>股计算，并在此基础上考虑已回购股份的影响，</w:t>
      </w:r>
      <w:r>
        <w:rPr>
          <w:rFonts w:ascii="Times New Roman" w:eastAsia="Times New Roman" w:hAnsi="Times New Roman" w:cs="Times New Roman"/>
          <w:color w:val="000000"/>
          <w:spacing w:val="0"/>
          <w:w w:val="100"/>
          <w:position w:val="0"/>
        </w:rPr>
        <w:t>2020</w:t>
      </w:r>
      <w:r>
        <w:rPr>
          <w:color w:val="000000"/>
          <w:spacing w:val="0"/>
          <w:w w:val="100"/>
          <w:position w:val="0"/>
        </w:rPr>
        <w:t>年度基本 每股收益、稀释每股收益和归属于公司普通股股东的每股净资产分别为</w:t>
      </w:r>
      <w:r>
        <w:rPr>
          <w:rFonts w:ascii="Times New Roman" w:eastAsia="Times New Roman" w:hAnsi="Times New Roman" w:cs="Times New Roman"/>
          <w:color w:val="000000"/>
          <w:spacing w:val="0"/>
          <w:w w:val="100"/>
          <w:position w:val="0"/>
        </w:rPr>
        <w:t>0.4933</w:t>
      </w:r>
      <w:r>
        <w:rPr>
          <w:color w:val="000000"/>
          <w:spacing w:val="0"/>
          <w:w w:val="100"/>
          <w:position w:val="0"/>
        </w:rPr>
        <w:t>元、</w:t>
      </w:r>
      <w:r>
        <w:rPr>
          <w:rFonts w:ascii="Times New Roman" w:eastAsia="Times New Roman" w:hAnsi="Times New Roman" w:cs="Times New Roman"/>
          <w:color w:val="000000"/>
          <w:spacing w:val="0"/>
          <w:w w:val="100"/>
          <w:position w:val="0"/>
        </w:rPr>
        <w:t>0.4906</w:t>
      </w:r>
      <w:r>
        <w:rPr>
          <w:color w:val="000000"/>
          <w:spacing w:val="0"/>
          <w:w w:val="100"/>
          <w:position w:val="0"/>
        </w:rPr>
        <w:t>元、</w:t>
      </w:r>
      <w:r>
        <w:rPr>
          <w:rFonts w:ascii="Times New Roman" w:eastAsia="Times New Roman" w:hAnsi="Times New Roman" w:cs="Times New Roman"/>
          <w:color w:val="000000"/>
          <w:spacing w:val="0"/>
          <w:w w:val="100"/>
          <w:position w:val="0"/>
        </w:rPr>
        <w:t>5.78</w:t>
      </w:r>
      <w:r>
        <w:rPr>
          <w:color w:val="000000"/>
          <w:spacing w:val="0"/>
          <w:w w:val="100"/>
          <w:position w:val="0"/>
        </w:rPr>
        <w:t>元。</w:t>
      </w:r>
    </w:p>
    <w:p>
      <w:pPr>
        <w:pStyle w:val="Style37"/>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公司认为必要或证券监管机构要求披露的其他内容</w:t>
      </w:r>
    </w:p>
    <w:p>
      <w:pPr>
        <w:pStyle w:val="Style3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2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、限售股份变动情况</w:t>
      </w:r>
      <w:bookmarkEnd w:id="460"/>
      <w:bookmarkEnd w:id="461"/>
      <w:bookmarkEnd w:id="463"/>
    </w:p>
    <w:p>
      <w:pPr>
        <w:pStyle w:val="Style37"/>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1277"/>
        <w:gridCol w:w="994"/>
        <w:gridCol w:w="989"/>
        <w:gridCol w:w="1277"/>
        <w:gridCol w:w="1560"/>
        <w:gridCol w:w="234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8,527,926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8,527,926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8,527,926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8,527,926 </w:t>
            </w:r>
            <w:r>
              <w:rPr>
                <w:color w:val="000000"/>
                <w:spacing w:val="0"/>
                <w:w w:val="100"/>
                <w:position w:val="0"/>
              </w:rPr>
              <w:t>股。</w:t>
            </w:r>
          </w:p>
        </w:tc>
      </w:tr>
      <w:tr>
        <w:trPr>
          <w:trHeight w:val="32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7,735,638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5,801,728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7,735,638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5,801,728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7,735,638 </w:t>
            </w:r>
            <w:r>
              <w:rPr>
                <w:color w:val="000000"/>
                <w:spacing w:val="0"/>
                <w:w w:val="100"/>
                <w:position w:val="0"/>
              </w:rPr>
              <w:t xml:space="preserve">股，本期 增加限售股 </w:t>
            </w:r>
            <w:r>
              <w:rPr>
                <w:rFonts w:ascii="Times New Roman" w:eastAsia="Times New Roman" w:hAnsi="Times New Roman" w:cs="Times New Roman"/>
                <w:color w:val="000000"/>
                <w:spacing w:val="0"/>
                <w:w w:val="100"/>
                <w:position w:val="0"/>
              </w:rPr>
              <w:t>5,801,728</w:t>
            </w:r>
            <w:r>
              <w:rPr>
                <w:color w:val="000000"/>
                <w:spacing w:val="0"/>
                <w:w w:val="100"/>
                <w:position w:val="0"/>
              </w:rPr>
              <w:t>股为高管 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、非公开发行限售股解除限 售情况：</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 除限售</w:t>
            </w:r>
            <w:r>
              <w:rPr>
                <w:rFonts w:ascii="Times New Roman" w:eastAsia="Times New Roman" w:hAnsi="Times New Roman" w:cs="Times New Roman"/>
                <w:color w:val="000000"/>
                <w:spacing w:val="0"/>
                <w:w w:val="100"/>
                <w:position w:val="0"/>
              </w:rPr>
              <w:t>7,735,638</w:t>
            </w:r>
            <w:r>
              <w:rPr>
                <w:color w:val="000000"/>
                <w:spacing w:val="0"/>
                <w:w w:val="100"/>
                <w:position w:val="0"/>
              </w:rPr>
              <w:t>股。</w:t>
            </w:r>
            <w:r>
              <w:rPr>
                <w:rFonts w:ascii="Times New Roman" w:eastAsia="Times New Roman" w:hAnsi="Times New Roman" w:cs="Times New Roman"/>
                <w:color w:val="000000"/>
                <w:spacing w:val="0"/>
                <w:w w:val="100"/>
                <w:position w:val="0"/>
              </w:rPr>
              <w:t>2</w:t>
            </w:r>
            <w:r>
              <w:rPr>
                <w:color w:val="000000"/>
                <w:spacing w:val="0"/>
                <w:w w:val="100"/>
                <w:position w:val="0"/>
              </w:rPr>
              <w:t>、吴冬 华先生于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日离 任，不再担任公司副总裁职 务，在其任公司高级管理人员 时确定的任期（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日）内及任期届满后六个月 内，每年转让的股份不得超过 其持有公司股份总数的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南京博飞信 投资管理有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2,808,225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2,808,225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2,808,225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2,808,225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南京明通投 资管理中心</w: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838,887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838,887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838,887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716,097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716,097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716,097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715,698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715,698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715,698 </w:t>
            </w: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吴秀兰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705,251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705,251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705,251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119,349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119,349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119,349 </w:t>
            </w:r>
            <w:r>
              <w:rPr>
                <w:color w:val="000000"/>
                <w:spacing w:val="0"/>
                <w:w w:val="100"/>
                <w:position w:val="0"/>
              </w:rPr>
              <w:t>股。</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王计斌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105,308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tc>
      </w:tr>
    </w:tbl>
    <w:p>
      <w:pPr>
        <w:spacing w:lineRule="exact" w:line="1"/>
        <w:rPr>
          <w:sz w:val="2"/>
          <w:szCs w:val="2"/>
        </w:rPr>
      </w:pPr>
      <w:r>
        <w:br w:type="page"/>
      </w:r>
    </w:p>
    <w:tbl>
      <w:tblPr>
        <w:tblOverlap w:val="never"/>
        <w:jc w:val="center"/>
        <w:tblLayout w:type="fixed"/>
      </w:tblPr>
      <w:tblGrid>
        <w:gridCol w:w="1138"/>
        <w:gridCol w:w="1277"/>
        <w:gridCol w:w="994"/>
        <w:gridCol w:w="989"/>
        <w:gridCol w:w="1277"/>
        <w:gridCol w:w="1560"/>
        <w:gridCol w:w="2347"/>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105,308 </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105,308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非公开发行限售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63,185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日解除限售</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63,185 </w:t>
            </w:r>
            <w:r>
              <w:rPr>
                <w:color w:val="000000"/>
                <w:spacing w:val="0"/>
                <w:w w:val="100"/>
                <w:position w:val="0"/>
              </w:rPr>
              <w:t>股。</w:t>
            </w: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年股权 激励计划之 限制性股票 激励</w:t>
            </w:r>
            <w:r>
              <w:rPr>
                <w:rFonts w:ascii="Times New Roman" w:eastAsia="Times New Roman" w:hAnsi="Times New Roman" w:cs="Times New Roman"/>
                <w:color w:val="000000"/>
                <w:spacing w:val="0"/>
                <w:w w:val="100"/>
                <w:position w:val="0"/>
              </w:rPr>
              <w:t>16</w:t>
            </w:r>
            <w:r>
              <w:rPr>
                <w:color w:val="000000"/>
                <w:spacing w:val="0"/>
                <w:w w:val="100"/>
                <w:position w:val="0"/>
              </w:rPr>
              <w:t>名对 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年股票期权与 限制性股票激励计 划授予限制性股票 激励对象</w:t>
            </w:r>
            <w:r>
              <w:rPr>
                <w:rFonts w:ascii="Times New Roman" w:eastAsia="Times New Roman" w:hAnsi="Times New Roman" w:cs="Times New Roman"/>
                <w:color w:val="000000"/>
                <w:spacing w:val="0"/>
                <w:w w:val="100"/>
                <w:position w:val="0"/>
              </w:rPr>
              <w:t>695</w:t>
            </w:r>
            <w:r>
              <w:rPr>
                <w:color w:val="000000"/>
                <w:spacing w:val="0"/>
                <w:w w:val="100"/>
                <w:position w:val="0"/>
              </w:rPr>
              <w:t>万股 限制性股票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、股权激励限售股解除限售 情况：</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日解 除限售</w:t>
            </w:r>
            <w:r>
              <w:rPr>
                <w:rFonts w:ascii="Times New Roman" w:eastAsia="Times New Roman" w:hAnsi="Times New Roman" w:cs="Times New Roman"/>
                <w:color w:val="000000"/>
                <w:spacing w:val="0"/>
                <w:w w:val="100"/>
                <w:position w:val="0"/>
              </w:rPr>
              <w:t>332.5</w:t>
            </w:r>
            <w:r>
              <w:rPr>
                <w:color w:val="000000"/>
                <w:spacing w:val="0"/>
                <w:w w:val="100"/>
                <w:position w:val="0"/>
              </w:rPr>
              <w:t>万股。</w:t>
            </w:r>
            <w:r>
              <w:rPr>
                <w:rFonts w:ascii="Times New Roman" w:eastAsia="Times New Roman" w:hAnsi="Times New Roman" w:cs="Times New Roman"/>
                <w:color w:val="000000"/>
                <w:spacing w:val="0"/>
                <w:w w:val="100"/>
                <w:position w:val="0"/>
              </w:rPr>
              <w:t>2</w:t>
            </w:r>
            <w:r>
              <w:rPr>
                <w:color w:val="000000"/>
                <w:spacing w:val="0"/>
                <w:w w:val="100"/>
                <w:position w:val="0"/>
              </w:rPr>
              <w:t xml:space="preserve">、股权 激励限售股回购注销情况：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日回购注销</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名已离职激励对象持有的</w:t>
            </w:r>
            <w:r>
              <w:rPr>
                <w:rFonts w:ascii="Times New Roman" w:eastAsia="Times New Roman" w:hAnsi="Times New Roman" w:cs="Times New Roman"/>
                <w:color w:val="000000"/>
                <w:spacing w:val="0"/>
                <w:w w:val="100"/>
                <w:position w:val="0"/>
              </w:rPr>
              <w:t xml:space="preserve">30 </w:t>
            </w:r>
            <w:r>
              <w:rPr>
                <w:color w:val="000000"/>
                <w:spacing w:val="0"/>
                <w:w w:val="100"/>
                <w:position w:val="0"/>
              </w:rPr>
              <w:t>万股限制性股票。</w:t>
            </w:r>
          </w:p>
        </w:tc>
      </w:tr>
      <w:tr>
        <w:trPr>
          <w:trHeight w:val="57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1,204,275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1,215,075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250"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任玉龙先生、郭新宝先生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日离任，不 再担任公司公司副总裁职务， 在其任公司高级管理人员时 确定的任期（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日）内及任期届满后六个月 内，每年转让的股份不得超过 其持有公司股份总数的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9"/>
              <w:keepNext w:val="0"/>
              <w:keepLines w:val="0"/>
              <w:widowControl w:val="0"/>
              <w:shd w:val="clear" w:color="auto" w:fill="auto"/>
              <w:tabs>
                <w:tab w:pos="27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于宏志先生于本报告期内 自主行权，持有公司股份 </w:t>
            </w:r>
            <w:r>
              <w:rPr>
                <w:rFonts w:ascii="Times New Roman" w:eastAsia="Times New Roman" w:hAnsi="Times New Roman" w:cs="Times New Roman"/>
                <w:color w:val="000000"/>
                <w:spacing w:val="0"/>
                <w:w w:val="100"/>
                <w:position w:val="0"/>
              </w:rPr>
              <w:t>150,000</w:t>
            </w:r>
            <w:r>
              <w:rPr>
                <w:color w:val="000000"/>
                <w:spacing w:val="0"/>
                <w:w w:val="100"/>
                <w:position w:val="0"/>
              </w:rPr>
              <w:t>股，在职期间所持公 司股份总数的</w:t>
            </w:r>
            <w:r>
              <w:rPr>
                <w:rFonts w:ascii="Times New Roman" w:eastAsia="Times New Roman" w:hAnsi="Times New Roman" w:cs="Times New Roman"/>
                <w:color w:val="000000"/>
                <w:spacing w:val="0"/>
                <w:w w:val="100"/>
                <w:position w:val="0"/>
              </w:rPr>
              <w:t>25%</w:t>
            </w:r>
            <w:r>
              <w:rPr>
                <w:color w:val="000000"/>
                <w:spacing w:val="0"/>
                <w:w w:val="100"/>
                <w:position w:val="0"/>
              </w:rPr>
              <w:t>为实际可 上市流通股份，剩余</w:t>
            </w:r>
            <w:r>
              <w:rPr>
                <w:rFonts w:ascii="Times New Roman" w:eastAsia="Times New Roman" w:hAnsi="Times New Roman" w:cs="Times New Roman"/>
                <w:color w:val="000000"/>
                <w:spacing w:val="0"/>
                <w:w w:val="100"/>
                <w:position w:val="0"/>
              </w:rPr>
              <w:t>75%</w:t>
            </w:r>
            <w:r>
              <w:rPr>
                <w:color w:val="000000"/>
                <w:spacing w:val="0"/>
                <w:w w:val="100"/>
                <w:position w:val="0"/>
              </w:rPr>
              <w:t>股份 将予以锁定。</w:t>
            </w:r>
            <w:r>
              <w:rPr>
                <w:rFonts w:ascii="Times New Roman" w:eastAsia="Times New Roman" w:hAnsi="Times New Roman" w:cs="Times New Roman"/>
                <w:color w:val="000000"/>
                <w:spacing w:val="0"/>
                <w:w w:val="100"/>
                <w:position w:val="0"/>
              </w:rPr>
              <w:t>3</w:t>
            </w:r>
            <w:r>
              <w:rPr>
                <w:color w:val="000000"/>
                <w:spacing w:val="0"/>
                <w:w w:val="100"/>
                <w:position w:val="0"/>
              </w:rPr>
              <w:t>、限制性股票 解除限售后，激励对象中的高 级管理人员每年转让的股份 不得超过其持有公司股份总 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4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29,296,364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7,006,003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25,960,564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10,341,803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464" w:name="bookmark464"/>
      <w:bookmarkStart w:id="465" w:name="bookmark465"/>
      <w:bookmarkStart w:id="466" w:name="bookmark466"/>
      <w:bookmarkStart w:id="467" w:name="bookmark467"/>
      <w:r>
        <w:rPr>
          <w:color w:val="000000"/>
          <w:spacing w:val="0"/>
          <w:w w:val="100"/>
          <w:position w:val="0"/>
          <w:sz w:val="24"/>
          <w:szCs w:val="24"/>
        </w:rPr>
        <w:t>二</w:t>
      </w:r>
      <w:bookmarkEnd w:id="466"/>
      <w:r>
        <w:rPr>
          <w:color w:val="000000"/>
          <w:spacing w:val="0"/>
          <w:w w:val="100"/>
          <w:position w:val="0"/>
          <w:sz w:val="24"/>
          <w:szCs w:val="24"/>
        </w:rPr>
        <w:t>、证券发行与上市情况</w:t>
      </w:r>
      <w:bookmarkEnd w:id="464"/>
      <w:bookmarkEnd w:id="465"/>
      <w:bookmarkEnd w:id="467"/>
    </w:p>
    <w:p>
      <w:pPr>
        <w:pStyle w:val="Style41"/>
        <w:keepNext/>
        <w:keepLines/>
        <w:widowControl w:val="0"/>
        <w:shd w:val="clear" w:color="auto" w:fill="auto"/>
        <w:tabs>
          <w:tab w:pos="368" w:val="left"/>
        </w:tabs>
        <w:bidi w:val="0"/>
        <w:spacing w:before="0" w:after="260" w:line="24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报告期内证券发行（不含优先股）情况</w:t>
      </w:r>
      <w:bookmarkEnd w:id="468"/>
      <w:bookmarkEnd w:id="469"/>
      <w:bookmarkEnd w:id="471"/>
    </w:p>
    <w:p>
      <w:pPr>
        <w:pStyle w:val="Style37"/>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26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t>公司股份总数及股东结构的变动、公司资产和负债结构的变动情况说明</w:t>
      </w:r>
      <w:bookmarkEnd w:id="472"/>
      <w:bookmarkEnd w:id="473"/>
      <w:bookmarkEnd w:id="475"/>
    </w:p>
    <w:p>
      <w:pPr>
        <w:pStyle w:val="Style3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80" w:line="32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年度第二次临时股东大会审议通过了《关于回购注销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年股权激励计划部分限制性股票的 议案》。经中国证券登记结算有限责任公司深圳分公司审核确认，上述</w:t>
      </w:r>
      <w:r>
        <w:rPr>
          <w:rFonts w:ascii="Times New Roman" w:eastAsia="Times New Roman" w:hAnsi="Times New Roman" w:cs="Times New Roman"/>
          <w:color w:val="000000"/>
          <w:spacing w:val="0"/>
          <w:w w:val="100"/>
          <w:position w:val="0"/>
        </w:rPr>
        <w:t>30</w:t>
      </w:r>
      <w:r>
        <w:rPr>
          <w:color w:val="000000"/>
          <w:spacing w:val="0"/>
          <w:w w:val="100"/>
          <w:position w:val="0"/>
        </w:rPr>
        <w:t>万股限制性股票已于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日办理完成注销 手续。</w:t>
      </w:r>
    </w:p>
    <w:p>
      <w:pPr>
        <w:pStyle w:val="Style3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年第五次临时会议和第八届监事会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年第一次临时会议审议通过了《关于</w:t>
        <w:br w:type="page"/>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年股票期权与限制性股票激励计划第一个行权期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 xml:space="preserve">解除限售条件成就的议案》，同意为符合行权条件的 </w:t>
      </w:r>
      <w:r>
        <w:rPr>
          <w:rFonts w:ascii="Times New Roman" w:eastAsia="Times New Roman" w:hAnsi="Times New Roman" w:cs="Times New Roman"/>
          <w:color w:val="000000"/>
          <w:spacing w:val="0"/>
          <w:w w:val="100"/>
          <w:position w:val="0"/>
        </w:rPr>
        <w:t>100</w:t>
      </w:r>
      <w:r>
        <w:rPr>
          <w:color w:val="000000"/>
          <w:spacing w:val="0"/>
          <w:w w:val="100"/>
          <w:position w:val="0"/>
        </w:rPr>
        <w:t>名激励对象办理第一个行权期</w:t>
      </w:r>
      <w:r>
        <w:rPr>
          <w:rFonts w:ascii="Times New Roman" w:eastAsia="Times New Roman" w:hAnsi="Times New Roman" w:cs="Times New Roman"/>
          <w:color w:val="000000"/>
          <w:spacing w:val="0"/>
          <w:w w:val="100"/>
          <w:position w:val="0"/>
        </w:rPr>
        <w:t>1,076</w:t>
      </w:r>
      <w:r>
        <w:rPr>
          <w:color w:val="000000"/>
          <w:spacing w:val="0"/>
          <w:w w:val="100"/>
          <w:position w:val="0"/>
        </w:rPr>
        <w:t>万份股票期权的行权手续，为符合解除限售条件的</w:t>
      </w:r>
      <w:r>
        <w:rPr>
          <w:rFonts w:ascii="Times New Roman" w:eastAsia="Times New Roman" w:hAnsi="Times New Roman" w:cs="Times New Roman"/>
          <w:color w:val="000000"/>
          <w:spacing w:val="0"/>
          <w:w w:val="100"/>
          <w:position w:val="0"/>
        </w:rPr>
        <w:t>15</w:t>
      </w:r>
      <w:r>
        <w:rPr>
          <w:color w:val="000000"/>
          <w:spacing w:val="0"/>
          <w:w w:val="100"/>
          <w:position w:val="0"/>
        </w:rPr>
        <w:t>名激励对象办理第一个解除限售 期</w:t>
      </w:r>
      <w:r>
        <w:rPr>
          <w:rFonts w:ascii="Times New Roman" w:eastAsia="Times New Roman" w:hAnsi="Times New Roman" w:cs="Times New Roman"/>
          <w:color w:val="000000"/>
          <w:spacing w:val="0"/>
          <w:w w:val="100"/>
          <w:position w:val="0"/>
        </w:rPr>
        <w:t>332.50</w:t>
      </w:r>
      <w:r>
        <w:rPr>
          <w:color w:val="000000"/>
          <w:spacing w:val="0"/>
          <w:w w:val="100"/>
          <w:position w:val="0"/>
        </w:rPr>
        <w:t>万股限制性股票的解除限售手续。公司分别于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年股权激励计划限制性 股票第一期解除限售上市流通的提示性公告》、《关于2019年股权激励计划第一个行权期采用自主行权模式的提示性公告》， 本次解除限售股份的上市流通日为2020年11月12日，自主行权第一个行权期实际可行权期限为2020年11月19日起至2021年10 月29日止。</w:t>
      </w:r>
    </w:p>
    <w:p>
      <w:pPr>
        <w:pStyle w:val="Style26"/>
        <w:keepNext w:val="0"/>
        <w:keepLines w:val="0"/>
        <w:widowControl w:val="0"/>
        <w:shd w:val="clear" w:color="auto" w:fill="auto"/>
        <w:bidi w:val="0"/>
        <w:spacing w:before="0" w:after="0" w:line="322" w:lineRule="exact"/>
        <w:ind w:left="101" w:right="0" w:firstLine="0"/>
        <w:jc w:val="left"/>
      </w:pPr>
      <w:r>
        <w:rPr>
          <w:color w:val="000000"/>
          <w:spacing w:val="0"/>
          <w:w w:val="100"/>
          <w:position w:val="0"/>
        </w:rPr>
        <w:t>综上，截至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0，第一个行权期已行使股票期权数量为</w:t>
      </w:r>
      <w:r>
        <w:rPr>
          <w:rFonts w:ascii="Times New Roman" w:eastAsia="Times New Roman" w:hAnsi="Times New Roman" w:cs="Times New Roman"/>
          <w:color w:val="000000"/>
          <w:spacing w:val="0"/>
          <w:w w:val="100"/>
          <w:position w:val="0"/>
        </w:rPr>
        <w:t>5,687,554</w:t>
      </w:r>
      <w:r>
        <w:rPr>
          <w:color w:val="000000"/>
          <w:spacing w:val="0"/>
          <w:w w:val="100"/>
          <w:position w:val="0"/>
        </w:rPr>
        <w:t>股，公司总股本变更为</w:t>
      </w:r>
      <w:r>
        <w:rPr>
          <w:rFonts w:ascii="Times New Roman" w:eastAsia="Times New Roman" w:hAnsi="Times New Roman" w:cs="Times New Roman"/>
          <w:color w:val="000000"/>
          <w:spacing w:val="0"/>
          <w:w w:val="100"/>
          <w:position w:val="0"/>
        </w:rPr>
        <w:t>975,768,827</w:t>
      </w:r>
      <w:r>
        <w:rPr>
          <w:color w:val="000000"/>
          <w:spacing w:val="0"/>
          <w:w w:val="100"/>
          <w:position w:val="0"/>
        </w:rPr>
        <w:t>股。公 司股本结构变动为：</w:t>
      </w:r>
    </w:p>
    <w:tbl>
      <w:tblPr>
        <w:tblOverlap w:val="never"/>
        <w:jc w:val="center"/>
        <w:tblLayout w:type="fixed"/>
      </w:tblPr>
      <w:tblGrid>
        <w:gridCol w:w="2318"/>
        <w:gridCol w:w="1450"/>
        <w:gridCol w:w="1589"/>
        <w:gridCol w:w="1397"/>
        <w:gridCol w:w="1728"/>
        <w:gridCol w:w="1171"/>
      </w:tblGrid>
      <w:tr>
        <w:trPr>
          <w:trHeight w:val="46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股份类型</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本次变动数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一、有限售条件的流通股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29,296,364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-18,954,561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10,341,803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二、无限售条件的流通股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941,084,909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24,342,115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965,427,024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98.94%</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970,381,273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5,387,554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975,768,827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r>
    </w:tbl>
    <w:p>
      <w:pPr>
        <w:widowControl w:val="0"/>
        <w:spacing w:after="439" w:line="1" w:lineRule="exact"/>
      </w:pP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公司资产和负债结构的变动情况</w:t>
      </w:r>
    </w:p>
    <w:p>
      <w:pPr>
        <w:pStyle w:val="Style2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2352"/>
        <w:gridCol w:w="1603"/>
        <w:gridCol w:w="1992"/>
        <w:gridCol w:w="1704"/>
        <w:gridCol w:w="1997"/>
      </w:tblGrid>
      <w:tr>
        <w:trPr>
          <w:trHeight w:val="47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w:t>
            </w:r>
            <w:r>
              <w:rPr>
                <w:rFonts w:ascii="Times New Roman" w:eastAsia="Times New Roman" w:hAnsi="Times New Roman" w:cs="Times New Roman"/>
                <w:color w:val="000000"/>
                <w:spacing w:val="0"/>
                <w:w w:val="100"/>
                <w:position w:val="0"/>
              </w:rPr>
              <w:t>/</w:t>
            </w:r>
            <w:r>
              <w:rPr>
                <w:color w:val="000000"/>
                <w:spacing w:val="0"/>
                <w:w w:val="100"/>
                <w:position w:val="0"/>
              </w:rPr>
              <w:t>总负债比例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占总资产</w:t>
            </w:r>
            <w:r>
              <w:rPr>
                <w:rFonts w:ascii="Times New Roman" w:eastAsia="Times New Roman" w:hAnsi="Times New Roman" w:cs="Times New Roman"/>
                <w:color w:val="000000"/>
                <w:spacing w:val="0"/>
                <w:w w:val="100"/>
                <w:position w:val="0"/>
              </w:rPr>
              <w:t>/</w:t>
            </w:r>
            <w:r>
              <w:rPr>
                <w:color w:val="000000"/>
                <w:spacing w:val="0"/>
                <w:w w:val="100"/>
                <w:position w:val="0"/>
              </w:rPr>
              <w:t>总负债比例</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9,320,042,082.14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7,777,475,968.78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72.31%</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2,731,820,753.38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2,978,026,060.99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27.69%</w:t>
            </w:r>
          </w:p>
        </w:tc>
      </w:tr>
      <w:tr>
        <w:trPr>
          <w:trHeight w:val="6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12,051,862,835.52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10,755,502,029.77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6,309,209,567.23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99.11%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5,351,464,171.85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98.50%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56,785,673.05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81,713,804.30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6,365,995,240.28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5,433,177,976.15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5,685,867,595.24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5,322,324,053.62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49.48%</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5,585,144,941.02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5,219,351,789.16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48.53%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3</w:t>
      </w:r>
      <w:bookmarkEnd w:id="478"/>
      <w:r>
        <w:rPr>
          <w:color w:val="000000"/>
          <w:spacing w:val="0"/>
          <w:w w:val="100"/>
          <w:position w:val="0"/>
        </w:rPr>
        <w:t>、现存的内部职工股情况</w:t>
      </w:r>
      <w:bookmarkEnd w:id="476"/>
      <w:bookmarkEnd w:id="477"/>
      <w:bookmarkEnd w:id="479"/>
    </w:p>
    <w:p>
      <w:pPr>
        <w:pStyle w:val="Style3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5"/>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三</w:t>
      </w:r>
      <w:bookmarkEnd w:id="482"/>
      <w:r>
        <w:rPr>
          <w:color w:val="000000"/>
          <w:spacing w:val="0"/>
          <w:w w:val="100"/>
          <w:position w:val="0"/>
          <w:sz w:val="24"/>
          <w:szCs w:val="24"/>
        </w:rPr>
        <w:t>、股东和实际控制人情况</w:t>
      </w:r>
      <w:bookmarkEnd w:id="480"/>
      <w:bookmarkEnd w:id="481"/>
      <w:bookmarkEnd w:id="483"/>
    </w:p>
    <w:p>
      <w:pPr>
        <w:pStyle w:val="Style41"/>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、公司股东数量及持股情况</w:t>
      </w:r>
      <w:bookmarkEnd w:id="484"/>
      <w:bookmarkEnd w:id="485"/>
      <w:bookmarkEnd w:id="487"/>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360"/>
        <w:gridCol w:w="835"/>
        <w:gridCol w:w="581"/>
        <w:gridCol w:w="850"/>
        <w:gridCol w:w="960"/>
        <w:gridCol w:w="178"/>
        <w:gridCol w:w="850"/>
        <w:gridCol w:w="437"/>
        <w:gridCol w:w="413"/>
        <w:gridCol w:w="648"/>
        <w:gridCol w:w="346"/>
        <w:gridCol w:w="850"/>
        <w:gridCol w:w="134"/>
        <w:gridCol w:w="936"/>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80,672</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77,908</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前上一月末表决 权恢复的优先股 股东总数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66" w:hRule="exact"/>
        </w:trPr>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持有无限售 条件的股份</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562"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神州数码软件有限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39.92%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389,540,110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389,540,110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130,960,000</w:t>
            </w:r>
          </w:p>
        </w:tc>
      </w:tr>
      <w:tr>
        <w:trPr>
          <w:trHeight w:val="71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中新苏州工业园区 创业投资有限公司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64,675,937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64,675,937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昆山市申昌科技有 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49,708,280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49,708,280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6,632,000</w:t>
            </w:r>
          </w:p>
        </w:tc>
      </w:tr>
      <w:tr>
        <w:trPr>
          <w:trHeight w:val="1027"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Infinity I-China</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Investments(Israel),</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L.P.</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13,130,434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13,130,434</w:t>
            </w:r>
          </w:p>
        </w:tc>
      </w:tr>
      <w:tr>
        <w:trPr>
          <w:trHeight w:val="1027"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神州数码信息服务 股份有限公司回购 专用证券账户</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8,775,208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8,775,208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8,527,926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5,801,728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1,833,910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王宇飞</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-1,471,549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6,718,500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2,420,000</w:t>
            </w:r>
          </w:p>
        </w:tc>
      </w:tr>
      <w:tr>
        <w:trPr>
          <w:trHeight w:val="71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香港中央结算有限 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2,182,085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3,572,708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贺胜龙</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3,550,000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华亿投资</w:t>
            </w:r>
            <w:r>
              <w:rPr>
                <w:rFonts w:ascii="Times New Roman" w:eastAsia="Times New Roman" w:hAnsi="Times New Roman" w:cs="Times New Roman"/>
                <w:color w:val="000000"/>
                <w:spacing w:val="0"/>
                <w:w w:val="100"/>
                <w:position w:val="0"/>
              </w:rPr>
              <w:t>2013</w:t>
            </w:r>
            <w:r>
              <w:rPr>
                <w:color w:val="000000"/>
                <w:spacing w:val="0"/>
                <w:w w:val="100"/>
                <w:position w:val="0"/>
              </w:rPr>
              <w:t>年度认购公司非公开发行股份的价格为</w:t>
            </w:r>
            <w:r>
              <w:rPr>
                <w:rFonts w:ascii="Times New Roman" w:eastAsia="Times New Roman" w:hAnsi="Times New Roman" w:cs="Times New Roman"/>
                <w:color w:val="000000"/>
                <w:spacing w:val="0"/>
                <w:w w:val="100"/>
                <w:position w:val="0"/>
              </w:rPr>
              <w:t>9.44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股，认购股份数量为 </w:t>
            </w:r>
            <w:r>
              <w:rPr>
                <w:rFonts w:ascii="Times New Roman" w:eastAsia="Times New Roman" w:hAnsi="Times New Roman" w:cs="Times New Roman"/>
                <w:color w:val="000000"/>
                <w:spacing w:val="0"/>
                <w:w w:val="100"/>
                <w:position w:val="0"/>
              </w:rPr>
              <w:t>9,358,417</w:t>
            </w:r>
            <w:r>
              <w:rPr>
                <w:color w:val="000000"/>
                <w:spacing w:val="0"/>
                <w:w w:val="100"/>
                <w:position w:val="0"/>
              </w:rPr>
              <w:t>股，自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日起，限售期为</w:t>
            </w:r>
            <w:r>
              <w:rPr>
                <w:rFonts w:ascii="Times New Roman" w:eastAsia="Times New Roman" w:hAnsi="Times New Roman" w:cs="Times New Roman"/>
                <w:color w:val="000000"/>
                <w:spacing w:val="0"/>
                <w:w w:val="100"/>
                <w:position w:val="0"/>
              </w:rPr>
              <w:t>36</w:t>
            </w:r>
            <w:r>
              <w:rPr>
                <w:color w:val="000000"/>
                <w:spacing w:val="0"/>
                <w:w w:val="100"/>
                <w:position w:val="0"/>
              </w:rPr>
              <w:t>个月。</w:t>
            </w:r>
            <w:r>
              <w:rPr>
                <w:rFonts w:ascii="Times New Roman" w:eastAsia="Times New Roman" w:hAnsi="Times New Roman" w:cs="Times New Roman"/>
                <w:color w:val="000000"/>
                <w:spacing w:val="0"/>
                <w:w w:val="100"/>
                <w:position w:val="0"/>
              </w:rPr>
              <w:t>2015</w:t>
            </w:r>
            <w:r>
              <w:rPr>
                <w:color w:val="000000"/>
                <w:spacing w:val="0"/>
                <w:w w:val="100"/>
                <w:position w:val="0"/>
              </w:rPr>
              <w:t>年半年度实施资本 公积金</w:t>
            </w:r>
            <w:r>
              <w:rPr>
                <w:rFonts w:ascii="Times New Roman" w:eastAsia="Times New Roman" w:hAnsi="Times New Roman" w:cs="Times New Roman"/>
                <w:color w:val="000000"/>
                <w:spacing w:val="0"/>
                <w:w w:val="100"/>
                <w:position w:val="0"/>
              </w:rPr>
              <w:t>10</w:t>
            </w:r>
            <w:r>
              <w:rPr>
                <w:color w:val="000000"/>
                <w:spacing w:val="0"/>
                <w:w w:val="100"/>
                <w:position w:val="0"/>
              </w:rPr>
              <w:t>转</w:t>
            </w:r>
            <w:r>
              <w:rPr>
                <w:rFonts w:ascii="Times New Roman" w:eastAsia="Times New Roman" w:hAnsi="Times New Roman" w:cs="Times New Roman"/>
                <w:color w:val="000000"/>
                <w:spacing w:val="0"/>
                <w:w w:val="100"/>
                <w:position w:val="0"/>
              </w:rPr>
              <w:t>10</w:t>
            </w:r>
            <w:r>
              <w:rPr>
                <w:color w:val="000000"/>
                <w:spacing w:val="0"/>
                <w:w w:val="100"/>
                <w:position w:val="0"/>
              </w:rPr>
              <w:t>股后，华亿投资的股份增至</w:t>
            </w:r>
            <w:r>
              <w:rPr>
                <w:rFonts w:ascii="Times New Roman" w:eastAsia="Times New Roman" w:hAnsi="Times New Roman" w:cs="Times New Roman"/>
                <w:color w:val="000000"/>
                <w:spacing w:val="0"/>
                <w:w w:val="100"/>
                <w:position w:val="0"/>
              </w:rPr>
              <w:t>18,716,834</w:t>
            </w:r>
            <w:r>
              <w:rPr>
                <w:color w:val="000000"/>
                <w:spacing w:val="0"/>
                <w:w w:val="100"/>
                <w:position w:val="0"/>
              </w:rPr>
              <w:t>股。上述股份已于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日解除限售并上市流通。</w:t>
            </w:r>
          </w:p>
        </w:tc>
      </w:tr>
      <w:tr>
        <w:trPr>
          <w:trHeight w:val="710"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除公司回购专用证券账户外，神码软件与前十大其他股东均不存在关联关系。吴冬 华与程艳云系夫妻关系。</w:t>
            </w:r>
          </w:p>
        </w:tc>
      </w:tr>
      <w:tr>
        <w:trPr>
          <w:trHeight w:val="725"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受托表决权、放弃 表决权情况的说明</w:t>
            </w:r>
          </w:p>
        </w:tc>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4541"/>
        <w:gridCol w:w="1699"/>
        <w:gridCol w:w="1843"/>
        <w:gridCol w:w="1498"/>
      </w:tblGrid>
      <w:tr>
        <w:trPr>
          <w:trHeight w:val="466" w:hRule="exact"/>
        </w:trPr>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66"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报告期末持有无限售 条件股份数量</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389,540,110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389,540,110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中新苏州工业园区创业投资有限公司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64,675,937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64,675,937</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昆山市申昌科技有限公司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49,708,280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49,708,280</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Infinity I-China Investments(Israel),L .P.</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13,130,434</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神州数码信息服务股份有限公司回购专用证券账户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8,775,208</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8,527,926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8,527,926</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王宇飞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6,718,500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3,572,708</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贺胜龙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3,550,000</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叶国林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3,149,300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除公司回购专用证券账户外，神码软件与前十大其他股东均不存 在关联关系。吴冬华与程艳云系夫妻关系。</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叶国林通过普通证券账户持有本公司股份</w:t>
            </w:r>
            <w:r>
              <w:rPr>
                <w:rFonts w:ascii="Times New Roman" w:eastAsia="Times New Roman" w:hAnsi="Times New Roman" w:cs="Times New Roman"/>
                <w:color w:val="000000"/>
                <w:spacing w:val="0"/>
                <w:w w:val="100"/>
                <w:position w:val="0"/>
              </w:rPr>
              <w:t>50,200</w:t>
            </w:r>
            <w:r>
              <w:rPr>
                <w:color w:val="000000"/>
                <w:spacing w:val="0"/>
                <w:w w:val="100"/>
                <w:position w:val="0"/>
              </w:rPr>
              <w:t>股，通过信用 证券账户持有本公司股份</w:t>
            </w:r>
            <w:r>
              <w:rPr>
                <w:rFonts w:ascii="Times New Roman" w:eastAsia="Times New Roman" w:hAnsi="Times New Roman" w:cs="Times New Roman"/>
                <w:color w:val="000000"/>
                <w:spacing w:val="0"/>
                <w:w w:val="100"/>
                <w:position w:val="0"/>
              </w:rPr>
              <w:t>3,099,100</w:t>
            </w:r>
            <w:r>
              <w:rPr>
                <w:color w:val="000000"/>
                <w:spacing w:val="0"/>
                <w:w w:val="100"/>
                <w:position w:val="0"/>
              </w:rPr>
              <w:t>股。</w:t>
            </w:r>
          </w:p>
        </w:tc>
      </w:tr>
    </w:tbl>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1"/>
        <w:keepNext/>
        <w:keepLines/>
        <w:widowControl w:val="0"/>
        <w:shd w:val="clear" w:color="auto" w:fill="auto"/>
        <w:bidi w:val="0"/>
        <w:spacing w:before="0" w:after="24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、公司控股股东情况</w:t>
      </w:r>
      <w:bookmarkEnd w:id="488"/>
      <w:bookmarkEnd w:id="489"/>
      <w:bookmarkEnd w:id="491"/>
    </w:p>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控股股东性质：控股主体性质不明确</w:t>
      </w:r>
    </w:p>
    <w:p>
      <w:pPr>
        <w:pStyle w:val="Style37"/>
        <w:keepNext w:val="0"/>
        <w:keepLines w:val="0"/>
        <w:widowControl w:val="0"/>
        <w:shd w:val="clear" w:color="auto" w:fill="auto"/>
        <w:bidi w:val="0"/>
        <w:spacing w:before="0" w:after="80" w:line="350" w:lineRule="exact"/>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77"/>
        <w:gridCol w:w="209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91110108735130180K</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公司报告期控股股东未发生变更。</w:t>
      </w:r>
    </w:p>
    <w:p>
      <w:pPr>
        <w:pStyle w:val="Style41"/>
        <w:keepNext/>
        <w:keepLines/>
        <w:widowControl w:val="0"/>
        <w:shd w:val="clear" w:color="auto" w:fill="auto"/>
        <w:bidi w:val="0"/>
        <w:spacing w:before="0" w:after="2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、公司实际控制人及其一致行动人</w:t>
      </w:r>
      <w:bookmarkEnd w:id="492"/>
      <w:bookmarkEnd w:id="493"/>
      <w:bookmarkEnd w:id="495"/>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实际控制人性质：无实际控制人</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实际控制人类型：不存在</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公司不存在实际控制人情况的说明</w:t>
      </w:r>
    </w:p>
    <w:p>
      <w:pPr>
        <w:pStyle w:val="Style3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公司的控股股东为神码软件。神州控股为神码软件的间接控股股东，鉴于神州控股的第一大股东为广州市城市建设投资 集团有限公司，持有神州控股少于</w:t>
      </w:r>
      <w:r>
        <w:rPr>
          <w:rFonts w:ascii="Times New Roman" w:eastAsia="Times New Roman" w:hAnsi="Times New Roman" w:cs="Times New Roman"/>
          <w:color w:val="000000"/>
          <w:spacing w:val="0"/>
          <w:w w:val="100"/>
          <w:position w:val="0"/>
        </w:rPr>
        <w:t>30%</w:t>
      </w:r>
      <w:r>
        <w:rPr>
          <w:color w:val="000000"/>
          <w:spacing w:val="0"/>
          <w:w w:val="100"/>
          <w:position w:val="0"/>
        </w:rPr>
        <w:t>股权，股权结构分散。据此，神州控股任何股东均不能实际控制神州控股（即其无控 股股东），因此公司无实际控制人。</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p>
    <w:p>
      <w:pPr>
        <w:pStyle w:val="Style3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法人</w:t>
      </w:r>
    </w:p>
    <w:p>
      <w:pPr>
        <w:pStyle w:val="Style37"/>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最终控制层面持股情况</w:t>
      </w:r>
    </w:p>
    <w:tbl>
      <w:tblPr>
        <w:tblOverlap w:val="never"/>
        <w:jc w:val="center"/>
        <w:tblLayout w:type="fixed"/>
      </w:tblPr>
      <w:tblGrid>
        <w:gridCol w:w="2266"/>
        <w:gridCol w:w="1848"/>
        <w:gridCol w:w="1987"/>
        <w:gridCol w:w="1843"/>
        <w:gridCol w:w="163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广州城投甲子投资合伙企业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广州城投佳朋产业投 资基金管理有限公司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91440101MA59EFAJ00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广州广电运通金融电子股份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黄跃珍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914401017163404737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通用设备制造业</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Dragon City International</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Investment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Yip Chi Yu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最终控制层面股东报告期内 控制的其他境内外上市公司 的股权情况</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264"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广州广电运通金融电子股份有限公司在报告期内控制的其他境内外上市公司的股权情况， 详见广州广电运通金融电子股份有限公司披露的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29"/>
              <w:keepNext w:val="0"/>
              <w:keepLines w:val="0"/>
              <w:widowControl w:val="0"/>
              <w:shd w:val="clear" w:color="auto" w:fill="auto"/>
              <w:tabs>
                <w:tab w:pos="27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未知广州城投甲子投资合伙企业（有限合伙）及</w:t>
            </w:r>
            <w:r>
              <w:rPr>
                <w:rFonts w:ascii="Times New Roman" w:eastAsia="Times New Roman" w:hAnsi="Times New Roman" w:cs="Times New Roman"/>
                <w:color w:val="000000"/>
                <w:spacing w:val="0"/>
                <w:w w:val="100"/>
                <w:position w:val="0"/>
              </w:rPr>
              <w:t>Dragon City International Investment</w:t>
            </w:r>
            <w:r>
              <w:rPr>
                <w:color w:val="000000"/>
                <w:spacing w:val="0"/>
                <w:w w:val="100"/>
                <w:position w:val="0"/>
              </w:rPr>
              <w:t>在报 告期内控制的其他境内外上市公司的股权情况。</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652270" cy="254190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9"/>
                    <a:stretch/>
                  </pic:blipFill>
                  <pic:spPr>
                    <a:xfrm>
                      <a:ext cx="1652270" cy="2541905"/>
                    </a:xfrm>
                    <a:prstGeom prst="rect"/>
                  </pic:spPr>
                </pic:pic>
              </a:graphicData>
            </a:graphic>
          </wp:inline>
        </w:drawing>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4</w:t>
      </w:r>
      <w:bookmarkEnd w:id="49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6"/>
      <w:bookmarkEnd w:id="497"/>
      <w:bookmarkEnd w:id="499"/>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5</w:t>
      </w:r>
      <w:bookmarkEnd w:id="502"/>
      <w:r>
        <w:rPr>
          <w:color w:val="000000"/>
          <w:spacing w:val="0"/>
          <w:w w:val="100"/>
          <w:position w:val="0"/>
        </w:rPr>
        <w:t>、</w:t>
        <w:tab/>
        <w:t>控股股东、实际控制人、重组方及其他承诺主体股份限制减持情况</w:t>
      </w:r>
      <w:bookmarkEnd w:id="500"/>
      <w:bookmarkEnd w:id="501"/>
      <w:bookmarkEnd w:id="503"/>
    </w:p>
    <w:p>
      <w:pPr>
        <w:pStyle w:val="Style37"/>
        <w:keepNext w:val="0"/>
        <w:keepLines w:val="0"/>
        <w:widowControl w:val="0"/>
        <w:shd w:val="clear" w:color="auto" w:fill="auto"/>
        <w:bidi w:val="0"/>
        <w:spacing w:before="0" w:after="380" w:line="240" w:lineRule="auto"/>
        <w:ind w:left="0" w:right="0" w:firstLine="0"/>
        <w:jc w:val="left"/>
        <w:sectPr>
          <w:headerReference w:type="default" r:id="rId31"/>
          <w:footerReference w:type="default" r:id="rId32"/>
          <w:footnotePr>
            <w:pos w:val="pageBottom"/>
            <w:numFmt w:val="decimal"/>
            <w:numRestart w:val="continuous"/>
          </w:footnotePr>
          <w:pgSz w:w="11900" w:h="16840"/>
          <w:pgMar w:top="1372" w:right="1028" w:bottom="1466" w:left="100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580" w:line="240" w:lineRule="auto"/>
        <w:ind w:left="0" w:right="0" w:firstLine="0"/>
        <w:jc w:val="center"/>
      </w:pPr>
      <w:bookmarkStart w:id="504" w:name="bookmark504"/>
      <w:bookmarkStart w:id="505" w:name="bookmark505"/>
      <w:bookmarkStart w:id="506" w:name="bookmark506"/>
      <w:r>
        <w:rPr>
          <w:color w:val="000000"/>
          <w:spacing w:val="0"/>
          <w:w w:val="100"/>
          <w:position w:val="0"/>
        </w:rPr>
        <w:t>第七节优先股相关情况</w:t>
      </w:r>
      <w:bookmarkEnd w:id="504"/>
      <w:bookmarkEnd w:id="505"/>
      <w:bookmarkEnd w:id="506"/>
    </w:p>
    <w:p>
      <w:pPr>
        <w:pStyle w:val="Style37"/>
        <w:keepNext w:val="0"/>
        <w:keepLines w:val="0"/>
        <w:widowControl w:val="0"/>
        <w:shd w:val="clear" w:color="auto" w:fill="auto"/>
        <w:bidi w:val="0"/>
        <w:spacing w:before="0" w:after="120" w:line="240" w:lineRule="auto"/>
        <w:ind w:left="0" w:right="0" w:firstLine="0"/>
        <w:jc w:val="left"/>
      </w:pPr>
      <w:bookmarkStart w:id="507" w:name="bookmark50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07"/>
    </w:p>
    <w:p>
      <w:pPr>
        <w:pStyle w:val="Style3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报告期公司不存在优先股。</w:t>
      </w:r>
    </w:p>
    <w:p>
      <w:pPr>
        <w:pStyle w:val="Style18"/>
        <w:keepNext/>
        <w:keepLines/>
        <w:widowControl w:val="0"/>
        <w:shd w:val="clear" w:color="auto" w:fill="auto"/>
        <w:bidi w:val="0"/>
        <w:spacing w:before="580" w:after="560" w:line="240" w:lineRule="auto"/>
        <w:ind w:left="0" w:right="0" w:firstLine="0"/>
        <w:jc w:val="center"/>
      </w:pPr>
      <w:bookmarkStart w:id="508" w:name="bookmark508"/>
      <w:bookmarkStart w:id="509" w:name="bookmark509"/>
      <w:bookmarkStart w:id="510" w:name="bookmark510"/>
      <w:r>
        <w:rPr>
          <w:color w:val="000000"/>
          <w:spacing w:val="0"/>
          <w:w w:val="100"/>
          <w:position w:val="0"/>
        </w:rPr>
        <w:t>第八节可转换公司债券相关情况</w:t>
      </w:r>
      <w:bookmarkEnd w:id="508"/>
      <w:bookmarkEnd w:id="509"/>
      <w:bookmarkEnd w:id="510"/>
    </w:p>
    <w:p>
      <w:pPr>
        <w:pStyle w:val="Style37"/>
        <w:keepNext w:val="0"/>
        <w:keepLines w:val="0"/>
        <w:widowControl w:val="0"/>
        <w:shd w:val="clear" w:color="auto" w:fill="auto"/>
        <w:bidi w:val="0"/>
        <w:spacing w:before="0" w:after="120" w:line="240" w:lineRule="auto"/>
        <w:ind w:left="0" w:right="0" w:firstLine="0"/>
        <w:jc w:val="left"/>
      </w:pPr>
      <w:bookmarkStart w:id="511" w:name="bookmark51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11"/>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8"/>
        <w:keepNext/>
        <w:keepLines/>
        <w:widowControl w:val="0"/>
        <w:shd w:val="clear" w:color="auto" w:fill="auto"/>
        <w:bidi w:val="0"/>
        <w:spacing w:before="0" w:after="520" w:line="240" w:lineRule="auto"/>
        <w:ind w:left="0" w:right="0" w:firstLine="0"/>
        <w:jc w:val="center"/>
      </w:pPr>
      <w:bookmarkStart w:id="512" w:name="bookmark512"/>
      <w:bookmarkStart w:id="513" w:name="bookmark513"/>
      <w:bookmarkStart w:id="514" w:name="bookmark514"/>
      <w:r>
        <w:rPr>
          <w:color w:val="000000"/>
          <w:spacing w:val="0"/>
          <w:w w:val="100"/>
          <w:position w:val="0"/>
        </w:rPr>
        <w:t>第九节董事、监事、高级管理人员和员工情况</w:t>
      </w:r>
      <w:bookmarkEnd w:id="512"/>
      <w:bookmarkEnd w:id="513"/>
      <w:bookmarkEnd w:id="514"/>
    </w:p>
    <w:p>
      <w:pPr>
        <w:pStyle w:val="Style35"/>
        <w:keepNext/>
        <w:keepLines/>
        <w:widowControl w:val="0"/>
        <w:shd w:val="clear" w:color="auto" w:fill="auto"/>
        <w:bidi w:val="0"/>
        <w:spacing w:before="0" w:after="320" w:line="240" w:lineRule="auto"/>
        <w:ind w:left="0" w:right="0" w:firstLine="260"/>
        <w:jc w:val="left"/>
      </w:pPr>
      <w:bookmarkStart w:id="515" w:name="bookmark515"/>
      <w:bookmarkStart w:id="516" w:name="bookmark516"/>
      <w:bookmarkStart w:id="517" w:name="bookmark517"/>
      <w:bookmarkStart w:id="518" w:name="bookmark518"/>
      <w:r>
        <w:rPr>
          <w:color w:val="000000"/>
          <w:spacing w:val="0"/>
          <w:w w:val="100"/>
          <w:position w:val="0"/>
          <w:sz w:val="24"/>
          <w:szCs w:val="24"/>
        </w:rPr>
        <w:t>、董事、监事和高级管理人员持股变动</w:t>
      </w:r>
      <w:bookmarkEnd w:id="516"/>
      <w:bookmarkEnd w:id="517"/>
      <w:bookmarkEnd w:id="518"/>
      <w:bookmarkEnd w:id="515"/>
    </w:p>
    <w:tbl>
      <w:tblPr>
        <w:tblOverlap w:val="never"/>
        <w:jc w:val="center"/>
        <w:tblLayout w:type="fixed"/>
      </w:tblPr>
      <w:tblGrid>
        <w:gridCol w:w="802"/>
        <w:gridCol w:w="797"/>
        <w:gridCol w:w="672"/>
        <w:gridCol w:w="710"/>
        <w:gridCol w:w="566"/>
        <w:gridCol w:w="850"/>
        <w:gridCol w:w="850"/>
        <w:gridCol w:w="994"/>
        <w:gridCol w:w="710"/>
        <w:gridCol w:w="710"/>
        <w:gridCol w:w="850"/>
        <w:gridCol w:w="1075"/>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8"/>
                <w:szCs w:val="18"/>
              </w:rPr>
              <w:t>李鸿春</w:t>
            </w:r>
            <w:r>
              <w:rPr>
                <w:rFonts w:ascii="Times New Roman" w:eastAsia="Times New Roman" w:hAnsi="Times New Roman" w:cs="Times New Roman"/>
                <w:color w:val="000000"/>
                <w:spacing w:val="0"/>
                <w:w w:val="100"/>
                <w:position w:val="0"/>
                <w:sz w:val="12"/>
                <w:szCs w:val="12"/>
                <w:vertAlign w:val="superscript"/>
              </w:rPr>
              <w:footnoteReference w:id="2"/>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Benjamin</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Zhai </w:t>
            </w:r>
            <w:r>
              <w:rPr>
                <w:color w:val="000000"/>
                <w:spacing w:val="0"/>
                <w:w w:val="100"/>
                <w:position w:val="0"/>
              </w:rPr>
              <w:t>（翟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2"/>
        <w:gridCol w:w="797"/>
        <w:gridCol w:w="672"/>
        <w:gridCol w:w="710"/>
        <w:gridCol w:w="566"/>
        <w:gridCol w:w="850"/>
        <w:gridCol w:w="850"/>
        <w:gridCol w:w="994"/>
        <w:gridCol w:w="710"/>
        <w:gridCol w:w="710"/>
        <w:gridCol w:w="850"/>
        <w:gridCol w:w="1075"/>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常务副总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CTO</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郝晋瑞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314,400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信创首席 专家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任玉龙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8,035,638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7,635,638</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12,400,038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12,118,238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日，经公司第八届董事会第九次会议审议通过，赵文甫职务名称由“高级副总裁”变更为“常务副总裁”。</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二</w:t>
      </w:r>
      <w:bookmarkEnd w:id="521"/>
      <w:r>
        <w:rPr>
          <w:color w:val="000000"/>
          <w:spacing w:val="0"/>
          <w:w w:val="100"/>
          <w:position w:val="0"/>
          <w:sz w:val="24"/>
          <w:szCs w:val="24"/>
        </w:rPr>
        <w:t>、公司董事、监事、高级管理人员变动情况</w:t>
      </w:r>
      <w:bookmarkEnd w:id="519"/>
      <w:bookmarkEnd w:id="520"/>
      <w:bookmarkEnd w:id="522"/>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219"/>
        <w:gridCol w:w="1138"/>
        <w:gridCol w:w="1632"/>
        <w:gridCol w:w="4258"/>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任玉龙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解聘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因工作内容调整，不再担任副总裁职务，仍在公司担 任其他职务</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解聘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郭新宝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因工作内容调整，不再担任副总裁职务，仍在公司担 任其他职务</w:t>
            </w:r>
          </w:p>
        </w:tc>
      </w:tr>
    </w:tbl>
    <w:tbl>
      <w:tblPr>
        <w:tblOverlap w:val="never"/>
        <w:jc w:val="center"/>
        <w:tblLayout w:type="fixed"/>
      </w:tblPr>
      <w:tblGrid>
        <w:gridCol w:w="1334"/>
        <w:gridCol w:w="1219"/>
        <w:gridCol w:w="1138"/>
        <w:gridCol w:w="1632"/>
        <w:gridCol w:w="425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王能光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因在公司连续任职独立董事即将满</w:t>
            </w:r>
            <w:r>
              <w:rPr>
                <w:rFonts w:ascii="Times New Roman" w:eastAsia="Times New Roman" w:hAnsi="Times New Roman" w:cs="Times New Roman"/>
                <w:color w:val="000000"/>
                <w:spacing w:val="0"/>
                <w:w w:val="100"/>
                <w:position w:val="0"/>
              </w:rPr>
              <w:t>6</w:t>
            </w:r>
            <w:r>
              <w:rPr>
                <w:color w:val="000000"/>
                <w:spacing w:val="0"/>
                <w:w w:val="100"/>
                <w:position w:val="0"/>
              </w:rPr>
              <w:t>年，为保持独立 董事的独立性辞职</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Benjamin Zhai</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（翟斌）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赵文甫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职务由金融行业副总裁变更为高级副总裁</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崔晓天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信创首席专家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职务由安全可靠首席专家变更为信创首席专家</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于宏志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CTO</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根据公司业务需求聘任</w:t>
            </w:r>
          </w:p>
        </w:tc>
      </w:tr>
    </w:tbl>
    <w:p>
      <w:pPr>
        <w:widowControl w:val="0"/>
        <w:spacing w:after="299" w:line="1" w:lineRule="exact"/>
      </w:pPr>
    </w:p>
    <w:p>
      <w:pPr>
        <w:pStyle w:val="Style35"/>
        <w:keepNext/>
        <w:keepLines/>
        <w:widowControl w:val="0"/>
        <w:shd w:val="clear" w:color="auto" w:fill="auto"/>
        <w:bidi w:val="0"/>
        <w:spacing w:before="0" w:after="24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三</w:t>
      </w:r>
      <w:bookmarkEnd w:id="525"/>
      <w:r>
        <w:rPr>
          <w:color w:val="000000"/>
          <w:spacing w:val="0"/>
          <w:w w:val="100"/>
          <w:position w:val="0"/>
          <w:sz w:val="24"/>
          <w:szCs w:val="24"/>
        </w:rPr>
        <w:t>、任职情况</w:t>
      </w:r>
      <w:bookmarkEnd w:id="523"/>
      <w:bookmarkEnd w:id="524"/>
      <w:bookmarkEnd w:id="526"/>
    </w:p>
    <w:p>
      <w:pPr>
        <w:pStyle w:val="Style3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0" w:line="316" w:lineRule="exact"/>
        <w:ind w:left="0" w:right="0" w:firstLine="440"/>
        <w:jc w:val="both"/>
      </w:pPr>
      <w:bookmarkStart w:id="527" w:name="bookmark527"/>
      <w:r>
        <w:rPr>
          <w:color w:val="000000"/>
          <w:spacing w:val="0"/>
          <w:w w:val="100"/>
          <w:position w:val="0"/>
        </w:rPr>
        <w:t>（</w:t>
      </w:r>
      <w:bookmarkEnd w:id="527"/>
      <w:r>
        <w:rPr>
          <w:color w:val="000000"/>
          <w:spacing w:val="0"/>
          <w:w w:val="100"/>
          <w:position w:val="0"/>
        </w:rPr>
        <w:t>一）董事会成员</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郭为，男，</w:t>
      </w:r>
      <w:r>
        <w:rPr>
          <w:rFonts w:ascii="Times New Roman" w:eastAsia="Times New Roman" w:hAnsi="Times New Roman" w:cs="Times New Roman"/>
          <w:color w:val="000000"/>
          <w:spacing w:val="0"/>
          <w:w w:val="100"/>
          <w:position w:val="0"/>
        </w:rPr>
        <w:t>1988</w:t>
      </w:r>
      <w:r>
        <w:rPr>
          <w:color w:val="000000"/>
          <w:spacing w:val="0"/>
          <w:w w:val="100"/>
          <w:position w:val="0"/>
        </w:rPr>
        <w:t>年获中国科学技术大学工学硕士学位。曾任神州数码控股有限公司董事局主席兼首席执行官、泰康人 寿保险股份有限公司独立董事、鼎捷软件股份有限公司董事、上海浦东发展银行股份有限公司独立董事、慧聪集团有限公司 非执行董事（前称慧聪网有限公司）、中国南方航空股份有限公司非执行独立董事等；现任神州数码控股有限公司董事会主 席兼首席执行官、神州数码信息服务股份有限公司董事长、神州数码集团股份有限公司董事长兼总裁，以及在上述公司的下 属子公司任董事长、董事或执行董事等职务、智慧神州信息技术有限公司经理、执行董事等。</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费建江，男，</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月，获南华大学经济学学士学位；</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月，获西安交通大学高级管理人员工商管理硕士学 位。曾任苏州晶方半导体科技股份有限公司董事、首长四方（集团）有限公司独立非执行董事，现任神州数码信息服务股份 有限公司董事、苏州工业园区元禾原点创业投资管理有限公司董事兼总经理，并在多家投资公司及苏州工业园区元禾原点创 业投资管理有限公司管理的基金之</w:t>
      </w:r>
      <w:r>
        <w:rPr>
          <w:rFonts w:ascii="Times New Roman" w:eastAsia="Times New Roman" w:hAnsi="Times New Roman" w:cs="Times New Roman"/>
          <w:color w:val="000000"/>
          <w:spacing w:val="0"/>
          <w:w w:val="100"/>
          <w:position w:val="0"/>
        </w:rPr>
        <w:t>GP</w:t>
      </w:r>
      <w:r>
        <w:rPr>
          <w:color w:val="000000"/>
          <w:spacing w:val="0"/>
          <w:w w:val="100"/>
          <w:position w:val="0"/>
        </w:rPr>
        <w:t>中担任董事或执行事务合伙人等职务。</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李鸿春，男，</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月毕业于北京理工大学，获工学学士学位。曾任神州数码信息服务股份有限公司常务副总裁、 副总裁、集成</w:t>
      </w:r>
      <w:r>
        <w:rPr>
          <w:rFonts w:ascii="Times New Roman" w:eastAsia="Times New Roman" w:hAnsi="Times New Roman" w:cs="Times New Roman"/>
          <w:color w:val="000000"/>
          <w:spacing w:val="0"/>
          <w:w w:val="100"/>
          <w:position w:val="0"/>
        </w:rPr>
        <w:t>SBU</w:t>
      </w:r>
      <w:r>
        <w:rPr>
          <w:color w:val="000000"/>
          <w:spacing w:val="0"/>
          <w:w w:val="100"/>
          <w:position w:val="0"/>
        </w:rPr>
        <w:t>总裁；现任公司董事兼总裁、营销管理中心总经理、神州数码融信云技术服务有限公司董事、北京神州 邦邦技术服务有限公司董事、天津国科量子科技有限公司监事会主席等职务。</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杨晓樱，女，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月获中欧国际工商学院工商管理硕士学位。曾任甲骨文（中国）软件系统有限公司副总裁、 福建实达集团股份有限公司董事、仁天科技控股有限公司</w:t>
      </w:r>
      <w:r>
        <w:rPr>
          <w:rFonts w:ascii="Times New Roman" w:eastAsia="Times New Roman" w:hAnsi="Times New Roman" w:cs="Times New Roman"/>
          <w:color w:val="000000"/>
          <w:spacing w:val="0"/>
          <w:w w:val="100"/>
          <w:position w:val="0"/>
        </w:rPr>
        <w:t>CEO</w:t>
      </w:r>
      <w:r>
        <w:rPr>
          <w:color w:val="000000"/>
          <w:spacing w:val="0"/>
          <w:w w:val="100"/>
          <w:position w:val="0"/>
        </w:rPr>
        <w:t>、执行董事、神州数码信息服务股份有限公司独立董事、北 京三人行数字传播股份有限公司（前称北京众成就数字传媒股份有限公司）独立董事、深圳海联讯科技股份有限公司独立董 事等；现任公司董事。</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韩玉华，女，</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月毕业于深圳大学，获经济学学士学位。曾任神州数码（中国）有限公司业务管理部副总经理、 神州数码（中国）有限公司总经理、神州数码（中国）有限公司监事、上海神州数码有限公司监事、广州神州数码信息科技 有限公司监事、上海神州数码通信技术有限公司董事、神州数码集团股份有限公司副总裁、神州数码集团股份有限公司运营 总监、神州数码信息服务股份有限公司监事会主席等职务；现任神州数码控股有限公司副总裁及下属子公司董事、或执行董 事等职务、公司董事。</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罗婷，女，博士学历，注册会计师。</w:t>
      </w:r>
      <w:r>
        <w:rPr>
          <w:rFonts w:ascii="Times New Roman" w:eastAsia="Times New Roman" w:hAnsi="Times New Roman" w:cs="Times New Roman"/>
          <w:color w:val="000000"/>
          <w:spacing w:val="0"/>
          <w:w w:val="100"/>
          <w:position w:val="0"/>
        </w:rPr>
        <w:t>1997</w:t>
      </w:r>
      <w:r>
        <w:rPr>
          <w:color w:val="000000"/>
          <w:spacing w:val="0"/>
          <w:w w:val="100"/>
          <w:position w:val="0"/>
        </w:rPr>
        <w:t>年毕业于北京大学光华管理学院，获经济学学士学位；</w:t>
      </w:r>
      <w:r>
        <w:rPr>
          <w:rFonts w:ascii="Times New Roman" w:eastAsia="Times New Roman" w:hAnsi="Times New Roman" w:cs="Times New Roman"/>
          <w:color w:val="000000"/>
          <w:spacing w:val="0"/>
          <w:w w:val="100"/>
          <w:position w:val="0"/>
        </w:rPr>
        <w:t>2007</w:t>
      </w:r>
      <w:r>
        <w:rPr>
          <w:color w:val="000000"/>
          <w:spacing w:val="0"/>
          <w:w w:val="100"/>
          <w:position w:val="0"/>
        </w:rPr>
        <w:t>年毕业于美国威 斯康辛大学麦迪逊分校商学院，获会计学博士学位；为非执业中国注册会计师。曾历任中国人保集团、中国人寿保险股份有 限公司财务分析师、清华大学经济管理学院助理教授、副教授（博士生导师）、北京基康仪器股份有限公司独立董事等职务; 现任清华大学经济管理学院长聘副教授（博士生导师）、阿尔特汽车技术股份有限公司、北京华宇软件股份有限公司、北京 三元食品股份有限公司、公司独立董事等职务。</w:t>
      </w:r>
    </w:p>
    <w:p>
      <w:pPr>
        <w:pStyle w:val="Style37"/>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王永利，男，博士学历，高级会计师。</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月，毕业于杭州商学院（现浙江工商大学）会计系，获经济学学士学 位；</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月，毕业于中国人民大学财政系，获经济学硕士学位；</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月，中央党校一年制中青班</w:t>
      </w:r>
      <w:r>
        <w:rPr>
          <w:color w:val="000000"/>
          <w:spacing w:val="0"/>
          <w:w w:val="100"/>
          <w:position w:val="0"/>
        </w:rPr>
        <w:t>（</w:t>
      </w:r>
      <w:r>
        <w:rPr>
          <w:rFonts w:ascii="Times New Roman" w:eastAsia="Times New Roman" w:hAnsi="Times New Roman" w:cs="Times New Roman"/>
          <w:color w:val="000000"/>
          <w:spacing w:val="0"/>
          <w:w w:val="100"/>
          <w:position w:val="0"/>
        </w:rPr>
        <w:t xml:space="preserve">21 </w:t>
      </w:r>
      <w:r>
        <w:rPr>
          <w:color w:val="000000"/>
          <w:spacing w:val="0"/>
          <w:w w:val="100"/>
          <w:position w:val="0"/>
        </w:rPr>
        <w:t>期）学习；</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月，毕业于厦门大学，获经济学博士学位。曾任中国银行股份有限公司行长助理、副行长、执行董事、 资深研究员，乐视金融</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乐视控股（北京）有限公司高级副总裁、中国国际期货股份有限公司副董事长，现任中国船 舶重工股份有限公司独立董事、国任财产保险股份有限公司独立董事、中薇金融控股有限公司独立非执行董事、深圳海王集 团股份有限公司首席经济学家、公司独立董事等职务。</w:t>
      </w:r>
    </w:p>
    <w:p>
      <w:pPr>
        <w:pStyle w:val="Style37"/>
        <w:keepNext w:val="0"/>
        <w:keepLines w:val="0"/>
        <w:widowControl w:val="0"/>
        <w:shd w:val="clear" w:color="auto" w:fill="auto"/>
        <w:tabs>
          <w:tab w:pos="721" w:val="left"/>
        </w:tabs>
        <w:bidi w:val="0"/>
        <w:spacing w:before="0" w:after="0" w:line="311" w:lineRule="exact"/>
        <w:ind w:left="0" w:right="0" w:firstLine="440"/>
        <w:jc w:val="both"/>
      </w:pPr>
      <w:r>
        <w:rPr>
          <w:color w:val="000000"/>
          <w:spacing w:val="0"/>
          <w:w w:val="100"/>
          <w:position w:val="0"/>
        </w:rPr>
        <w:t>吕本富，男，教授、博士生导师。</w:t>
      </w:r>
      <w:r>
        <w:rPr>
          <w:rFonts w:ascii="Times New Roman" w:eastAsia="Times New Roman" w:hAnsi="Times New Roman" w:cs="Times New Roman"/>
          <w:color w:val="000000"/>
          <w:spacing w:val="0"/>
          <w:w w:val="100"/>
          <w:position w:val="0"/>
        </w:rPr>
        <w:t>1986</w:t>
      </w:r>
      <w:r>
        <w:rPr>
          <w:color w:val="000000"/>
          <w:spacing w:val="0"/>
          <w:w w:val="100"/>
          <w:position w:val="0"/>
        </w:rPr>
        <w:t xml:space="preserve">年，获安徽师范大学化学专业理学学士； </w:t>
      </w:r>
      <w:r>
        <w:rPr>
          <w:rFonts w:ascii="Times New Roman" w:eastAsia="Times New Roman" w:hAnsi="Times New Roman" w:cs="Times New Roman"/>
          <w:color w:val="000000"/>
          <w:spacing w:val="0"/>
          <w:w w:val="100"/>
          <w:position w:val="0"/>
        </w:rPr>
        <w:t>1992</w:t>
      </w:r>
      <w:r>
        <w:rPr>
          <w:color w:val="000000"/>
          <w:spacing w:val="0"/>
          <w:w w:val="100"/>
          <w:position w:val="0"/>
        </w:rPr>
        <w:t>年，获北京大学信息管理专业理 学硕士；</w:t>
        <w:tab/>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月，获中国社会科学院研究生院数量经济专业应用经济学博士学位。曾任中国科学院大学管理学院执行</w:t>
      </w:r>
    </w:p>
    <w:p>
      <w:pPr>
        <w:pStyle w:val="Style37"/>
        <w:keepNext w:val="0"/>
        <w:keepLines w:val="0"/>
        <w:widowControl w:val="0"/>
        <w:shd w:val="clear" w:color="auto" w:fill="auto"/>
        <w:bidi w:val="0"/>
        <w:spacing w:before="0" w:after="40" w:line="311" w:lineRule="exact"/>
        <w:ind w:left="0" w:right="0" w:firstLine="0"/>
        <w:jc w:val="left"/>
      </w:pPr>
      <w:r>
        <w:rPr>
          <w:color w:val="000000"/>
          <w:spacing w:val="0"/>
          <w:w w:val="100"/>
          <w:position w:val="0"/>
        </w:rPr>
        <w:t>院长、实验室主任、北京食空间网络科技有限公司监事、阜阳颍泉农村商业银行股份有限公司独立董事、科清智库（北京） 科技研究院监事、北京富本财经传媒有限公司监事、湖北美尔雅股份有限公司独立董事、西藏国路安科技股份有限公司独立 董事、北京中鼎恒信科技股份有限公司董事等职务；现任中国科学院大学管理学院教授、诚志股份有限公司独立董事、阜阳 颍泉农村商业银行股份有限公司监事、公司独立董事等职务。</w:t>
      </w:r>
    </w:p>
    <w:p>
      <w:pPr>
        <w:pStyle w:val="Style37"/>
        <w:keepNext w:val="0"/>
        <w:keepLines w:val="0"/>
        <w:widowControl w:val="0"/>
        <w:shd w:val="clear" w:color="auto" w:fill="auto"/>
        <w:bidi w:val="0"/>
        <w:spacing w:before="0" w:after="40" w:line="315" w:lineRule="exact"/>
        <w:ind w:left="0" w:right="0" w:firstLine="440"/>
        <w:jc w:val="left"/>
      </w:pPr>
      <w:r>
        <w:rPr>
          <w:color w:val="000000"/>
          <w:spacing w:val="0"/>
          <w:w w:val="100"/>
          <w:position w:val="0"/>
        </w:rPr>
        <w:t>黄辉，男，</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月毕业于厦门大学，获计算机学士学位；</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月毕业于德国波恩大学，获应用数学硕士学位； </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月毕业于德国波恩大学，获应用数学博士学位。曾历任</w:t>
      </w:r>
      <w:r>
        <w:rPr>
          <w:rFonts w:ascii="Times New Roman" w:eastAsia="Times New Roman" w:hAnsi="Times New Roman" w:cs="Times New Roman"/>
          <w:color w:val="000000"/>
          <w:spacing w:val="0"/>
          <w:w w:val="100"/>
          <w:position w:val="0"/>
        </w:rPr>
        <w:t>TPG</w:t>
      </w:r>
      <w:r>
        <w:rPr>
          <w:color w:val="000000"/>
          <w:spacing w:val="0"/>
          <w:w w:val="100"/>
          <w:position w:val="0"/>
        </w:rPr>
        <w:t>德太投资集团执行合伙人、德国电信</w:t>
      </w:r>
      <w:r>
        <w:rPr>
          <w:rFonts w:ascii="Times New Roman" w:eastAsia="Times New Roman" w:hAnsi="Times New Roman" w:cs="Times New Roman"/>
          <w:color w:val="000000"/>
          <w:spacing w:val="0"/>
          <w:w w:val="100"/>
          <w:position w:val="0"/>
        </w:rPr>
        <w:t xml:space="preserve">Deutsche Telekom </w:t>
      </w:r>
      <w:r>
        <w:rPr>
          <w:color w:val="000000"/>
          <w:spacing w:val="0"/>
          <w:w w:val="100"/>
          <w:position w:val="0"/>
        </w:rPr>
        <w:t>大中华区</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均瑶集团</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KPMG</w:t>
      </w:r>
      <w:r>
        <w:rPr>
          <w:color w:val="000000"/>
          <w:spacing w:val="0"/>
          <w:w w:val="100"/>
          <w:position w:val="0"/>
        </w:rPr>
        <w:t>毕马威管理咨询（后更名为毕博）全球执行副总裁兼大中华区</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日本毕马威管 理咨询公司董事总经理、上海欧庭翻译有限公司、泊颂（北京）生物科技有限公司监事、上海华瑞银行股份有限公司独立董 事等，现任上海品星互联网信息技术股份有限公司独立董事、上海爱建信托有限责任公司独立董事、上海宽氪晟初投资管理 有限公司董事长、公司独立董事等职务。</w:t>
      </w:r>
    </w:p>
    <w:p>
      <w:pPr>
        <w:pStyle w:val="Style37"/>
        <w:keepNext w:val="0"/>
        <w:keepLines w:val="0"/>
        <w:widowControl w:val="0"/>
        <w:shd w:val="clear" w:color="auto" w:fill="auto"/>
        <w:bidi w:val="0"/>
        <w:spacing w:before="0" w:after="40" w:line="316" w:lineRule="exact"/>
        <w:ind w:left="0" w:right="0" w:firstLine="440"/>
        <w:jc w:val="left"/>
      </w:pPr>
      <w:r>
        <w:rPr>
          <w:rFonts w:ascii="Times New Roman" w:eastAsia="Times New Roman" w:hAnsi="Times New Roman" w:cs="Times New Roman"/>
          <w:color w:val="000000"/>
          <w:spacing w:val="0"/>
          <w:w w:val="100"/>
          <w:position w:val="0"/>
        </w:rPr>
        <w:t xml:space="preserve">BENJAMIN ZHAI </w:t>
      </w:r>
      <w:r>
        <w:rPr>
          <w:color w:val="000000"/>
          <w:spacing w:val="0"/>
          <w:w w:val="100"/>
          <w:position w:val="0"/>
        </w:rPr>
        <w:t>（翟斌），男，</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月毕业于武汉理工大学，获工学学士学位；</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月毕业于澳大利亚国 立大学，获工商管理硕士学位；现就读清华大学五道口金融学院金融</w:t>
      </w:r>
      <w:r>
        <w:rPr>
          <w:rFonts w:ascii="Times New Roman" w:eastAsia="Times New Roman" w:hAnsi="Times New Roman" w:cs="Times New Roman"/>
          <w:color w:val="000000"/>
          <w:spacing w:val="0"/>
          <w:w w:val="100"/>
          <w:position w:val="0"/>
        </w:rPr>
        <w:t>EMBA</w:t>
      </w:r>
      <w:r>
        <w:rPr>
          <w:color w:val="000000"/>
          <w:spacing w:val="0"/>
          <w:w w:val="100"/>
          <w:position w:val="0"/>
        </w:rPr>
        <w:t>。曾历任美国罗盛咨询公司海外中国中心总经 理、瑞士亿康先达公司亚太区工业业务管理合伙人、美国科尔尼公司北京公司董事总经理、上海本事企业发展有限公司首席 执行官、北京本瓴企业管理咨询有限公司首席执行官以及</w:t>
      </w:r>
      <w:r>
        <w:rPr>
          <w:rFonts w:ascii="Times New Roman" w:eastAsia="Times New Roman" w:hAnsi="Times New Roman" w:cs="Times New Roman"/>
          <w:color w:val="000000"/>
          <w:spacing w:val="0"/>
          <w:w w:val="100"/>
          <w:position w:val="0"/>
        </w:rPr>
        <w:t>Canoo Inc</w:t>
      </w:r>
      <w:r>
        <w:rPr>
          <w:rFonts w:ascii="Times New Roman" w:eastAsia="Times New Roman" w:hAnsi="Times New Roman" w:cs="Times New Roman"/>
          <w:color w:val="000000"/>
          <w:spacing w:val="0"/>
          <w:w w:val="100"/>
          <w:position w:val="0"/>
        </w:rPr>
        <w:t>.</w:t>
      </w:r>
      <w:r>
        <w:rPr>
          <w:color w:val="000000"/>
          <w:spacing w:val="0"/>
          <w:w w:val="100"/>
          <w:position w:val="0"/>
        </w:rPr>
        <w:t>董事会秘书及总经理、</w:t>
      </w:r>
      <w:r>
        <w:rPr>
          <w:rFonts w:ascii="Times New Roman" w:eastAsia="Times New Roman" w:hAnsi="Times New Roman" w:cs="Times New Roman"/>
          <w:color w:val="000000"/>
          <w:spacing w:val="0"/>
          <w:w w:val="100"/>
          <w:position w:val="0"/>
        </w:rPr>
        <w:t>Antler Capital</w:t>
      </w:r>
      <w:r>
        <w:rPr>
          <w:color w:val="000000"/>
          <w:spacing w:val="0"/>
          <w:w w:val="100"/>
          <w:position w:val="0"/>
        </w:rPr>
        <w:t>投资合伙人等职务， 现任深圳市人才集团有限公司总经理、公司独立董事等职务。</w:t>
      </w:r>
    </w:p>
    <w:p>
      <w:pPr>
        <w:pStyle w:val="Style37"/>
        <w:keepNext w:val="0"/>
        <w:keepLines w:val="0"/>
        <w:widowControl w:val="0"/>
        <w:shd w:val="clear" w:color="auto" w:fill="auto"/>
        <w:tabs>
          <w:tab w:pos="911" w:val="left"/>
        </w:tabs>
        <w:bidi w:val="0"/>
        <w:spacing w:before="0" w:after="40" w:line="314" w:lineRule="exact"/>
        <w:ind w:left="0" w:right="0" w:firstLine="440"/>
        <w:jc w:val="both"/>
      </w:pPr>
      <w:bookmarkStart w:id="528" w:name="bookmark528"/>
      <w:r>
        <w:rPr>
          <w:color w:val="000000"/>
          <w:spacing w:val="0"/>
          <w:w w:val="100"/>
          <w:position w:val="0"/>
        </w:rPr>
        <w:t>（</w:t>
      </w:r>
      <w:bookmarkEnd w:id="528"/>
      <w:r>
        <w:rPr>
          <w:color w:val="000000"/>
          <w:spacing w:val="0"/>
          <w:w w:val="100"/>
          <w:position w:val="0"/>
        </w:rPr>
        <w:t>二）</w:t>
        <w:tab/>
        <w:t>监事会成员</w:t>
      </w:r>
    </w:p>
    <w:p>
      <w:pPr>
        <w:pStyle w:val="Style37"/>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孙洋，男，</w:t>
      </w:r>
      <w:r>
        <w:rPr>
          <w:rFonts w:ascii="Times New Roman" w:eastAsia="Times New Roman" w:hAnsi="Times New Roman" w:cs="Times New Roman"/>
          <w:color w:val="000000"/>
          <w:spacing w:val="0"/>
          <w:w w:val="100"/>
          <w:position w:val="0"/>
        </w:rPr>
        <w:t>2010</w:t>
      </w:r>
      <w:r>
        <w:rPr>
          <w:color w:val="000000"/>
          <w:spacing w:val="0"/>
          <w:w w:val="100"/>
          <w:position w:val="0"/>
        </w:rPr>
        <w:t>年获得北京邮电大学计算机软件工程硕士学位。曾历任中国东方资产管理股份有限公司总公司信息科 技部副总经理、东方邦信金融科技（上海）有限公司董事长、东方邦信融通控股股份有限公司副总经理、东方金诚国际信用 评估有限公司副总经理兼任东方金诚信用管理有限公司总经理、神州数码信息服务股份有限公司监事;现任公司监事会主席， 同时任神州数码控股有限公司高级副总裁，神州数码软件有限公司董事长、投融资管理部总经理，同时兼任下属子公司及参 股公司董事长、董事、经理等职务，另担任香港上市公司慧聪集团</w:t>
      </w:r>
      <w:r>
        <w:rPr>
          <w:color w:val="000000"/>
          <w:spacing w:val="0"/>
          <w:w w:val="100"/>
          <w:position w:val="0"/>
        </w:rPr>
        <w:t>（</w:t>
      </w:r>
      <w:r>
        <w:rPr>
          <w:rFonts w:ascii="Times New Roman" w:eastAsia="Times New Roman" w:hAnsi="Times New Roman" w:cs="Times New Roman"/>
          <w:color w:val="000000"/>
          <w:spacing w:val="0"/>
          <w:w w:val="100"/>
          <w:position w:val="0"/>
        </w:rPr>
        <w:t>02280.HK</w:t>
      </w:r>
      <w:r>
        <w:rPr>
          <w:color w:val="000000"/>
          <w:spacing w:val="0"/>
          <w:w w:val="100"/>
          <w:position w:val="0"/>
        </w:rPr>
        <w:t>）非执行董事等职务。</w:t>
      </w:r>
    </w:p>
    <w:p>
      <w:pPr>
        <w:pStyle w:val="Style3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张民，男，中级工程师。</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月毕业于北京师范大学中文专业；</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月毕业于中华全国律师函授中心法律专 业。曾任神州数码（中国）有限公司部门副总经理、神州数码软件有限公司部门副总经理、神州数码信息服务股份有限公司 沈阳平台及新疆平台总经理、金信</w:t>
      </w:r>
      <w:r>
        <w:rPr>
          <w:rFonts w:ascii="Times New Roman" w:eastAsia="Times New Roman" w:hAnsi="Times New Roman" w:cs="Times New Roman"/>
          <w:color w:val="000000"/>
          <w:spacing w:val="0"/>
          <w:w w:val="100"/>
          <w:position w:val="0"/>
        </w:rPr>
        <w:t>SBU</w:t>
      </w:r>
      <w:r>
        <w:rPr>
          <w:color w:val="000000"/>
          <w:spacing w:val="0"/>
          <w:w w:val="100"/>
          <w:position w:val="0"/>
        </w:rPr>
        <w:t>综合管理部总经理、企划办副主任等；现任公司监事。</w:t>
      </w:r>
    </w:p>
    <w:p>
      <w:pPr>
        <w:pStyle w:val="Style37"/>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许克勤，男，经济师。</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月毕业于西安交通大学电子工程系，获工学学士学位。曾任神州数码信息服务股份有 限公司企划办副主任、政府</w:t>
      </w:r>
      <w:r>
        <w:rPr>
          <w:rFonts w:ascii="Times New Roman" w:eastAsia="Times New Roman" w:hAnsi="Times New Roman" w:cs="Times New Roman"/>
          <w:color w:val="000000"/>
          <w:spacing w:val="0"/>
          <w:w w:val="100"/>
          <w:position w:val="0"/>
        </w:rPr>
        <w:t>SBU</w:t>
      </w:r>
      <w:r>
        <w:rPr>
          <w:color w:val="000000"/>
          <w:spacing w:val="0"/>
          <w:w w:val="100"/>
          <w:position w:val="0"/>
        </w:rPr>
        <w:t>副总裁兼企划办主任；现任公司金融</w:t>
      </w:r>
      <w:r>
        <w:rPr>
          <w:rFonts w:ascii="Times New Roman" w:eastAsia="Times New Roman" w:hAnsi="Times New Roman" w:cs="Times New Roman"/>
          <w:color w:val="000000"/>
          <w:spacing w:val="0"/>
          <w:w w:val="100"/>
          <w:position w:val="0"/>
        </w:rPr>
        <w:t>SBG</w:t>
      </w:r>
      <w:r>
        <w:rPr>
          <w:color w:val="000000"/>
          <w:spacing w:val="0"/>
          <w:w w:val="100"/>
          <w:position w:val="0"/>
        </w:rPr>
        <w:t>政企</w:t>
      </w:r>
      <w:r>
        <w:rPr>
          <w:rFonts w:ascii="Times New Roman" w:eastAsia="Times New Roman" w:hAnsi="Times New Roman" w:cs="Times New Roman"/>
          <w:color w:val="000000"/>
          <w:spacing w:val="0"/>
          <w:w w:val="100"/>
          <w:position w:val="0"/>
        </w:rPr>
        <w:t>BG</w:t>
      </w:r>
      <w:r>
        <w:rPr>
          <w:color w:val="000000"/>
          <w:spacing w:val="0"/>
          <w:w w:val="100"/>
          <w:position w:val="0"/>
        </w:rPr>
        <w:t>副总经理兼企划办主任、职工代表监事。</w:t>
      </w:r>
    </w:p>
    <w:p>
      <w:pPr>
        <w:pStyle w:val="Style37"/>
        <w:keepNext w:val="0"/>
        <w:keepLines w:val="0"/>
        <w:widowControl w:val="0"/>
        <w:shd w:val="clear" w:color="auto" w:fill="auto"/>
        <w:tabs>
          <w:tab w:pos="911" w:val="left"/>
        </w:tabs>
        <w:bidi w:val="0"/>
        <w:spacing w:before="0" w:after="40" w:line="314" w:lineRule="exact"/>
        <w:ind w:left="0" w:right="0" w:firstLine="440"/>
        <w:jc w:val="left"/>
      </w:pPr>
      <w:bookmarkStart w:id="529" w:name="bookmark529"/>
      <w:r>
        <w:rPr>
          <w:color w:val="000000"/>
          <w:spacing w:val="0"/>
          <w:w w:val="100"/>
          <w:position w:val="0"/>
        </w:rPr>
        <w:t>（</w:t>
      </w:r>
      <w:bookmarkEnd w:id="529"/>
      <w:r>
        <w:rPr>
          <w:color w:val="000000"/>
          <w:spacing w:val="0"/>
          <w:w w:val="100"/>
          <w:position w:val="0"/>
        </w:rPr>
        <w:t>三）</w:t>
        <w:tab/>
        <w:t>高级管理人员</w:t>
      </w:r>
    </w:p>
    <w:p>
      <w:pPr>
        <w:pStyle w:val="Style37"/>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李鸿春，请详见（一）董事会成员中的介绍。</w:t>
      </w:r>
    </w:p>
    <w:p>
      <w:pPr>
        <w:pStyle w:val="Style3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赵文甫，男，</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月毕业于西安交通大学，获工学学士学位；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月毕业于天津大学，获工学硕士学位。曾 历任神州数码软件有限公司高级项目经理，产品</w:t>
      </w:r>
      <w:r>
        <w:rPr>
          <w:rFonts w:ascii="Times New Roman" w:eastAsia="Times New Roman" w:hAnsi="Times New Roman" w:cs="Times New Roman"/>
          <w:color w:val="000000"/>
          <w:spacing w:val="0"/>
          <w:w w:val="100"/>
          <w:position w:val="0"/>
        </w:rPr>
        <w:t>/</w:t>
      </w:r>
      <w:r>
        <w:rPr>
          <w:color w:val="000000"/>
          <w:spacing w:val="0"/>
          <w:w w:val="100"/>
          <w:position w:val="0"/>
        </w:rPr>
        <w:t>系统服务部门总经理、神州数码国锋软件有限公司副总裁、神州数码信息 服务股份有限公司金融</w:t>
      </w:r>
      <w:r>
        <w:rPr>
          <w:rFonts w:ascii="Times New Roman" w:eastAsia="Times New Roman" w:hAnsi="Times New Roman" w:cs="Times New Roman"/>
          <w:color w:val="000000"/>
          <w:spacing w:val="0"/>
          <w:w w:val="100"/>
          <w:position w:val="0"/>
        </w:rPr>
        <w:t>SBU</w:t>
      </w:r>
      <w:r>
        <w:rPr>
          <w:color w:val="000000"/>
          <w:spacing w:val="0"/>
          <w:w w:val="100"/>
          <w:position w:val="0"/>
        </w:rPr>
        <w:t>项目总监、城商行事业部总经理、</w:t>
      </w:r>
      <w:r>
        <w:rPr>
          <w:rFonts w:ascii="Times New Roman" w:eastAsia="Times New Roman" w:hAnsi="Times New Roman" w:cs="Times New Roman"/>
          <w:color w:val="000000"/>
          <w:spacing w:val="0"/>
          <w:w w:val="100"/>
          <w:position w:val="0"/>
        </w:rPr>
        <w:t>SBU</w:t>
      </w:r>
      <w:r>
        <w:rPr>
          <w:color w:val="000000"/>
          <w:spacing w:val="0"/>
          <w:w w:val="100"/>
          <w:position w:val="0"/>
        </w:rPr>
        <w:t>副总裁、</w:t>
      </w:r>
      <w:r>
        <w:rPr>
          <w:rFonts w:ascii="Times New Roman" w:eastAsia="Times New Roman" w:hAnsi="Times New Roman" w:cs="Times New Roman"/>
          <w:color w:val="000000"/>
          <w:spacing w:val="0"/>
          <w:w w:val="100"/>
          <w:position w:val="0"/>
        </w:rPr>
        <w:t>SBU</w:t>
      </w:r>
      <w:r>
        <w:rPr>
          <w:color w:val="000000"/>
          <w:spacing w:val="0"/>
          <w:w w:val="100"/>
          <w:position w:val="0"/>
        </w:rPr>
        <w:t>常务副总裁、神州数码信息服务股份有限 公司副总裁、神州数码融信云技术服务有限公司董事；现任神州数码信息服务股份有限公司常务副总裁、金融产品及交付中 心总经理。</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张云飞，女，</w:t>
      </w:r>
      <w:r>
        <w:rPr>
          <w:rFonts w:ascii="Times New Roman" w:eastAsia="Times New Roman" w:hAnsi="Times New Roman" w:cs="Times New Roman"/>
          <w:color w:val="000000"/>
          <w:spacing w:val="0"/>
          <w:w w:val="100"/>
          <w:position w:val="0"/>
        </w:rPr>
        <w:t>1995</w:t>
      </w:r>
      <w:r>
        <w:rPr>
          <w:color w:val="000000"/>
          <w:spacing w:val="0"/>
          <w:w w:val="100"/>
          <w:position w:val="0"/>
        </w:rPr>
        <w:t>年获北京大学光华管理学院经济学学士学位；</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年获中欧国际工商学院工商管理硕士学位。曾历 任神州数码经营管理部副总经理、济南神州数码有限公司总经理、神州数码科技发展公司副总经理、神州数码控股有限公司 财务部总经理、神州数码集团股份有限公司财务总监、北京迪信通商贸股份有限公司董事、鼎捷软件股份有限公司董事、神 州数码信息服务股份有限公司董事、董事会秘书等职务；现任公司财务总监、下属子公司董事或执行董事、神州数码融信云 </w:t>
      </w:r>
      <w:r>
        <w:rPr>
          <w:color w:val="000000"/>
          <w:spacing w:val="0"/>
          <w:w w:val="100"/>
          <w:position w:val="0"/>
        </w:rPr>
        <w:t>技术服务有限公司董事等职务。</w:t>
      </w:r>
    </w:p>
    <w:p>
      <w:pPr>
        <w:pStyle w:val="Style3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于宏志，男，</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月毕业于中国科学技术大学，获工学学士学位。曾任神州数码信息服务股份有限公司金融</w:t>
      </w:r>
      <w:r>
        <w:rPr>
          <w:rFonts w:ascii="Times New Roman" w:eastAsia="Times New Roman" w:hAnsi="Times New Roman" w:cs="Times New Roman"/>
          <w:color w:val="000000"/>
          <w:spacing w:val="0"/>
          <w:w w:val="100"/>
          <w:position w:val="0"/>
        </w:rPr>
        <w:t xml:space="preserve">SBU </w:t>
      </w:r>
      <w:r>
        <w:rPr>
          <w:color w:val="000000"/>
          <w:spacing w:val="0"/>
          <w:w w:val="100"/>
          <w:position w:val="0"/>
        </w:rPr>
        <w:t>项目总监、业务解决方案部总经理，现任公司</w:t>
      </w:r>
      <w:r>
        <w:rPr>
          <w:rFonts w:ascii="Times New Roman" w:eastAsia="Times New Roman" w:hAnsi="Times New Roman" w:cs="Times New Roman"/>
          <w:color w:val="000000"/>
          <w:spacing w:val="0"/>
          <w:w w:val="100"/>
          <w:position w:val="0"/>
        </w:rPr>
        <w:t>CTO</w:t>
      </w:r>
      <w:r>
        <w:rPr>
          <w:color w:val="000000"/>
          <w:spacing w:val="0"/>
          <w:w w:val="100"/>
          <w:position w:val="0"/>
        </w:rPr>
        <w:t>、</w:t>
      </w:r>
      <w:r>
        <w:rPr>
          <w:color w:val="000000"/>
          <w:spacing w:val="0"/>
          <w:w w:val="100"/>
          <w:position w:val="0"/>
        </w:rPr>
        <w:t>工程院院长及金融产品及交付中心副总经理。</w:t>
      </w:r>
    </w:p>
    <w:p>
      <w:pPr>
        <w:pStyle w:val="Style37"/>
        <w:keepNext w:val="0"/>
        <w:keepLines w:val="0"/>
        <w:widowControl w:val="0"/>
        <w:shd w:val="clear" w:color="auto" w:fill="auto"/>
        <w:bidi w:val="0"/>
        <w:spacing w:before="0" w:after="0" w:line="322" w:lineRule="exact"/>
        <w:ind w:left="0" w:right="0" w:firstLine="440"/>
        <w:jc w:val="left"/>
      </w:pPr>
      <w:r>
        <w:rPr>
          <w:color w:val="000000"/>
          <w:spacing w:val="0"/>
          <w:w w:val="100"/>
          <w:position w:val="0"/>
        </w:rPr>
        <w:t>马洪杰，男，</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月毕业于大连理工大学，获系统工程博士学位。曾历任神州数码集团信息化管理部副总经理、 神州数码系统集成服务有限公司服务产品中心总经理；现任公司副总裁、战略发展部总经理。</w:t>
      </w:r>
    </w:p>
    <w:p>
      <w:pPr>
        <w:pStyle w:val="Style37"/>
        <w:keepNext w:val="0"/>
        <w:keepLines w:val="0"/>
        <w:widowControl w:val="0"/>
        <w:shd w:val="clear" w:color="auto" w:fill="auto"/>
        <w:bidi w:val="0"/>
        <w:spacing w:before="0" w:after="0" w:line="319" w:lineRule="exact"/>
        <w:ind w:left="0" w:right="0" w:firstLine="440"/>
        <w:jc w:val="left"/>
      </w:pPr>
      <w:r>
        <w:rPr>
          <w:color w:val="000000"/>
          <w:spacing w:val="0"/>
          <w:w w:val="100"/>
          <w:position w:val="0"/>
        </w:rPr>
        <w:t>郝晋瑞，男，</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月毕业于北京理工大学，获工学学士学位；</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月毕业于北京理工大学，于同年</w:t>
      </w:r>
      <w:r>
        <w:rPr>
          <w:rFonts w:ascii="Times New Roman" w:eastAsia="Times New Roman" w:hAnsi="Times New Roman" w:cs="Times New Roman"/>
          <w:color w:val="000000"/>
          <w:spacing w:val="0"/>
          <w:w w:val="100"/>
          <w:position w:val="0"/>
        </w:rPr>
        <w:t>3</w:t>
      </w:r>
      <w:r>
        <w:rPr>
          <w:color w:val="000000"/>
          <w:spacing w:val="0"/>
          <w:w w:val="100"/>
          <w:position w:val="0"/>
        </w:rPr>
        <w:t>月获工 学硕士学位。曾历任北京理工大学讲师、神州数码信息服务股份有限公司</w:t>
      </w:r>
      <w:r>
        <w:rPr>
          <w:rFonts w:ascii="Times New Roman" w:eastAsia="Times New Roman" w:hAnsi="Times New Roman" w:cs="Times New Roman"/>
          <w:color w:val="000000"/>
          <w:spacing w:val="0"/>
          <w:w w:val="100"/>
          <w:position w:val="0"/>
        </w:rPr>
        <w:t>SBU</w:t>
      </w:r>
      <w:r>
        <w:rPr>
          <w:color w:val="000000"/>
          <w:spacing w:val="0"/>
          <w:w w:val="100"/>
          <w:position w:val="0"/>
        </w:rPr>
        <w:t>副总经理、项目管理部总经理；现任公司副 总裁兼项目及交付管理中心总经理。</w:t>
      </w:r>
    </w:p>
    <w:p>
      <w:pPr>
        <w:pStyle w:val="Style37"/>
        <w:keepNext w:val="0"/>
        <w:keepLines w:val="0"/>
        <w:widowControl w:val="0"/>
        <w:shd w:val="clear" w:color="auto" w:fill="auto"/>
        <w:bidi w:val="0"/>
        <w:spacing w:before="0" w:after="0" w:line="319" w:lineRule="exact"/>
        <w:ind w:left="0" w:right="0" w:firstLine="440"/>
        <w:jc w:val="left"/>
      </w:pPr>
      <w:r>
        <w:rPr>
          <w:color w:val="000000"/>
          <w:spacing w:val="0"/>
          <w:w w:val="100"/>
          <w:position w:val="0"/>
        </w:rPr>
        <w:t>李侃遐，女，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月毕业于香港大学，获组织与人力资源管理研究生文凭。曾历任神州数码（中国）有限公司人 力资源部招聘调配部经理、北区人力资源总监、集团人力副总经理、神州数码信息服务股份有限公司企划办副主任兼人力资 源及行政部总经理；现任公司副总裁、下属子公司董事或执行董事、人力资源及行政部总经理等职务。</w:t>
      </w:r>
    </w:p>
    <w:p>
      <w:pPr>
        <w:pStyle w:val="Style3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刘伟刚，男，</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月毕业于中国人民大学，获经济学学士学位；</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月获中国人民大学经济学硕士学位；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月取得董事会秘书资格证明。曾历任神州数码控股有限公司金融服务事业部投资经理、企业发展部投资经理、神 州数码信息服务股份有限公司资本证券部证券事务代表、投资总监、资本证券部总经理、投资管理部总经理；现任公司董事 会秘书、下属子公司董事或执行董事等职务。</w:t>
      </w:r>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崔晓天，男，</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月毕业于清华大学，获学士学位；</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月毕业中国科学院计算技术研究所，获硕士学位； </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月毕业中国科学院计算技术研究所，获工学博士学位，现为中国科学院正高级工程师。曾历任中国科学院计算技 术研究所</w:t>
      </w:r>
      <w:r>
        <w:rPr>
          <w:rFonts w:ascii="Times New Roman" w:eastAsia="Times New Roman" w:hAnsi="Times New Roman" w:cs="Times New Roman"/>
          <w:color w:val="000000"/>
          <w:spacing w:val="0"/>
          <w:w w:val="100"/>
          <w:position w:val="0"/>
        </w:rPr>
        <w:t>CAD</w:t>
      </w:r>
      <w:r>
        <w:rPr>
          <w:color w:val="000000"/>
          <w:spacing w:val="0"/>
          <w:w w:val="100"/>
          <w:position w:val="0"/>
        </w:rPr>
        <w:t>开放实验室助理研究员、中国科学院计算技术研究所副研究员、联想集团系统集成有限公司政府事业部助理 总经理、神州数码软件公司产品部副总经理、总经理、神州数码软件公司政府本部副总经理、神州数码信息服务股份有限公 司历任工程院副院长、院长、研发中心总经理、副总裁、安全可靠首席专家；现任公司信创首席专家。</w:t>
      </w:r>
    </w:p>
    <w:p>
      <w:pPr>
        <w:pStyle w:val="Style3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于丁，男，北京理工大学信息工程专业，曾任北京神州数码有限公司销售、客户代表，</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月至今，历任公司客 户经理、高级客户经理、销售总监、金融业务拓展事业部总经理、集成解决方案</w:t>
      </w:r>
      <w:r>
        <w:rPr>
          <w:rFonts w:ascii="Times New Roman" w:eastAsia="Times New Roman" w:hAnsi="Times New Roman" w:cs="Times New Roman"/>
          <w:color w:val="000000"/>
          <w:spacing w:val="0"/>
          <w:w w:val="100"/>
          <w:position w:val="0"/>
        </w:rPr>
        <w:t>SBU</w:t>
      </w:r>
      <w:r>
        <w:rPr>
          <w:color w:val="000000"/>
          <w:spacing w:val="0"/>
          <w:w w:val="100"/>
          <w:position w:val="0"/>
        </w:rPr>
        <w:t>助理总裁、集成解决方案</w:t>
      </w:r>
      <w:r>
        <w:rPr>
          <w:rFonts w:ascii="Times New Roman" w:eastAsia="Times New Roman" w:hAnsi="Times New Roman" w:cs="Times New Roman"/>
          <w:color w:val="000000"/>
          <w:spacing w:val="0"/>
          <w:w w:val="100"/>
          <w:position w:val="0"/>
        </w:rPr>
        <w:t>SBU</w:t>
      </w:r>
      <w:r>
        <w:rPr>
          <w:color w:val="000000"/>
          <w:spacing w:val="0"/>
          <w:w w:val="100"/>
          <w:position w:val="0"/>
        </w:rPr>
        <w:t>副总经 理、北京银行大客户总监职位，现任公司北区总裁、营销中心信创中心总经理。</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唐智峰，男，</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毕业于广东工业大学，获工学学士学位。曾任中国建设银行广东省分行的科员、高级程序员、 高级工程师、架构师、项目经理等，深圳市奥尊电脑公司项目总监、工程部总经理等。</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月至今，历任公司金融</w:t>
      </w:r>
      <w:r>
        <w:rPr>
          <w:rFonts w:ascii="Times New Roman" w:eastAsia="Times New Roman" w:hAnsi="Times New Roman" w:cs="Times New Roman"/>
          <w:color w:val="000000"/>
          <w:spacing w:val="0"/>
          <w:w w:val="100"/>
          <w:position w:val="0"/>
        </w:rPr>
        <w:t xml:space="preserve">SBU </w:t>
      </w:r>
      <w:r>
        <w:rPr>
          <w:color w:val="000000"/>
          <w:spacing w:val="0"/>
          <w:w w:val="100"/>
          <w:position w:val="0"/>
        </w:rPr>
        <w:t>项目总监、云解决方案</w:t>
      </w:r>
      <w:r>
        <w:rPr>
          <w:rFonts w:ascii="Times New Roman" w:eastAsia="Times New Roman" w:hAnsi="Times New Roman" w:cs="Times New Roman"/>
          <w:color w:val="000000"/>
          <w:spacing w:val="0"/>
          <w:w w:val="100"/>
          <w:position w:val="0"/>
        </w:rPr>
        <w:t>BU</w:t>
      </w:r>
      <w:r>
        <w:rPr>
          <w:color w:val="000000"/>
          <w:spacing w:val="0"/>
          <w:w w:val="100"/>
          <w:position w:val="0"/>
        </w:rPr>
        <w:t>总经理、南区</w:t>
      </w:r>
      <w:r>
        <w:rPr>
          <w:rFonts w:ascii="Times New Roman" w:eastAsia="Times New Roman" w:hAnsi="Times New Roman" w:cs="Times New Roman"/>
          <w:color w:val="000000"/>
          <w:spacing w:val="0"/>
          <w:w w:val="100"/>
          <w:position w:val="0"/>
        </w:rPr>
        <w:t>BU</w:t>
      </w:r>
      <w:r>
        <w:rPr>
          <w:color w:val="000000"/>
          <w:spacing w:val="0"/>
          <w:w w:val="100"/>
          <w:position w:val="0"/>
        </w:rPr>
        <w:t>总经理、金融</w:t>
      </w:r>
      <w:r>
        <w:rPr>
          <w:rFonts w:ascii="Times New Roman" w:eastAsia="Times New Roman" w:hAnsi="Times New Roman" w:cs="Times New Roman"/>
          <w:color w:val="000000"/>
          <w:spacing w:val="0"/>
          <w:w w:val="100"/>
          <w:position w:val="0"/>
        </w:rPr>
        <w:t>SBU</w:t>
      </w:r>
      <w:r>
        <w:rPr>
          <w:color w:val="000000"/>
          <w:spacing w:val="0"/>
          <w:w w:val="100"/>
          <w:position w:val="0"/>
        </w:rPr>
        <w:t>副总裁、解决方案事业群总经理，现任公司南区总裁、营 销中心软件中心总经理。</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刘洪，男，</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月毕业于北京工业大学机械工程学系；</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月毕业于中国矿业大学（北京），获工商管理硕 士学位；</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月获中欧国际工商学院工商管理硕士学位。曾任职于江苏靖江华通机电设备制造有限公司、慧聪国际有 限公司、普尔斯马特（中国）有限公司、北京搜畅网络技术有限公司等，</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月至今，历任公司质量测试事业部销售 经理、高级客户经理、销售总监、总经理；质量测试</w:t>
      </w:r>
      <w:r>
        <w:rPr>
          <w:rFonts w:ascii="Times New Roman" w:eastAsia="Times New Roman" w:hAnsi="Times New Roman" w:cs="Times New Roman"/>
          <w:color w:val="000000"/>
          <w:spacing w:val="0"/>
          <w:w w:val="100"/>
          <w:position w:val="0"/>
        </w:rPr>
        <w:t>BU</w:t>
      </w:r>
      <w:r>
        <w:rPr>
          <w:color w:val="000000"/>
          <w:spacing w:val="0"/>
          <w:w w:val="100"/>
          <w:position w:val="0"/>
        </w:rPr>
        <w:t>总经理、服务</w:t>
      </w:r>
      <w:r>
        <w:rPr>
          <w:rFonts w:ascii="Times New Roman" w:eastAsia="Times New Roman" w:hAnsi="Times New Roman" w:cs="Times New Roman"/>
          <w:color w:val="000000"/>
          <w:spacing w:val="0"/>
          <w:w w:val="100"/>
          <w:position w:val="0"/>
        </w:rPr>
        <w:t>SBU</w:t>
      </w:r>
      <w:r>
        <w:rPr>
          <w:color w:val="000000"/>
          <w:spacing w:val="0"/>
          <w:w w:val="100"/>
          <w:position w:val="0"/>
        </w:rPr>
        <w:t>助理总裁、副总经理、常务副总经理；质测业 务群组总经理，现任公司副总裁、软服</w:t>
      </w:r>
      <w:r>
        <w:rPr>
          <w:rFonts w:ascii="Times New Roman" w:eastAsia="Times New Roman" w:hAnsi="Times New Roman" w:cs="Times New Roman"/>
          <w:color w:val="000000"/>
          <w:spacing w:val="0"/>
          <w:w w:val="100"/>
          <w:position w:val="0"/>
        </w:rPr>
        <w:t>BG</w:t>
      </w:r>
      <w:r>
        <w:rPr>
          <w:color w:val="000000"/>
          <w:spacing w:val="0"/>
          <w:w w:val="100"/>
          <w:position w:val="0"/>
        </w:rPr>
        <w:t>总经理。</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孙建钢，男，</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月毕业于上海交通大学，获工学学士学位；</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月获中欧国际工商学院工商管理硕士学 位。曾任上海交通大学电子信息学院职工，</w:t>
      </w:r>
      <w:r>
        <w:rPr>
          <w:rFonts w:ascii="Times New Roman" w:eastAsia="Times New Roman" w:hAnsi="Times New Roman" w:cs="Times New Roman"/>
          <w:color w:val="000000"/>
          <w:spacing w:val="0"/>
          <w:w w:val="100"/>
          <w:position w:val="0"/>
        </w:rPr>
        <w:t xml:space="preserve">IBM </w:t>
      </w:r>
      <w:r>
        <w:rPr>
          <w:color w:val="000000"/>
          <w:spacing w:val="0"/>
          <w:w w:val="100"/>
          <w:position w:val="0"/>
        </w:rPr>
        <w:t xml:space="preserve">（中国）有限公司信息技术工程师，戴尔（中国）有限公司业务拓展经理， </w:t>
      </w:r>
      <w:r>
        <w:rPr>
          <w:rFonts w:ascii="Times New Roman" w:eastAsia="Times New Roman" w:hAnsi="Times New Roman" w:cs="Times New Roman"/>
          <w:color w:val="000000"/>
          <w:spacing w:val="0"/>
          <w:w w:val="100"/>
          <w:position w:val="0"/>
        </w:rPr>
        <w:t>IBM（</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有限公司大中华区技术服务产品管理部总经理，现任公司副总裁、服务</w:t>
      </w:r>
      <w:r>
        <w:rPr>
          <w:rFonts w:ascii="Times New Roman" w:eastAsia="Times New Roman" w:hAnsi="Times New Roman" w:cs="Times New Roman"/>
          <w:color w:val="000000"/>
          <w:spacing w:val="0"/>
          <w:w w:val="100"/>
          <w:position w:val="0"/>
        </w:rPr>
        <w:t>BG</w:t>
      </w:r>
      <w:r>
        <w:rPr>
          <w:color w:val="000000"/>
          <w:spacing w:val="0"/>
          <w:w w:val="100"/>
          <w:position w:val="0"/>
        </w:rPr>
        <w:t>总经理。</w:t>
      </w:r>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闫光明，男，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月获中国科学技术大学高级管理人员工商管理硕士学位。曾任九思科技北京公司销售经理，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月至今，历任公司高级销售代表、销售部经理、事业部总经理、业务群组副总经理、</w:t>
      </w:r>
      <w:r>
        <w:rPr>
          <w:rFonts w:ascii="Times New Roman" w:eastAsia="Times New Roman" w:hAnsi="Times New Roman" w:cs="Times New Roman"/>
          <w:color w:val="000000"/>
          <w:spacing w:val="0"/>
          <w:w w:val="100"/>
          <w:position w:val="0"/>
        </w:rPr>
        <w:t>SBU</w:t>
      </w:r>
      <w:r>
        <w:rPr>
          <w:color w:val="000000"/>
          <w:spacing w:val="0"/>
          <w:w w:val="100"/>
          <w:position w:val="0"/>
        </w:rPr>
        <w:t>总经理等职务，现任公 司副总裁、信创</w:t>
      </w:r>
      <w:r>
        <w:rPr>
          <w:rFonts w:ascii="Times New Roman" w:eastAsia="Times New Roman" w:hAnsi="Times New Roman" w:cs="Times New Roman"/>
          <w:color w:val="000000"/>
          <w:spacing w:val="0"/>
          <w:w w:val="100"/>
          <w:position w:val="0"/>
        </w:rPr>
        <w:t>BG</w:t>
      </w:r>
      <w:r>
        <w:rPr>
          <w:color w:val="000000"/>
          <w:spacing w:val="0"/>
          <w:w w:val="100"/>
          <w:position w:val="0"/>
        </w:rPr>
        <w:t>总经理。</w:t>
      </w:r>
      <w:r>
        <w:br w:type="page"/>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2045"/>
        <w:gridCol w:w="1416"/>
        <w:gridCol w:w="2059"/>
        <w:gridCol w:w="1349"/>
        <w:gridCol w:w="149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2981"/>
        <w:gridCol w:w="1555"/>
        <w:gridCol w:w="1704"/>
        <w:gridCol w:w="1560"/>
        <w:gridCol w:w="1070"/>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 是否领取报 酬津贴</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首席执行官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北京首钢基金有限公司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科升无线（苏州）股份有限公司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苏州创元投资发展（集团）有限公司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苏州工业园区科升信息技术有限公司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苏州嗨课网络科技有限公司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苏州华亿安防科技有限公司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苏州中新华智光源科技有限公司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深圳市百米生活股份有限公司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首长四方（集团）有限公司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独立非执行董事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北京元禾原点创业投资管理有限公司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r>
              <w:rPr>
                <w:color w:val="000000"/>
                <w:spacing w:val="0"/>
                <w:w w:val="100"/>
                <w:position w:val="0"/>
              </w:rPr>
              <w:t>，</w:t>
            </w: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青岛元禾原点投资管理有限公司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广州元禾原点投资管理有限公司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杭州既明投资管理有限公司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苏州工业园区原点正则创业投资管理 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北京元禾原点壹号创业投资合伙企业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2981"/>
        <w:gridCol w:w="1555"/>
        <w:gridCol w:w="1704"/>
        <w:gridCol w:w="1560"/>
        <w:gridCol w:w="1070"/>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广州元禾原点贰号创业投资合伙企业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广州原点壹号创业投资企业（有限合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广州原点正则投资管理中心（有限合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广州原科呈源创业投资合伙企业（有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杭州既明乙未创业投资合伙企业（有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杭州既明元则创业投资管理合伙企业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杭州元禾既明企业管理咨询合伙企业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上海北纳管理咨询合伙企业（有限合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上海原戍商务信息咨询事务所（普通 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苏州工业园区奥陶纪创业投资合伙企 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苏州工业园区必要创业投资企业（有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苏州工业园区广科原易点现创业投资 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苏州工业园区禾裕壹号创业投资企业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苏州工业园区辉诺共赢创业投资合伙 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苏州工业园区金陵壹号投资管理中心</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苏州工业园区理则股权投资管理中心</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苏州工业园区西子壹号投资管理中心</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苏州工业园区羊城壹号投资管理中心</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苏州工业园区元禾原点叁号创业投资 企业（有限合伙）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2981"/>
        <w:gridCol w:w="1555"/>
        <w:gridCol w:w="1704"/>
        <w:gridCol w:w="1560"/>
        <w:gridCol w:w="1070"/>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苏州工业园区原点理则创业投资管理 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苏州工业园区原点平则创业投资管理 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苏州工业园区原点正则贰号创业投资 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苏州工业园区原点正则壹号创业投资 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苏州工业园区原点治则创业投资管理 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苏州工业园区原点种子创业投资企业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苏州工业园区原戊创业投资合伙企业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苏州工业园区正则股权投资管理中心</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苏州工业园区正则既明股权投资管理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苏州工业园区正则健康创业投资管理 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苏州工业园区智科胜讯创业投资企业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苏州工业园区智明创业投资企业（有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苏州工业园区元禾原点创业投资管理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杭州元禾既明庚子股权投资合伙企业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南京原点正则创业投资管理中心（有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南京智子集成电路产业投资企业（有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苏州工业园区庚子创业投资合伙企业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苏州工业园区古生代创业投资企业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苏州工业园区元禾原点叁号医疗健康 产业投资合伙企业（有限合伙）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执行事务合伙人委 派代表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2981"/>
        <w:gridCol w:w="1555"/>
        <w:gridCol w:w="1704"/>
        <w:gridCol w:w="1560"/>
        <w:gridCol w:w="1070"/>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苏州工业园区原戌创业投资合伙企业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苏州工业园区正则原石创业投资企业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苏州工业园区智云从兴创业投资企业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苏州元禾原点智能叁号创业投资合伙 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苏州粤桥创业投资合伙企业（有限合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天津国科量子科技有限公司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北京因特睿软件有限公司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法人及总经理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深圳神州惠众科技有限公司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rPr>
              <w:t>，</w:t>
            </w: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深圳神州惠民科技有限公司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rPr>
              <w:t>，</w:t>
            </w: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北京神州众腾科技发展有限公司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北京融金维欣科技有限公司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深圳神州普惠信息有限公司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神州数码金融服务（深圳）有限公司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神州数码（上海）资产管理有限公司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昆山鹿鸣置业有限公司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神州数码科技产业投资有限责任公司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昆山神州数码科技产业发展有限公司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北京三人行数字传播股份有限公司 （前称北京众成就数字传媒股份有限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深圳海联讯科技股份有限公司</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阿尔特汽车技术股份有限公司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0"/>
        <w:gridCol w:w="2981"/>
        <w:gridCol w:w="1555"/>
        <w:gridCol w:w="1704"/>
        <w:gridCol w:w="1560"/>
        <w:gridCol w:w="1070"/>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北京三元食品股份有限公司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北京基康仪器股份有限公司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北京鹰瞳科技发展股份有限公司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中国科学院大学管理学院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诚志股份有限公司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西藏国路安科技股份有限公司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北京易华录信息技术股份有限公司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北京食空间网络科技有限公司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阜阳颍泉农村商业银行股份有限公司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阜阳颍泉农村商业银行股份有限公司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北京奥悦文化发展有限公司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北京中鼎恒信科技股份有限公司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上海品星互联网信息技术股份有限公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上海爱建信托有限责任公司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上海宽氪晟初投资管理有限公司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上海宽氪企业管理咨询有限公司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上海欧庭翻译有限公司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上海华瑞银行股份有限公司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泊颂（北京）生物科技有限公司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无锡市建融瓴祥投资管理有限公司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无锡市建融瓴祥投资管理有限公司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翟斌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深圳市人才集团有限公司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中国船舶重工股份有限公司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国任财产保险股份有限公司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中薇金融控股有限公司（原名称为中 国民生金融控股有限公司）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0"/>
        <w:gridCol w:w="2981"/>
        <w:gridCol w:w="1555"/>
        <w:gridCol w:w="1704"/>
        <w:gridCol w:w="1560"/>
        <w:gridCol w:w="1070"/>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深圳海王集团股份有限公司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首席经济学家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北京金丰盛泰投资管理有限公司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北京金丰裕瀛投资管理有限公司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北京融金维欣科技有限公司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r>
              <w:rPr>
                <w:color w:val="000000"/>
                <w:spacing w:val="0"/>
                <w:w w:val="100"/>
                <w:position w:val="0"/>
              </w:rPr>
              <w:t>，</w:t>
            </w:r>
            <w:r>
              <w:rPr>
                <w:color w:val="000000"/>
                <w:spacing w:val="0"/>
                <w:w w:val="100"/>
                <w:position w:val="0"/>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北京融信创投投资管理有限公司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北京神州众腾科技发展有限公司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北京因特睿软件有限公司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衡阳佳恒商业管理有限公司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慧聪集团有限公司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济南神州数码投资有限公司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昆山鹿鸣置业有限公司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昆山神州数码实业有限公司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量子数聚（北京）科技有限公司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南宁市邦信小额贷款有限责任公司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深圳神州普惠信息有限公司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神州买卖提（北京）电子商务有限公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神州融金</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神州数码（昆山）供应链投资有限公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神州数码（南京）信息科技有限公司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神州数码（上海）资产管理有限公司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神州数码（沈阳）科技园有限公司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神州数码（武汉）供应链投资有限公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神州数码（武汉）科技园有限公司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神州数码金融服务（深圳）有限公司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神州数码医疗科技股份有限公司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0"/>
        <w:gridCol w:w="1704"/>
        <w:gridCol w:w="1277"/>
        <w:gridCol w:w="1555"/>
        <w:gridCol w:w="1704"/>
        <w:gridCol w:w="1560"/>
        <w:gridCol w:w="1070"/>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西安神州数码网络小额贷款有限公司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重庆神州数码慧聪小额贷款有限公司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天津神州数码融资租赁有限公司咨询 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孙洋</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Unique Golden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许克勤</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萍乡信锐企业管理合伙企业（有限合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张云飞</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神州惠云信息技术有限公司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张云飞</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张云飞</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720"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公司董事费建江先生在投资领域工作，因此费建江先生在多家投资公司及苏州工业园区元 禾原点创业投资管理有限公司管理的基金之</w:t>
            </w:r>
            <w:r>
              <w:rPr>
                <w:rFonts w:ascii="Times New Roman" w:eastAsia="Times New Roman" w:hAnsi="Times New Roman" w:cs="Times New Roman"/>
                <w:color w:val="000000"/>
                <w:spacing w:val="0"/>
                <w:w w:val="100"/>
                <w:position w:val="0"/>
              </w:rPr>
              <w:t>GP</w:t>
            </w:r>
            <w:r>
              <w:rPr>
                <w:color w:val="000000"/>
                <w:spacing w:val="0"/>
                <w:w w:val="100"/>
                <w:position w:val="0"/>
              </w:rPr>
              <w:t>中担任董事或执行事务合伙人等职务。</w:t>
            </w:r>
          </w:p>
        </w:tc>
      </w:tr>
    </w:tbl>
    <w:p>
      <w:pPr>
        <w:widowControl w:val="0"/>
        <w:spacing w:after="7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26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四</w:t>
      </w:r>
      <w:bookmarkEnd w:id="532"/>
      <w:r>
        <w:rPr>
          <w:color w:val="000000"/>
          <w:spacing w:val="0"/>
          <w:w w:val="100"/>
          <w:position w:val="0"/>
          <w:sz w:val="24"/>
          <w:szCs w:val="24"/>
        </w:rPr>
        <w:t>、董事、监事、高级管理人员报酬情况</w:t>
      </w:r>
      <w:bookmarkEnd w:id="530"/>
      <w:bookmarkEnd w:id="531"/>
      <w:bookmarkEnd w:id="533"/>
    </w:p>
    <w:p>
      <w:pPr>
        <w:pStyle w:val="Style37"/>
        <w:keepNext w:val="0"/>
        <w:keepLines w:val="0"/>
        <w:widowControl w:val="0"/>
        <w:shd w:val="clear" w:color="auto" w:fill="auto"/>
        <w:bidi w:val="0"/>
        <w:spacing w:before="0" w:after="40" w:line="308" w:lineRule="exact"/>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tabs>
          <w:tab w:pos="971" w:val="left"/>
        </w:tabs>
        <w:bidi w:val="0"/>
        <w:spacing w:before="0" w:after="40" w:line="308" w:lineRule="exact"/>
        <w:ind w:left="0" w:right="0" w:firstLine="440"/>
        <w:jc w:val="left"/>
      </w:pPr>
      <w:bookmarkStart w:id="534" w:name="bookmark534"/>
      <w:r>
        <w:rPr>
          <w:color w:val="000000"/>
          <w:spacing w:val="0"/>
          <w:w w:val="100"/>
          <w:position w:val="0"/>
        </w:rPr>
        <w:t>（</w:t>
      </w:r>
      <w:bookmarkEnd w:id="534"/>
      <w:r>
        <w:rPr>
          <w:color w:val="000000"/>
          <w:spacing w:val="0"/>
          <w:w w:val="100"/>
          <w:position w:val="0"/>
        </w:rPr>
        <w:t>一）</w:t>
        <w:tab/>
        <w:t>薪酬的决策程序和确定依据</w:t>
      </w:r>
    </w:p>
    <w:p>
      <w:pPr>
        <w:pStyle w:val="Style37"/>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根据《神州数码信息服务股份有限公司董事、监事薪酬管理制度》规定，在公司担任具体管理职务的董事、监事，依 据其在公司的任职岗位领取相应薪酬</w:t>
      </w:r>
      <w:r>
        <w:rPr>
          <w:color w:val="000000"/>
          <w:spacing w:val="0"/>
          <w:w w:val="100"/>
          <w:position w:val="0"/>
        </w:rPr>
        <w:t>，</w:t>
      </w:r>
      <w:r>
        <w:rPr>
          <w:color w:val="000000"/>
          <w:spacing w:val="0"/>
          <w:w w:val="100"/>
          <w:position w:val="0"/>
        </w:rPr>
        <w:t>并经董事会薪酬与考核委员会考评；不在公司担任具体管理职务的外部董事、监事， 不在本公司领取薪酬；独立董事依据公司董事会或股东大会决议中的相关规定领取独立董事津贴。</w:t>
      </w:r>
    </w:p>
    <w:p>
      <w:pPr>
        <w:pStyle w:val="Style37"/>
        <w:keepNext w:val="0"/>
        <w:keepLines w:val="0"/>
        <w:widowControl w:val="0"/>
        <w:shd w:val="clear" w:color="auto" w:fill="auto"/>
        <w:tabs>
          <w:tab w:pos="1054" w:val="left"/>
        </w:tabs>
        <w:bidi w:val="0"/>
        <w:spacing w:before="0" w:after="400" w:line="310" w:lineRule="exact"/>
        <w:ind w:left="0" w:right="0" w:firstLine="440"/>
        <w:jc w:val="both"/>
      </w:pPr>
      <w:bookmarkStart w:id="535" w:name="bookmark535"/>
      <w:r>
        <w:rPr>
          <w:color w:val="000000"/>
          <w:spacing w:val="0"/>
          <w:w w:val="100"/>
          <w:position w:val="0"/>
        </w:rPr>
        <w:t>（</w:t>
      </w:r>
      <w:bookmarkEnd w:id="535"/>
      <w:r>
        <w:rPr>
          <w:color w:val="000000"/>
          <w:spacing w:val="0"/>
          <w:w w:val="100"/>
          <w:position w:val="0"/>
        </w:rPr>
        <w:t>二）</w:t>
        <w:tab/>
        <w:t>根据《神州数码信息服务股份有限公司高级管理人员薪酬管理制度》，高级管理人员年度薪酬由两部分组成， 即固定年薪</w:t>
      </w:r>
      <w:r>
        <w:rPr>
          <w:rFonts w:ascii="Times New Roman" w:eastAsia="Times New Roman" w:hAnsi="Times New Roman" w:cs="Times New Roman"/>
          <w:color w:val="000000"/>
          <w:spacing w:val="0"/>
          <w:w w:val="100"/>
          <w:position w:val="0"/>
        </w:rPr>
        <w:t>+</w:t>
      </w:r>
      <w:r>
        <w:rPr>
          <w:color w:val="000000"/>
          <w:spacing w:val="0"/>
          <w:w w:val="100"/>
          <w:position w:val="0"/>
        </w:rPr>
        <w:t>浮动年薪。固定年薪按月发放；浮动年薪依据其年度绩效考核结果，在每个会计年度结束后，由董事会审批通 过后进行发放。本年度在公司受薪的全体董事、监事和高级管理人员的年度薪酬总额为</w:t>
      </w:r>
      <w:r>
        <w:rPr>
          <w:rFonts w:ascii="Times New Roman" w:eastAsia="Times New Roman" w:hAnsi="Times New Roman" w:cs="Times New Roman"/>
          <w:color w:val="000000"/>
          <w:spacing w:val="0"/>
          <w:w w:val="100"/>
          <w:position w:val="0"/>
        </w:rPr>
        <w:t>1,943.52</w:t>
      </w:r>
      <w:r>
        <w:rPr>
          <w:color w:val="000000"/>
          <w:spacing w:val="0"/>
          <w:w w:val="100"/>
          <w:position w:val="0"/>
        </w:rPr>
        <w:t>万元。</w:t>
      </w:r>
    </w:p>
    <w:p>
      <w:pPr>
        <w:pStyle w:val="Style37"/>
        <w:keepNext w:val="0"/>
        <w:keepLines w:val="0"/>
        <w:widowControl w:val="0"/>
        <w:shd w:val="clear" w:color="auto" w:fill="auto"/>
        <w:bidi w:val="0"/>
        <w:spacing w:before="0" w:after="120" w:line="308"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Benjamin Zhai</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CTO</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郝晋瑞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信创首席专家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任玉龙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1,943.52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报告期内 已行权股</w:t>
            </w:r>
          </w:p>
          <w:p>
            <w:pPr>
              <w:pStyle w:val="Style29"/>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本期已解 锁股份数</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赵文甫</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bl>
    <w:p>
      <w:pPr>
        <w:spacing w:lineRule="exact" w:line="1"/>
        <w:rPr>
          <w:sz w:val="2"/>
          <w:szCs w:val="2"/>
        </w:rPr>
      </w:pPr>
      <w:r>
        <w:br w:type="page"/>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郝晋瑞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信创首席 专家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于宏志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CTO</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3,512,500</w:t>
            </w:r>
          </w:p>
        </w:tc>
      </w:tr>
      <w:tr>
        <w:trPr>
          <w:trHeight w:val="197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c>
          <w:tcPr>
            <w:gridSpan w:val="9"/>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年第五次临时会议和第八届监事会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年第一次临时会 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年股票期权与限制性股票激励计划第一个行权期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解除限售期行权/解除限 售条件成就的议案》，同意为符合行权条件的</w:t>
            </w:r>
            <w:r>
              <w:rPr>
                <w:rFonts w:ascii="Times New Roman" w:eastAsia="Times New Roman" w:hAnsi="Times New Roman" w:cs="Times New Roman"/>
                <w:color w:val="000000"/>
                <w:spacing w:val="0"/>
                <w:w w:val="100"/>
                <w:position w:val="0"/>
              </w:rPr>
              <w:t>100</w:t>
            </w:r>
            <w:r>
              <w:rPr>
                <w:color w:val="000000"/>
                <w:spacing w:val="0"/>
                <w:w w:val="100"/>
                <w:position w:val="0"/>
              </w:rPr>
              <w:t>名激励对象办理第一个行权期</w:t>
            </w:r>
            <w:r>
              <w:rPr>
                <w:rFonts w:ascii="Times New Roman" w:eastAsia="Times New Roman" w:hAnsi="Times New Roman" w:cs="Times New Roman"/>
                <w:color w:val="000000"/>
                <w:spacing w:val="0"/>
                <w:w w:val="100"/>
                <w:position w:val="0"/>
              </w:rPr>
              <w:t>1,076</w:t>
            </w:r>
            <w:r>
              <w:rPr>
                <w:color w:val="000000"/>
                <w:spacing w:val="0"/>
                <w:w w:val="100"/>
                <w:position w:val="0"/>
              </w:rPr>
              <w:t>万份股票期权 的行权手续，为符合解除限售条件的</w:t>
            </w:r>
            <w:r>
              <w:rPr>
                <w:rFonts w:ascii="Times New Roman" w:eastAsia="Times New Roman" w:hAnsi="Times New Roman" w:cs="Times New Roman"/>
                <w:color w:val="000000"/>
                <w:spacing w:val="0"/>
                <w:w w:val="100"/>
                <w:position w:val="0"/>
              </w:rPr>
              <w:t>15</w:t>
            </w:r>
            <w:r>
              <w:rPr>
                <w:color w:val="000000"/>
                <w:spacing w:val="0"/>
                <w:w w:val="100"/>
                <w:position w:val="0"/>
              </w:rPr>
              <w:t>名激励对象办理第一个解除限售期</w:t>
            </w:r>
            <w:r>
              <w:rPr>
                <w:rFonts w:ascii="Times New Roman" w:eastAsia="Times New Roman" w:hAnsi="Times New Roman" w:cs="Times New Roman"/>
                <w:color w:val="000000"/>
                <w:spacing w:val="0"/>
                <w:w w:val="100"/>
                <w:position w:val="0"/>
              </w:rPr>
              <w:t>332.50</w:t>
            </w:r>
            <w:r>
              <w:rPr>
                <w:color w:val="000000"/>
                <w:spacing w:val="0"/>
                <w:w w:val="100"/>
                <w:position w:val="0"/>
              </w:rPr>
              <w:t>万股限制性股票 的解除限售手续。本次解除限售股份的上市流通日为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日，自主行权第一个行权期实 际可行权期限为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日止。</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五</w:t>
      </w:r>
      <w:bookmarkEnd w:id="538"/>
      <w:r>
        <w:rPr>
          <w:color w:val="000000"/>
          <w:spacing w:val="0"/>
          <w:w w:val="100"/>
          <w:position w:val="0"/>
          <w:sz w:val="24"/>
          <w:szCs w:val="24"/>
        </w:rPr>
        <w:t>、公司员工情况</w:t>
      </w:r>
      <w:bookmarkEnd w:id="536"/>
      <w:bookmarkEnd w:id="537"/>
      <w:bookmarkEnd w:id="539"/>
    </w:p>
    <w:p>
      <w:pPr>
        <w:pStyle w:val="Style41"/>
        <w:keepNext/>
        <w:keepLines/>
        <w:widowControl w:val="0"/>
        <w:shd w:val="clear" w:color="auto" w:fill="auto"/>
        <w:bidi w:val="0"/>
        <w:spacing w:before="0" w:after="30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、员工数量、专业构成及教育程度</w:t>
      </w:r>
      <w:bookmarkEnd w:id="540"/>
      <w:bookmarkEnd w:id="541"/>
      <w:bookmarkEnd w:id="543"/>
    </w:p>
    <w:tbl>
      <w:tblPr>
        <w:tblOverlap w:val="never"/>
        <w:jc w:val="center"/>
        <w:tblLayout w:type="fixed"/>
      </w:tblPr>
      <w:tblGrid>
        <w:gridCol w:w="4786"/>
        <w:gridCol w:w="4795"/>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12,852</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12,898</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12,898</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11,295</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w:t>
            </w:r>
          </w:p>
        </w:tc>
      </w:tr>
    </w:tbl>
    <w:tbl>
      <w:tblPr>
        <w:tblOverlap w:val="never"/>
        <w:jc w:val="center"/>
        <w:tblLayout w:type="fixed"/>
      </w:tblPr>
      <w:tblGrid>
        <w:gridCol w:w="4786"/>
        <w:gridCol w:w="4795"/>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12,898</w:t>
            </w:r>
          </w:p>
        </w:tc>
      </w:tr>
      <w:tr>
        <w:trPr>
          <w:trHeight w:val="466"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8,181</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12,898</w:t>
            </w:r>
          </w:p>
        </w:tc>
      </w:tr>
    </w:tbl>
    <w:p>
      <w:pPr>
        <w:widowControl w:val="0"/>
        <w:spacing w:after="319" w:line="1" w:lineRule="exact"/>
      </w:pPr>
    </w:p>
    <w:p>
      <w:pPr>
        <w:pStyle w:val="Style41"/>
        <w:keepNext/>
        <w:keepLines/>
        <w:widowControl w:val="0"/>
        <w:shd w:val="clear" w:color="auto" w:fill="auto"/>
        <w:tabs>
          <w:tab w:pos="358" w:val="left"/>
        </w:tabs>
        <w:bidi w:val="0"/>
        <w:spacing w:before="0" w:after="26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薪酬政策</w:t>
      </w:r>
      <w:bookmarkEnd w:id="544"/>
      <w:bookmarkEnd w:id="545"/>
      <w:bookmarkEnd w:id="547"/>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通过对职位进行分析评价，参考公司业绩以及行业水平，制定岗位薪酬地图。公司定期参加外部薪酬调研，以确保薪酬 外部适当的竞争性。针对不同类别的人员设计不同的薪酬结构，依据员工岗位及其适岗度确定工薪，以达到薪酬内部一致性 和公平性。公司以</w:t>
      </w:r>
      <w:r>
        <w:rPr>
          <w:rFonts w:ascii="Times New Roman" w:eastAsia="Times New Roman" w:hAnsi="Times New Roman" w:cs="Times New Roman"/>
          <w:color w:val="000000"/>
          <w:spacing w:val="0"/>
          <w:w w:val="100"/>
          <w:position w:val="0"/>
        </w:rPr>
        <w:t>“</w:t>
      </w:r>
      <w:r>
        <w:rPr>
          <w:color w:val="000000"/>
          <w:spacing w:val="0"/>
          <w:w w:val="100"/>
          <w:position w:val="0"/>
        </w:rPr>
        <w:t>鼓励优秀、淘汰低绩效</w:t>
      </w:r>
      <w:r>
        <w:rPr>
          <w:rFonts w:ascii="Times New Roman" w:eastAsia="Times New Roman" w:hAnsi="Times New Roman" w:cs="Times New Roman"/>
          <w:color w:val="000000"/>
          <w:spacing w:val="0"/>
          <w:w w:val="100"/>
          <w:position w:val="0"/>
        </w:rPr>
        <w:t>”</w:t>
      </w:r>
      <w:r>
        <w:rPr>
          <w:color w:val="000000"/>
          <w:spacing w:val="0"/>
          <w:w w:val="100"/>
          <w:position w:val="0"/>
        </w:rPr>
        <w:t>为导向，定期对员工进行考核和梳理，提升人员的投入产出。</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报告期内，职工薪酬总额（计入成本部分）占公司总成本的比例为</w:t>
      </w:r>
      <w:r>
        <w:rPr>
          <w:rFonts w:ascii="Times New Roman" w:eastAsia="Times New Roman" w:hAnsi="Times New Roman" w:cs="Times New Roman"/>
          <w:color w:val="000000"/>
          <w:spacing w:val="0"/>
          <w:w w:val="100"/>
          <w:position w:val="0"/>
        </w:rPr>
        <w:t>18%</w:t>
      </w:r>
      <w:r>
        <w:rPr>
          <w:color w:val="000000"/>
          <w:spacing w:val="0"/>
          <w:w w:val="100"/>
          <w:position w:val="0"/>
        </w:rPr>
        <w:t>，去年同期为</w:t>
      </w:r>
      <w:r>
        <w:rPr>
          <w:rFonts w:ascii="Times New Roman" w:eastAsia="Times New Roman" w:hAnsi="Times New Roman" w:cs="Times New Roman"/>
          <w:color w:val="000000"/>
          <w:spacing w:val="0"/>
          <w:w w:val="100"/>
          <w:position w:val="0"/>
        </w:rPr>
        <w:t>19%</w:t>
      </w:r>
      <w:r>
        <w:rPr>
          <w:color w:val="000000"/>
          <w:spacing w:val="0"/>
          <w:w w:val="100"/>
          <w:position w:val="0"/>
        </w:rPr>
        <w:t>。公司利润对职工薪酬总额 变化敏感度较低。报告期内，公司核心技术人员数量及薪酬占比分别为</w:t>
      </w:r>
      <w:r>
        <w:rPr>
          <w:rFonts w:ascii="Times New Roman" w:eastAsia="Times New Roman" w:hAnsi="Times New Roman" w:cs="Times New Roman"/>
          <w:color w:val="000000"/>
          <w:spacing w:val="0"/>
          <w:w w:val="100"/>
          <w:position w:val="0"/>
        </w:rPr>
        <w:t xml:space="preserve">18.6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28.8%</w:t>
      </w:r>
      <w:r>
        <w:rPr>
          <w:color w:val="000000"/>
          <w:spacing w:val="0"/>
          <w:w w:val="100"/>
          <w:position w:val="0"/>
        </w:rPr>
        <w:t>，去年同期分别为</w:t>
      </w:r>
      <w:r>
        <w:rPr>
          <w:rFonts w:ascii="Times New Roman" w:eastAsia="Times New Roman" w:hAnsi="Times New Roman" w:cs="Times New Roman"/>
          <w:color w:val="000000"/>
          <w:spacing w:val="0"/>
          <w:w w:val="100"/>
          <w:position w:val="0"/>
        </w:rPr>
        <w:t>17.6%</w:t>
      </w:r>
      <w:r>
        <w:rPr>
          <w:color w:val="000000"/>
          <w:spacing w:val="0"/>
          <w:w w:val="100"/>
          <w:position w:val="0"/>
        </w:rPr>
        <w:t>、</w:t>
      </w:r>
      <w:r>
        <w:rPr>
          <w:rFonts w:ascii="Times New Roman" w:eastAsia="Times New Roman" w:hAnsi="Times New Roman" w:cs="Times New Roman"/>
          <w:color w:val="000000"/>
          <w:spacing w:val="0"/>
          <w:w w:val="100"/>
          <w:position w:val="0"/>
        </w:rPr>
        <w:t>28.0%</w:t>
      </w:r>
      <w:r>
        <w:rPr>
          <w:color w:val="000000"/>
          <w:spacing w:val="0"/>
          <w:w w:val="100"/>
          <w:position w:val="0"/>
        </w:rPr>
        <w:t>， 分别提升</w:t>
      </w:r>
      <w:r>
        <w:rPr>
          <w:rFonts w:ascii="Times New Roman" w:eastAsia="Times New Roman" w:hAnsi="Times New Roman" w:cs="Times New Roman"/>
          <w:color w:val="000000"/>
          <w:spacing w:val="0"/>
          <w:w w:val="100"/>
          <w:position w:val="0"/>
        </w:rPr>
        <w:t>1</w:t>
      </w:r>
      <w:r>
        <w:rPr>
          <w:color w:val="000000"/>
          <w:spacing w:val="0"/>
          <w:w w:val="100"/>
          <w:position w:val="0"/>
        </w:rPr>
        <w:t>个点、</w:t>
      </w:r>
      <w:r>
        <w:rPr>
          <w:rFonts w:ascii="Times New Roman" w:eastAsia="Times New Roman" w:hAnsi="Times New Roman" w:cs="Times New Roman"/>
          <w:color w:val="000000"/>
          <w:spacing w:val="0"/>
          <w:w w:val="100"/>
          <w:position w:val="0"/>
        </w:rPr>
        <w:t>0.8</w:t>
      </w:r>
      <w:r>
        <w:rPr>
          <w:color w:val="000000"/>
          <w:spacing w:val="0"/>
          <w:w w:val="100"/>
          <w:position w:val="0"/>
        </w:rPr>
        <w:t>个点。</w:t>
      </w:r>
    </w:p>
    <w:p>
      <w:pPr>
        <w:pStyle w:val="Style41"/>
        <w:keepNext/>
        <w:keepLines/>
        <w:widowControl w:val="0"/>
        <w:shd w:val="clear" w:color="auto" w:fill="auto"/>
        <w:tabs>
          <w:tab w:pos="358" w:val="left"/>
        </w:tabs>
        <w:bidi w:val="0"/>
        <w:spacing w:before="0" w:after="26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培训计划</w:t>
      </w:r>
      <w:bookmarkEnd w:id="548"/>
      <w:bookmarkEnd w:id="549"/>
      <w:bookmarkEnd w:id="551"/>
    </w:p>
    <w:p>
      <w:pPr>
        <w:pStyle w:val="Style3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服务于公司</w:t>
      </w:r>
      <w:r>
        <w:rPr>
          <w:rFonts w:ascii="Times New Roman" w:eastAsia="Times New Roman" w:hAnsi="Times New Roman" w:cs="Times New Roman"/>
          <w:color w:val="000000"/>
          <w:spacing w:val="0"/>
          <w:w w:val="100"/>
          <w:position w:val="0"/>
        </w:rPr>
        <w:t>“</w:t>
      </w:r>
      <w:r>
        <w:rPr>
          <w:color w:val="000000"/>
          <w:spacing w:val="0"/>
          <w:w w:val="100"/>
          <w:position w:val="0"/>
        </w:rPr>
        <w:t>聚焦金融科技，以大数据、人工智能和区块链赋能行业数字化，打造产业融合新生态</w:t>
      </w:r>
      <w:r>
        <w:rPr>
          <w:rFonts w:ascii="Times New Roman" w:eastAsia="Times New Roman" w:hAnsi="Times New Roman" w:cs="Times New Roman"/>
          <w:color w:val="000000"/>
          <w:spacing w:val="0"/>
          <w:w w:val="100"/>
          <w:position w:val="0"/>
        </w:rPr>
        <w:t>”</w:t>
      </w:r>
      <w:r>
        <w:rPr>
          <w:color w:val="000000"/>
          <w:spacing w:val="0"/>
          <w:w w:val="100"/>
          <w:position w:val="0"/>
        </w:rPr>
        <w:t>的发展战略，人力资 源部持续从管理能力、专业能力、通用能力和企业文化四个维度推动人才发展战略，推进培养项目在全国的落地。</w:t>
      </w:r>
    </w:p>
    <w:p>
      <w:pPr>
        <w:pStyle w:val="Style3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年共开展新员工入职培训</w:t>
      </w:r>
      <w:r>
        <w:rPr>
          <w:rFonts w:ascii="Times New Roman" w:eastAsia="Times New Roman" w:hAnsi="Times New Roman" w:cs="Times New Roman"/>
          <w:color w:val="000000"/>
          <w:spacing w:val="0"/>
          <w:w w:val="100"/>
          <w:position w:val="0"/>
        </w:rPr>
        <w:t>26</w:t>
      </w:r>
      <w:r>
        <w:rPr>
          <w:color w:val="000000"/>
          <w:spacing w:val="0"/>
          <w:w w:val="100"/>
          <w:position w:val="0"/>
        </w:rPr>
        <w:t>期，累计覆盖</w:t>
      </w:r>
      <w:r>
        <w:rPr>
          <w:rFonts w:ascii="Times New Roman" w:eastAsia="Times New Roman" w:hAnsi="Times New Roman" w:cs="Times New Roman"/>
          <w:color w:val="000000"/>
          <w:spacing w:val="0"/>
          <w:w w:val="100"/>
          <w:position w:val="0"/>
        </w:rPr>
        <w:t>1,258</w:t>
      </w:r>
      <w:r>
        <w:rPr>
          <w:color w:val="000000"/>
          <w:spacing w:val="0"/>
          <w:w w:val="100"/>
          <w:position w:val="0"/>
        </w:rPr>
        <w:t>人次；开展新员工入模子培训</w:t>
      </w:r>
      <w:r>
        <w:rPr>
          <w:rFonts w:ascii="Times New Roman" w:eastAsia="Times New Roman" w:hAnsi="Times New Roman" w:cs="Times New Roman"/>
          <w:color w:val="000000"/>
          <w:spacing w:val="0"/>
          <w:w w:val="100"/>
          <w:position w:val="0"/>
        </w:rPr>
        <w:t>14</w:t>
      </w:r>
      <w:r>
        <w:rPr>
          <w:color w:val="000000"/>
          <w:spacing w:val="0"/>
          <w:w w:val="100"/>
          <w:position w:val="0"/>
        </w:rPr>
        <w:t>期，累计覆盖</w:t>
      </w:r>
      <w:r>
        <w:rPr>
          <w:rFonts w:ascii="Times New Roman" w:eastAsia="Times New Roman" w:hAnsi="Times New Roman" w:cs="Times New Roman"/>
          <w:color w:val="000000"/>
          <w:spacing w:val="0"/>
          <w:w w:val="100"/>
          <w:position w:val="0"/>
        </w:rPr>
        <w:t>2,407</w:t>
      </w:r>
      <w:r>
        <w:rPr>
          <w:color w:val="000000"/>
          <w:spacing w:val="0"/>
          <w:w w:val="100"/>
          <w:position w:val="0"/>
        </w:rPr>
        <w:t>人次；管理条线 针对高管、总经理、总监及经理团队，以不同方式提升其管理能力，累计覆盖</w:t>
      </w:r>
      <w:r>
        <w:rPr>
          <w:rFonts w:ascii="Times New Roman" w:eastAsia="Times New Roman" w:hAnsi="Times New Roman" w:cs="Times New Roman"/>
          <w:color w:val="000000"/>
          <w:spacing w:val="0"/>
          <w:w w:val="100"/>
          <w:position w:val="0"/>
        </w:rPr>
        <w:t>1,902</w:t>
      </w:r>
      <w:r>
        <w:rPr>
          <w:color w:val="000000"/>
          <w:spacing w:val="0"/>
          <w:w w:val="100"/>
          <w:position w:val="0"/>
        </w:rPr>
        <w:t>人次；专业条线针对项目管理序列人员、 技术大咖团队、技术及销售团队，以线上线下相结合的方式提升其专业能力，累计覆盖</w:t>
      </w:r>
      <w:r>
        <w:rPr>
          <w:rFonts w:ascii="Times New Roman" w:eastAsia="Times New Roman" w:hAnsi="Times New Roman" w:cs="Times New Roman"/>
          <w:color w:val="000000"/>
          <w:spacing w:val="0"/>
          <w:w w:val="100"/>
          <w:position w:val="0"/>
        </w:rPr>
        <w:t>4,306</w:t>
      </w:r>
      <w:r>
        <w:rPr>
          <w:color w:val="000000"/>
          <w:spacing w:val="0"/>
          <w:w w:val="100"/>
          <w:position w:val="0"/>
        </w:rPr>
        <w:t>人次；通用条线陆续开展</w:t>
      </w:r>
      <w:r>
        <w:rPr>
          <w:rFonts w:ascii="Times New Roman" w:eastAsia="Times New Roman" w:hAnsi="Times New Roman" w:cs="Times New Roman"/>
          <w:color w:val="000000"/>
          <w:spacing w:val="0"/>
          <w:w w:val="100"/>
          <w:position w:val="0"/>
        </w:rPr>
        <w:t>23</w:t>
      </w:r>
      <w:r>
        <w:rPr>
          <w:color w:val="000000"/>
          <w:spacing w:val="0"/>
          <w:w w:val="100"/>
          <w:position w:val="0"/>
        </w:rPr>
        <w:t>期 主题分享，累计覆盖</w:t>
      </w:r>
      <w:r>
        <w:rPr>
          <w:rFonts w:ascii="Times New Roman" w:eastAsia="Times New Roman" w:hAnsi="Times New Roman" w:cs="Times New Roman"/>
          <w:color w:val="000000"/>
          <w:spacing w:val="0"/>
          <w:w w:val="100"/>
          <w:position w:val="0"/>
        </w:rPr>
        <w:t>1,383</w:t>
      </w:r>
      <w:r>
        <w:rPr>
          <w:color w:val="000000"/>
          <w:spacing w:val="0"/>
          <w:w w:val="100"/>
          <w:position w:val="0"/>
        </w:rPr>
        <w:t>人次。</w:t>
      </w:r>
    </w:p>
    <w:p>
      <w:pPr>
        <w:pStyle w:val="Style37"/>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同时，人力资源部针对</w:t>
      </w:r>
      <w:r>
        <w:rPr>
          <w:rFonts w:ascii="Times New Roman" w:eastAsia="Times New Roman" w:hAnsi="Times New Roman" w:cs="Times New Roman"/>
          <w:color w:val="000000"/>
          <w:spacing w:val="0"/>
          <w:w w:val="100"/>
          <w:position w:val="0"/>
        </w:rPr>
        <w:t>“</w:t>
      </w:r>
      <w:r>
        <w:rPr>
          <w:color w:val="000000"/>
          <w:spacing w:val="0"/>
          <w:w w:val="100"/>
          <w:position w:val="0"/>
        </w:rPr>
        <w:t>关键岗位人员</w:t>
      </w:r>
      <w:r>
        <w:rPr>
          <w:rFonts w:ascii="Times New Roman" w:eastAsia="Times New Roman" w:hAnsi="Times New Roman" w:cs="Times New Roman"/>
          <w:color w:val="000000"/>
          <w:spacing w:val="0"/>
          <w:w w:val="100"/>
          <w:position w:val="0"/>
        </w:rPr>
        <w:t>”</w:t>
      </w:r>
      <w:r>
        <w:rPr>
          <w:color w:val="000000"/>
          <w:spacing w:val="0"/>
          <w:w w:val="100"/>
          <w:position w:val="0"/>
        </w:rPr>
        <w:t>进行持续培养，通过实践历练、内部培训、外部参访交流等多种方式促进关键 岗位人员的有序流动及能力提升。</w:t>
      </w:r>
    </w:p>
    <w:p>
      <w:pPr>
        <w:pStyle w:val="Style41"/>
        <w:keepNext/>
        <w:keepLines/>
        <w:widowControl w:val="0"/>
        <w:shd w:val="clear" w:color="auto" w:fill="auto"/>
        <w:tabs>
          <w:tab w:pos="358" w:val="left"/>
        </w:tabs>
        <w:bidi w:val="0"/>
        <w:spacing w:before="0" w:after="26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劳务外包情况</w:t>
      </w:r>
      <w:bookmarkEnd w:id="552"/>
      <w:bookmarkEnd w:id="553"/>
      <w:bookmarkEnd w:id="555"/>
    </w:p>
    <w:p>
      <w:pPr>
        <w:pStyle w:val="Style37"/>
        <w:keepNext w:val="0"/>
        <w:keepLines w:val="0"/>
        <w:widowControl w:val="0"/>
        <w:shd w:val="clear" w:color="auto" w:fill="auto"/>
        <w:bidi w:val="0"/>
        <w:spacing w:before="0" w:after="2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560" w:line="240" w:lineRule="auto"/>
        <w:ind w:left="0" w:right="0" w:firstLine="0"/>
        <w:jc w:val="center"/>
      </w:pPr>
      <w:bookmarkStart w:id="556" w:name="bookmark556"/>
      <w:bookmarkStart w:id="557" w:name="bookmark557"/>
      <w:bookmarkStart w:id="558" w:name="bookmark558"/>
      <w:r>
        <w:rPr>
          <w:color w:val="000000"/>
          <w:spacing w:val="0"/>
          <w:w w:val="100"/>
          <w:position w:val="0"/>
        </w:rPr>
        <w:t>第十节公司治理</w:t>
      </w:r>
      <w:bookmarkEnd w:id="556"/>
      <w:bookmarkEnd w:id="557"/>
      <w:bookmarkEnd w:id="558"/>
    </w:p>
    <w:p>
      <w:pPr>
        <w:pStyle w:val="Style35"/>
        <w:keepNext/>
        <w:keepLines/>
        <w:widowControl w:val="0"/>
        <w:shd w:val="clear" w:color="auto" w:fill="auto"/>
        <w:tabs>
          <w:tab w:pos="605" w:val="left"/>
        </w:tabs>
        <w:bidi w:val="0"/>
        <w:spacing w:before="0" w:after="260" w:line="240" w:lineRule="auto"/>
        <w:ind w:left="0" w:right="0" w:firstLine="0"/>
        <w:jc w:val="left"/>
      </w:pPr>
      <w:bookmarkStart w:id="559" w:name="bookmark559"/>
      <w:bookmarkStart w:id="560" w:name="bookmark560"/>
      <w:bookmarkStart w:id="561" w:name="bookmark561"/>
      <w:bookmarkStart w:id="562" w:name="bookmark562"/>
      <w:bookmarkStart w:id="563" w:name="bookmark563"/>
      <w:r>
        <w:rPr>
          <w:color w:val="000000"/>
          <w:spacing w:val="0"/>
          <w:w w:val="100"/>
          <w:position w:val="0"/>
          <w:sz w:val="24"/>
          <w:szCs w:val="24"/>
        </w:rPr>
        <w:t>一</w:t>
      </w:r>
      <w:bookmarkEnd w:id="562"/>
      <w:r>
        <w:rPr>
          <w:color w:val="000000"/>
          <w:spacing w:val="0"/>
          <w:w w:val="100"/>
          <w:position w:val="0"/>
          <w:sz w:val="24"/>
          <w:szCs w:val="24"/>
        </w:rPr>
        <w:t>、</w:t>
        <w:tab/>
        <w:t>公司治理的基本状况</w:t>
      </w:r>
      <w:bookmarkEnd w:id="560"/>
      <w:bookmarkEnd w:id="561"/>
      <w:bookmarkEnd w:id="563"/>
      <w:bookmarkEnd w:id="559"/>
    </w:p>
    <w:p>
      <w:pPr>
        <w:pStyle w:val="Style3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公司按照《公司法》、《证券法》、《上市公司治理准则》等相关法律、法规及规范文件要求，立足于全体股东的利益, 不断提高公司经营管理水平、公司诚信度和透明度，建立了以</w:t>
      </w:r>
      <w:r>
        <w:rPr>
          <w:rFonts w:ascii="Times New Roman" w:eastAsia="Times New Roman" w:hAnsi="Times New Roman" w:cs="Times New Roman"/>
          <w:color w:val="000000"/>
          <w:spacing w:val="0"/>
          <w:w w:val="100"/>
          <w:position w:val="0"/>
        </w:rPr>
        <w:t>“</w:t>
      </w:r>
      <w:r>
        <w:rPr>
          <w:color w:val="000000"/>
          <w:spacing w:val="0"/>
          <w:w w:val="100"/>
          <w:position w:val="0"/>
        </w:rPr>
        <w:t>三会一层</w:t>
      </w:r>
      <w:r>
        <w:rPr>
          <w:rFonts w:ascii="Times New Roman" w:eastAsia="Times New Roman" w:hAnsi="Times New Roman" w:cs="Times New Roman"/>
          <w:color w:val="000000"/>
          <w:spacing w:val="0"/>
          <w:w w:val="100"/>
          <w:position w:val="0"/>
        </w:rPr>
        <w:t>”</w:t>
      </w:r>
      <w:r>
        <w:rPr>
          <w:color w:val="000000"/>
          <w:spacing w:val="0"/>
          <w:w w:val="100"/>
          <w:position w:val="0"/>
        </w:rPr>
        <w:t>规范运作为基础的符合现代企业制度要求的法人治 理结构，健全公司内部控制制度，构建了与公司发展战略相匹配的内部管控体系，提高了公司规范运作水平。</w:t>
      </w:r>
    </w:p>
    <w:p>
      <w:pPr>
        <w:pStyle w:val="Style37"/>
        <w:keepNext w:val="0"/>
        <w:keepLines w:val="0"/>
        <w:widowControl w:val="0"/>
        <w:shd w:val="clear" w:color="auto" w:fill="auto"/>
        <w:tabs>
          <w:tab w:pos="672" w:val="left"/>
        </w:tabs>
        <w:bidi w:val="0"/>
        <w:spacing w:before="0" w:after="0" w:line="315" w:lineRule="exact"/>
        <w:ind w:left="0" w:right="0" w:firstLine="380"/>
        <w:jc w:val="both"/>
      </w:pPr>
      <w:bookmarkStart w:id="564" w:name="bookmark564"/>
      <w:r>
        <w:rPr>
          <w:rFonts w:ascii="Times New Roman" w:eastAsia="Times New Roman" w:hAnsi="Times New Roman" w:cs="Times New Roman"/>
          <w:color w:val="000000"/>
          <w:spacing w:val="0"/>
          <w:w w:val="100"/>
          <w:position w:val="0"/>
        </w:rPr>
        <w:t>1</w:t>
      </w:r>
      <w:bookmarkEnd w:id="564"/>
      <w:r>
        <w:rPr>
          <w:color w:val="000000"/>
          <w:spacing w:val="0"/>
          <w:w w:val="100"/>
          <w:position w:val="0"/>
        </w:rPr>
        <w:t>、</w:t>
        <w:tab/>
        <w:t>公司按照《公司章程》、《股东大会议事规则》等有关要求，不断规范和落实股东大会的召集、召开和议事程序， 确保所有股东享有平等地位并行使自己的权利，保证全体股东的信息对称。报告期内，公司修订了《公司章程》和《股东大 会议事规则》，公司股东大会的召集、召开及表决程序符合相关规定。</w:t>
      </w:r>
    </w:p>
    <w:p>
      <w:pPr>
        <w:pStyle w:val="Style37"/>
        <w:keepNext w:val="0"/>
        <w:keepLines w:val="0"/>
        <w:widowControl w:val="0"/>
        <w:shd w:val="clear" w:color="auto" w:fill="auto"/>
        <w:bidi w:val="0"/>
        <w:spacing w:before="0" w:after="0" w:line="315" w:lineRule="exact"/>
        <w:ind w:left="0" w:right="0" w:firstLine="380"/>
        <w:jc w:val="both"/>
      </w:pPr>
      <w:bookmarkStart w:id="565" w:name="bookmark565"/>
      <w:r>
        <w:rPr>
          <w:rFonts w:ascii="Times New Roman" w:eastAsia="Times New Roman" w:hAnsi="Times New Roman" w:cs="Times New Roman"/>
          <w:color w:val="000000"/>
          <w:spacing w:val="0"/>
          <w:w w:val="100"/>
          <w:position w:val="0"/>
        </w:rPr>
        <w:t>2</w:t>
      </w:r>
      <w:bookmarkEnd w:id="565"/>
      <w:r>
        <w:rPr>
          <w:color w:val="000000"/>
          <w:spacing w:val="0"/>
          <w:w w:val="100"/>
          <w:position w:val="0"/>
        </w:rPr>
        <w:t>、 公司按照相关法律及《公司章程》规定的选聘程序选举董事，董事会由</w:t>
      </w:r>
      <w:r>
        <w:rPr>
          <w:rFonts w:ascii="Times New Roman" w:eastAsia="Times New Roman" w:hAnsi="Times New Roman" w:cs="Times New Roman"/>
          <w:color w:val="000000"/>
          <w:spacing w:val="0"/>
          <w:w w:val="100"/>
          <w:position w:val="0"/>
        </w:rPr>
        <w:t>10</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5</w:t>
      </w:r>
      <w:r>
        <w:rPr>
          <w:color w:val="000000"/>
          <w:spacing w:val="0"/>
          <w:w w:val="100"/>
          <w:position w:val="0"/>
        </w:rPr>
        <w:t>人，报告期内， 公司修订了《董事会议事规则》，各董事均能按照《公司章程》、《董事会议事规则》的规定，认真履行职责并行使权利， 以认真负责的态度出席公司董事会和股东大会。</w:t>
      </w:r>
    </w:p>
    <w:p>
      <w:pPr>
        <w:pStyle w:val="Style37"/>
        <w:keepNext w:val="0"/>
        <w:keepLines w:val="0"/>
        <w:widowControl w:val="0"/>
        <w:shd w:val="clear" w:color="auto" w:fill="auto"/>
        <w:tabs>
          <w:tab w:pos="677" w:val="left"/>
        </w:tabs>
        <w:bidi w:val="0"/>
        <w:spacing w:before="0" w:after="0" w:line="322" w:lineRule="exact"/>
        <w:ind w:left="0" w:right="0" w:firstLine="380"/>
        <w:jc w:val="both"/>
      </w:pPr>
      <w:bookmarkStart w:id="566" w:name="bookmark566"/>
      <w:r>
        <w:rPr>
          <w:rFonts w:ascii="Times New Roman" w:eastAsia="Times New Roman" w:hAnsi="Times New Roman" w:cs="Times New Roman"/>
          <w:color w:val="000000"/>
          <w:spacing w:val="0"/>
          <w:w w:val="100"/>
          <w:position w:val="0"/>
        </w:rPr>
        <w:t>3</w:t>
      </w:r>
      <w:bookmarkEnd w:id="566"/>
      <w:r>
        <w:rPr>
          <w:color w:val="000000"/>
          <w:spacing w:val="0"/>
          <w:w w:val="100"/>
          <w:position w:val="0"/>
        </w:rPr>
        <w:t>、</w:t>
        <w:tab/>
        <w:t>公司按照相关法律及《公司章程》规定的选聘程序选举监事，监事会由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人，监事 会的人数和人员构成符合法律、法规的要求。报告期内，监事会严格按照《公司章程》、《监事会议事规则》的规定，认真 履行职责，对公司经营管理、财务状况及公司董事、高级管理人员等履行职责的合法合规性进行有效监督。</w:t>
      </w:r>
    </w:p>
    <w:p>
      <w:pPr>
        <w:pStyle w:val="Style37"/>
        <w:keepNext w:val="0"/>
        <w:keepLines w:val="0"/>
        <w:widowControl w:val="0"/>
        <w:shd w:val="clear" w:color="auto" w:fill="auto"/>
        <w:tabs>
          <w:tab w:pos="668" w:val="left"/>
        </w:tabs>
        <w:bidi w:val="0"/>
        <w:spacing w:before="0" w:after="0" w:line="326" w:lineRule="exact"/>
        <w:ind w:left="0" w:right="0" w:firstLine="380"/>
        <w:jc w:val="both"/>
      </w:pPr>
      <w:bookmarkStart w:id="567" w:name="bookmark567"/>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公司按照相关法律及《公司章程》规定的选聘程序聘任高级管理人员，公司管理层遵守诚信原则，谨慎、勤勉的履 行职责并按照董事会决策开展经营管理。</w:t>
      </w:r>
    </w:p>
    <w:p>
      <w:pPr>
        <w:pStyle w:val="Style37"/>
        <w:keepNext w:val="0"/>
        <w:keepLines w:val="0"/>
        <w:widowControl w:val="0"/>
        <w:shd w:val="clear" w:color="auto" w:fill="auto"/>
        <w:tabs>
          <w:tab w:pos="672" w:val="left"/>
        </w:tabs>
        <w:bidi w:val="0"/>
        <w:spacing w:before="0" w:after="0" w:line="322" w:lineRule="exact"/>
        <w:ind w:left="0" w:right="0" w:firstLine="380"/>
        <w:jc w:val="both"/>
      </w:pPr>
      <w:bookmarkStart w:id="568" w:name="bookmark568"/>
      <w:r>
        <w:rPr>
          <w:rFonts w:ascii="Times New Roman" w:eastAsia="Times New Roman" w:hAnsi="Times New Roman" w:cs="Times New Roman"/>
          <w:color w:val="000000"/>
          <w:spacing w:val="0"/>
          <w:w w:val="100"/>
          <w:position w:val="0"/>
        </w:rPr>
        <w:t>5</w:t>
      </w:r>
      <w:bookmarkEnd w:id="568"/>
      <w:r>
        <w:rPr>
          <w:color w:val="000000"/>
          <w:spacing w:val="0"/>
          <w:w w:val="100"/>
          <w:position w:val="0"/>
        </w:rPr>
        <w:t>、</w:t>
        <w:tab/>
        <w:t>报告期内，公司不存在向控股股东或实际控制人提供未公开信息等公司治理非规范情况；公司大股东或实际控制人 也不存在干预上市公司生产、经营、管理等公司治理非规范情况。</w:t>
      </w:r>
    </w:p>
    <w:p>
      <w:pPr>
        <w:pStyle w:val="Style3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5"/>
        <w:keepNext/>
        <w:keepLines/>
        <w:widowControl w:val="0"/>
        <w:shd w:val="clear" w:color="auto" w:fill="auto"/>
        <w:tabs>
          <w:tab w:pos="605"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二</w:t>
      </w:r>
      <w:bookmarkEnd w:id="571"/>
      <w:r>
        <w:rPr>
          <w:color w:val="000000"/>
          <w:spacing w:val="0"/>
          <w:w w:val="100"/>
          <w:position w:val="0"/>
          <w:sz w:val="24"/>
          <w:szCs w:val="24"/>
        </w:rPr>
        <w:t>、</w:t>
        <w:tab/>
        <w:t>公司相对于控股股东在业务、人员、资产、机构、财务等方面的独立情况</w:t>
      </w:r>
      <w:bookmarkEnd w:id="569"/>
      <w:bookmarkEnd w:id="570"/>
      <w:bookmarkEnd w:id="572"/>
    </w:p>
    <w:p>
      <w:pPr>
        <w:pStyle w:val="Style3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本公司法人治理结构比较健全，公司与控股股东在业务、人员、资产、机构和财务上完全独立，具有较为独立完整的业 务及自主经营能力。具体情况如下：</w:t>
      </w:r>
    </w:p>
    <w:p>
      <w:pPr>
        <w:pStyle w:val="Style37"/>
        <w:keepNext w:val="0"/>
        <w:keepLines w:val="0"/>
        <w:widowControl w:val="0"/>
        <w:shd w:val="clear" w:color="auto" w:fill="auto"/>
        <w:tabs>
          <w:tab w:pos="653" w:val="left"/>
        </w:tabs>
        <w:bidi w:val="0"/>
        <w:spacing w:before="0" w:after="0" w:line="316" w:lineRule="exact"/>
        <w:ind w:left="0" w:right="0" w:firstLine="380"/>
        <w:jc w:val="both"/>
      </w:pPr>
      <w:bookmarkStart w:id="573" w:name="bookmark573"/>
      <w:r>
        <w:rPr>
          <w:rFonts w:ascii="Times New Roman" w:eastAsia="Times New Roman" w:hAnsi="Times New Roman" w:cs="Times New Roman"/>
          <w:color w:val="000000"/>
          <w:spacing w:val="0"/>
          <w:w w:val="100"/>
          <w:position w:val="0"/>
        </w:rPr>
        <w:t>1</w:t>
      </w:r>
      <w:bookmarkEnd w:id="573"/>
      <w:r>
        <w:rPr>
          <w:color w:val="000000"/>
          <w:spacing w:val="0"/>
          <w:w w:val="100"/>
          <w:position w:val="0"/>
        </w:rPr>
        <w:t>、</w:t>
        <w:tab/>
        <w:t>业务独立性：公司在业务方面独立于控股股东及其关联方，拥有独立管理的研发、采购、销售系统，拥有自身独立 的业务和自主经营权，与控股股东不存在同业竞争或者潜在的同业竞争；</w:t>
      </w:r>
    </w:p>
    <w:p>
      <w:pPr>
        <w:pStyle w:val="Style37"/>
        <w:keepNext w:val="0"/>
        <w:keepLines w:val="0"/>
        <w:widowControl w:val="0"/>
        <w:shd w:val="clear" w:color="auto" w:fill="auto"/>
        <w:bidi w:val="0"/>
        <w:spacing w:before="0" w:after="0" w:line="316" w:lineRule="exact"/>
        <w:ind w:left="0" w:right="0" w:firstLine="380"/>
        <w:jc w:val="both"/>
      </w:pPr>
      <w:bookmarkStart w:id="574" w:name="bookmark574"/>
      <w:r>
        <w:rPr>
          <w:rFonts w:ascii="Times New Roman" w:eastAsia="Times New Roman" w:hAnsi="Times New Roman" w:cs="Times New Roman"/>
          <w:color w:val="000000"/>
          <w:spacing w:val="0"/>
          <w:w w:val="100"/>
          <w:position w:val="0"/>
        </w:rPr>
        <w:t>2</w:t>
      </w:r>
      <w:bookmarkEnd w:id="574"/>
      <w:r>
        <w:rPr>
          <w:color w:val="000000"/>
          <w:spacing w:val="0"/>
          <w:w w:val="100"/>
          <w:position w:val="0"/>
        </w:rPr>
        <w:t>、 人员独立性：董事韩玉华女士及监事会主席孙洋先生在控股股东担任职务外，公司其他董事、监事及高级管理人员 在控股股东均无行政任职，没有在控股股东单位领取报酬。公司人员独立于控股股东，具有独立的劳动人事管理部门，制定 独立的劳动、人事及薪酬管理制度。公司的董事、监事及高级管理人员均通过合法程序选聘，无控股股东干预公司董事会和 股东大会已做出的人事任免决定的情况；</w:t>
      </w:r>
    </w:p>
    <w:p>
      <w:pPr>
        <w:pStyle w:val="Style37"/>
        <w:keepNext w:val="0"/>
        <w:keepLines w:val="0"/>
        <w:widowControl w:val="0"/>
        <w:shd w:val="clear" w:color="auto" w:fill="auto"/>
        <w:tabs>
          <w:tab w:pos="682" w:val="left"/>
        </w:tabs>
        <w:bidi w:val="0"/>
        <w:spacing w:before="0" w:after="0" w:line="318" w:lineRule="exact"/>
        <w:ind w:left="0" w:right="0" w:firstLine="380"/>
        <w:jc w:val="both"/>
      </w:pPr>
      <w:bookmarkStart w:id="575" w:name="bookmark575"/>
      <w:r>
        <w:rPr>
          <w:rFonts w:ascii="Times New Roman" w:eastAsia="Times New Roman" w:hAnsi="Times New Roman" w:cs="Times New Roman"/>
          <w:color w:val="000000"/>
          <w:spacing w:val="0"/>
          <w:w w:val="100"/>
          <w:position w:val="0"/>
        </w:rPr>
        <w:t>3</w:t>
      </w:r>
      <w:bookmarkEnd w:id="575"/>
      <w:r>
        <w:rPr>
          <w:color w:val="000000"/>
          <w:spacing w:val="0"/>
          <w:w w:val="100"/>
          <w:position w:val="0"/>
        </w:rPr>
        <w:t>、</w:t>
        <w:tab/>
        <w:t>资产独立性：公司与控股股东资产产权清晰，拥有完整的与生产经营有关的生产系统、辅助生产系统和配套设施； 对与经营相关的办公场所、土地、设备以及商标、非专利技术等资产均合法拥有权利。公司不存在控股股东占用公司资金的 情形，也未向控股股东提供任何担保；</w:t>
      </w:r>
    </w:p>
    <w:p>
      <w:pPr>
        <w:pStyle w:val="Style37"/>
        <w:keepNext w:val="0"/>
        <w:keepLines w:val="0"/>
        <w:widowControl w:val="0"/>
        <w:shd w:val="clear" w:color="auto" w:fill="auto"/>
        <w:bidi w:val="0"/>
        <w:spacing w:before="0" w:after="0" w:line="318" w:lineRule="exact"/>
        <w:ind w:left="0" w:right="0" w:firstLine="380"/>
        <w:jc w:val="both"/>
      </w:pPr>
      <w:bookmarkStart w:id="576" w:name="bookmark576"/>
      <w:r>
        <w:rPr>
          <w:rFonts w:ascii="Times New Roman" w:eastAsia="Times New Roman" w:hAnsi="Times New Roman" w:cs="Times New Roman"/>
          <w:color w:val="000000"/>
          <w:spacing w:val="0"/>
          <w:w w:val="100"/>
          <w:position w:val="0"/>
        </w:rPr>
        <w:t>4</w:t>
      </w:r>
      <w:bookmarkEnd w:id="576"/>
      <w:r>
        <w:rPr>
          <w:color w:val="000000"/>
          <w:spacing w:val="0"/>
          <w:w w:val="100"/>
          <w:position w:val="0"/>
        </w:rPr>
        <w:t>、 机构独立性：公司设立了完全独立于控股股东的组织机构体系，公司董事会、监事会及其他内部机构独立运作，公 司控股股东按法定程序参与公司决策，不存在与控股股东职能部门之间的从属关系。公司具有独立的办公机构，所有职能部 门均独立行使职权，独立开展经营活动，不存在混合经营、合署办公情形；</w:t>
      </w:r>
    </w:p>
    <w:p>
      <w:pPr>
        <w:pStyle w:val="Style37"/>
        <w:keepNext w:val="0"/>
        <w:keepLines w:val="0"/>
        <w:widowControl w:val="0"/>
        <w:shd w:val="clear" w:color="auto" w:fill="auto"/>
        <w:tabs>
          <w:tab w:pos="317" w:val="left"/>
        </w:tabs>
        <w:bidi w:val="0"/>
        <w:spacing w:before="0" w:after="360" w:line="317" w:lineRule="exact"/>
        <w:ind w:left="0" w:right="0" w:firstLine="380"/>
        <w:jc w:val="both"/>
      </w:pPr>
      <w:bookmarkStart w:id="577" w:name="bookmark577"/>
      <w:r>
        <w:rPr>
          <w:rFonts w:ascii="Times New Roman" w:eastAsia="Times New Roman" w:hAnsi="Times New Roman" w:cs="Times New Roman"/>
          <w:color w:val="000000"/>
          <w:spacing w:val="0"/>
          <w:w w:val="100"/>
          <w:position w:val="0"/>
        </w:rPr>
        <w:t>5</w:t>
      </w:r>
      <w:bookmarkEnd w:id="577"/>
      <w:r>
        <w:rPr>
          <w:color w:val="000000"/>
          <w:spacing w:val="0"/>
          <w:w w:val="100"/>
          <w:position w:val="0"/>
        </w:rPr>
        <w:t>、</w:t>
        <w:tab/>
        <w:t xml:space="preserve">财务独立性：公司设有独立的财务管理部门和财务人员，建立了独立的会计核算体系和财务管理制度，独立开展财 </w:t>
      </w:r>
      <w:r>
        <w:rPr>
          <w:color w:val="000000"/>
          <w:spacing w:val="0"/>
          <w:w w:val="100"/>
          <w:position w:val="0"/>
        </w:rPr>
        <w:t>务工作和进行财务决策，独立管理公司财务档案；独立在银行开户，没有与控股股东共用一个银行账户；独立进行税务登记, 独立依法纳税。</w:t>
      </w:r>
    </w:p>
    <w:p>
      <w:pPr>
        <w:pStyle w:val="Style35"/>
        <w:keepNext/>
        <w:keepLines/>
        <w:widowControl w:val="0"/>
        <w:shd w:val="clear" w:color="auto" w:fill="auto"/>
        <w:tabs>
          <w:tab w:pos="517" w:val="left"/>
        </w:tabs>
        <w:bidi w:val="0"/>
        <w:spacing w:before="0" w:after="3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三</w:t>
      </w:r>
      <w:bookmarkEnd w:id="580"/>
      <w:r>
        <w:rPr>
          <w:color w:val="000000"/>
          <w:spacing w:val="0"/>
          <w:w w:val="100"/>
          <w:position w:val="0"/>
          <w:sz w:val="24"/>
          <w:szCs w:val="24"/>
        </w:rPr>
        <w:t>、</w:t>
        <w:tab/>
        <w:t>同业竞争情况</w:t>
      </w:r>
      <w:bookmarkEnd w:id="578"/>
      <w:bookmarkEnd w:id="579"/>
      <w:bookmarkEnd w:id="581"/>
    </w:p>
    <w:p>
      <w:pPr>
        <w:pStyle w:val="Style37"/>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517" w:val="left"/>
        </w:tabs>
        <w:bidi w:val="0"/>
        <w:spacing w:before="0" w:after="3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四</w:t>
      </w:r>
      <w:bookmarkEnd w:id="584"/>
      <w:r>
        <w:rPr>
          <w:color w:val="000000"/>
          <w:spacing w:val="0"/>
          <w:w w:val="100"/>
          <w:position w:val="0"/>
          <w:sz w:val="24"/>
          <w:szCs w:val="24"/>
        </w:rPr>
        <w:t>、</w:t>
        <w:tab/>
        <w:t>报告期内召开的年度股东大会和临时股东大会的有关情况</w:t>
      </w:r>
      <w:bookmarkEnd w:id="582"/>
      <w:bookmarkEnd w:id="583"/>
      <w:bookmarkEnd w:id="585"/>
    </w:p>
    <w:p>
      <w:pPr>
        <w:pStyle w:val="Style41"/>
        <w:keepNext/>
        <w:keepLines/>
        <w:widowControl w:val="0"/>
        <w:shd w:val="clear" w:color="auto" w:fill="auto"/>
        <w:bidi w:val="0"/>
        <w:spacing w:before="0" w:after="32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1598"/>
        <w:gridCol w:w="1238"/>
        <w:gridCol w:w="1138"/>
        <w:gridCol w:w="1560"/>
        <w:gridCol w:w="1555"/>
        <w:gridCol w:w="249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年度第一次临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年度第二次临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年度第三次临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五</w:t>
      </w:r>
      <w:bookmarkEnd w:id="596"/>
      <w:r>
        <w:rPr>
          <w:color w:val="000000"/>
          <w:spacing w:val="0"/>
          <w:w w:val="100"/>
          <w:position w:val="0"/>
          <w:sz w:val="24"/>
          <w:szCs w:val="24"/>
        </w:rPr>
        <w:t>、报告期内独立董事履行职责的情况</w:t>
      </w:r>
      <w:bookmarkEnd w:id="594"/>
      <w:bookmarkEnd w:id="595"/>
      <w:bookmarkEnd w:id="597"/>
    </w:p>
    <w:p>
      <w:pPr>
        <w:pStyle w:val="Style41"/>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1848"/>
        <w:gridCol w:w="1277"/>
        <w:gridCol w:w="989"/>
        <w:gridCol w:w="1277"/>
        <w:gridCol w:w="994"/>
        <w:gridCol w:w="864"/>
        <w:gridCol w:w="1546"/>
        <w:gridCol w:w="792"/>
      </w:tblGrid>
      <w:tr>
        <w:trPr>
          <w:trHeight w:val="470" w:hRule="exact"/>
        </w:trPr>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是否连续两次未亲 自参加董事会会议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大会次数</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Benjamin Zhai </w:t>
            </w:r>
            <w:r>
              <w:rPr>
                <w:color w:val="000000"/>
                <w:spacing w:val="0"/>
                <w:w w:val="100"/>
                <w:position w:val="0"/>
              </w:rPr>
              <w:t>(翟斌)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3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连续两次未亲自出席董事会的说明：无</w:t>
      </w:r>
    </w:p>
    <w:p>
      <w:pPr>
        <w:pStyle w:val="Style41"/>
        <w:keepNext/>
        <w:keepLines/>
        <w:widowControl w:val="0"/>
        <w:shd w:val="clear" w:color="auto" w:fill="auto"/>
        <w:tabs>
          <w:tab w:pos="378"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独立董事对公司有关事项提出异议的情况</w:t>
      </w:r>
      <w:bookmarkEnd w:id="602"/>
      <w:bookmarkEnd w:id="603"/>
      <w:bookmarkEnd w:id="605"/>
    </w:p>
    <w:p>
      <w:pPr>
        <w:pStyle w:val="Style37"/>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独立董事对公司有关事项是否提出异议</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41"/>
        <w:keepNext/>
        <w:keepLines/>
        <w:widowControl w:val="0"/>
        <w:shd w:val="clear" w:color="auto" w:fill="auto"/>
        <w:tabs>
          <w:tab w:pos="378"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独立董事履行职责的其他说明</w:t>
      </w:r>
      <w:bookmarkEnd w:id="606"/>
      <w:bookmarkEnd w:id="607"/>
      <w:bookmarkEnd w:id="609"/>
    </w:p>
    <w:p>
      <w:pPr>
        <w:pStyle w:val="Style37"/>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独立董事对公司有关建议是否被采纳</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37"/>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公司独立董事在</w:t>
      </w:r>
      <w:r>
        <w:rPr>
          <w:rFonts w:ascii="Times New Roman" w:eastAsia="Times New Roman" w:hAnsi="Times New Roman" w:cs="Times New Roman"/>
          <w:color w:val="000000"/>
          <w:spacing w:val="0"/>
          <w:w w:val="100"/>
          <w:position w:val="0"/>
        </w:rPr>
        <w:t>2020</w:t>
      </w:r>
      <w:r>
        <w:rPr>
          <w:color w:val="000000"/>
          <w:spacing w:val="0"/>
          <w:w w:val="100"/>
          <w:position w:val="0"/>
        </w:rPr>
        <w:t>年度勤勉尽责，密切关注公司经营状况、管理和内控制度的建立及运行情况，积极参加报告期内 的历次会议，对公司信息披露情况、董事会决议的执行情况等进行监督和核查；关注国家政策、行业趋势、市场变化等外部 环境对公司的影响，运用专业知识，对公司的发展战略、重大决策和规范化运作等方面提供专业性的建议和指导意见，对报 告期内公司发生的续聘审计机构、关联交易、对外担保、资产出售、对外捐赠、股权激励等事项及其他需要独立董事发表意 见的事项出具了独立、公正的独立意见，促进了董事会决策的科学性及高效性，维护了公司和全体股东的合法权益。</w:t>
      </w:r>
    </w:p>
    <w:p>
      <w:pPr>
        <w:pStyle w:val="Style35"/>
        <w:keepNext/>
        <w:keepLines/>
        <w:widowControl w:val="0"/>
        <w:shd w:val="clear" w:color="auto" w:fill="auto"/>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六</w:t>
      </w:r>
      <w:bookmarkEnd w:id="612"/>
      <w:r>
        <w:rPr>
          <w:color w:val="000000"/>
          <w:spacing w:val="0"/>
          <w:w w:val="100"/>
          <w:position w:val="0"/>
          <w:sz w:val="24"/>
          <w:szCs w:val="24"/>
        </w:rPr>
        <w:t>、董事会下设专门委员会在报告期内履行职责情况</w:t>
      </w:r>
      <w:bookmarkEnd w:id="610"/>
      <w:bookmarkEnd w:id="611"/>
      <w:bookmarkEnd w:id="613"/>
    </w:p>
    <w:p>
      <w:pPr>
        <w:pStyle w:val="Style37"/>
        <w:keepNext w:val="0"/>
        <w:keepLines w:val="0"/>
        <w:widowControl w:val="0"/>
        <w:shd w:val="clear" w:color="auto" w:fill="auto"/>
        <w:bidi w:val="0"/>
        <w:spacing w:before="0" w:after="0" w:line="313" w:lineRule="exact"/>
        <w:ind w:left="0" w:right="0" w:firstLine="440"/>
        <w:jc w:val="both"/>
      </w:pPr>
      <w:bookmarkStart w:id="614" w:name="bookmark614"/>
      <w:r>
        <w:rPr>
          <w:color w:val="000000"/>
          <w:spacing w:val="0"/>
          <w:w w:val="100"/>
          <w:position w:val="0"/>
        </w:rPr>
        <w:t>（</w:t>
      </w:r>
      <w:bookmarkEnd w:id="614"/>
      <w:r>
        <w:rPr>
          <w:color w:val="000000"/>
          <w:spacing w:val="0"/>
          <w:w w:val="100"/>
          <w:position w:val="0"/>
        </w:rPr>
        <w:t>一）独立董事在审计委员会履职情况</w:t>
      </w:r>
    </w:p>
    <w:p>
      <w:pPr>
        <w:pStyle w:val="Style37"/>
        <w:keepNext w:val="0"/>
        <w:keepLines w:val="0"/>
        <w:widowControl w:val="0"/>
        <w:shd w:val="clear" w:color="auto" w:fill="auto"/>
        <w:tabs>
          <w:tab w:pos="778" w:val="left"/>
        </w:tabs>
        <w:bidi w:val="0"/>
        <w:spacing w:before="0" w:after="0" w:line="313" w:lineRule="exact"/>
        <w:ind w:left="0" w:right="0" w:firstLine="440"/>
        <w:jc w:val="both"/>
      </w:pPr>
      <w:bookmarkStart w:id="615" w:name="bookmark615"/>
      <w:r>
        <w:rPr>
          <w:color w:val="000000"/>
          <w:spacing w:val="0"/>
          <w:w w:val="100"/>
          <w:position w:val="0"/>
        </w:rPr>
        <w:t>1</w:t>
      </w:r>
      <w:bookmarkEnd w:id="615"/>
      <w:r>
        <w:rPr>
          <w:color w:val="000000"/>
          <w:spacing w:val="0"/>
          <w:w w:val="100"/>
          <w:position w:val="0"/>
        </w:rPr>
        <w:t>、</w:t>
        <w:tab/>
        <w:t>报告期内，董事会审计委员会共召开6次会议，主要工作情况如下：</w:t>
      </w:r>
    </w:p>
    <w:p>
      <w:pPr>
        <w:pStyle w:val="Style37"/>
        <w:keepNext w:val="0"/>
        <w:keepLines w:val="0"/>
        <w:widowControl w:val="0"/>
        <w:shd w:val="clear" w:color="auto" w:fill="auto"/>
        <w:tabs>
          <w:tab w:pos="958" w:val="left"/>
        </w:tabs>
        <w:bidi w:val="0"/>
        <w:spacing w:before="0" w:after="0" w:line="313" w:lineRule="exact"/>
        <w:ind w:left="0" w:right="0" w:firstLine="440"/>
        <w:jc w:val="both"/>
      </w:pPr>
      <w:bookmarkStart w:id="616" w:name="bookmark616"/>
      <w:r>
        <w:rPr>
          <w:color w:val="000000"/>
          <w:spacing w:val="0"/>
          <w:w w:val="100"/>
          <w:position w:val="0"/>
        </w:rPr>
        <w:t>（</w:t>
      </w:r>
      <w:bookmarkEnd w:id="616"/>
      <w:r>
        <w:rPr>
          <w:color w:val="000000"/>
          <w:spacing w:val="0"/>
          <w:w w:val="100"/>
          <w:position w:val="0"/>
        </w:rPr>
        <w:t>1）</w:t>
        <w:tab/>
        <w:t>2020年1月13日，审计委员会召开2020年第一次会议，听取了公司2019年生产经营情况和重大事项进展情况的全 面汇报，审议通过了《2019年度财务报表》。</w:t>
      </w:r>
    </w:p>
    <w:p>
      <w:pPr>
        <w:pStyle w:val="Style37"/>
        <w:keepNext w:val="0"/>
        <w:keepLines w:val="0"/>
        <w:widowControl w:val="0"/>
        <w:shd w:val="clear" w:color="auto" w:fill="auto"/>
        <w:tabs>
          <w:tab w:pos="880" w:val="left"/>
        </w:tabs>
        <w:bidi w:val="0"/>
        <w:spacing w:before="0" w:after="0" w:line="313" w:lineRule="exact"/>
        <w:ind w:left="0" w:right="0" w:firstLine="440"/>
        <w:jc w:val="left"/>
      </w:pPr>
      <w:bookmarkStart w:id="617" w:name="bookmark617"/>
      <w:r>
        <w:rPr>
          <w:color w:val="000000"/>
          <w:spacing w:val="0"/>
          <w:w w:val="100"/>
          <w:position w:val="0"/>
        </w:rPr>
        <w:t>（</w:t>
      </w:r>
      <w:bookmarkEnd w:id="617"/>
      <w:r>
        <w:rPr>
          <w:color w:val="000000"/>
          <w:spacing w:val="0"/>
          <w:w w:val="100"/>
          <w:position w:val="0"/>
        </w:rPr>
        <w:t>2）</w:t>
        <w:tab/>
        <w:t>2020年3月20日，审计委员会召开2020年第二次会议，审议通过了《2019年度财务报告》（初稿）。</w:t>
      </w:r>
    </w:p>
    <w:p>
      <w:pPr>
        <w:pStyle w:val="Style37"/>
        <w:keepNext w:val="0"/>
        <w:keepLines w:val="0"/>
        <w:widowControl w:val="0"/>
        <w:shd w:val="clear" w:color="auto" w:fill="auto"/>
        <w:tabs>
          <w:tab w:pos="958" w:val="left"/>
        </w:tabs>
        <w:bidi w:val="0"/>
        <w:spacing w:before="0" w:after="0" w:line="313" w:lineRule="exact"/>
        <w:ind w:left="0" w:right="0" w:firstLine="440"/>
        <w:jc w:val="both"/>
      </w:pPr>
      <w:bookmarkStart w:id="618" w:name="bookmark618"/>
      <w:r>
        <w:rPr>
          <w:color w:val="000000"/>
          <w:spacing w:val="0"/>
          <w:w w:val="100"/>
          <w:position w:val="0"/>
        </w:rPr>
        <w:t>（</w:t>
      </w:r>
      <w:bookmarkEnd w:id="618"/>
      <w:r>
        <w:rPr>
          <w:color w:val="000000"/>
          <w:spacing w:val="0"/>
          <w:w w:val="100"/>
          <w:position w:val="0"/>
        </w:rPr>
        <w:t>3）</w:t>
        <w:tab/>
        <w:t>2020年3月24日，审计委员会召开2020年第三次会议，审议通过了</w:t>
      </w:r>
      <w:r>
        <w:rPr>
          <w:i/>
          <w:iCs/>
          <w:color w:val="000000"/>
          <w:spacing w:val="0"/>
          <w:w w:val="100"/>
          <w:position w:val="0"/>
          <w:sz w:val="19"/>
          <w:szCs w:val="19"/>
        </w:rPr>
        <w:t>《</w:t>
      </w:r>
      <w:r>
        <w:rPr>
          <w:color w:val="000000"/>
          <w:spacing w:val="0"/>
          <w:w w:val="100"/>
          <w:position w:val="0"/>
        </w:rPr>
        <w:t>2019年度财务报告》（定稿）、《关于〈审计 委员会履职情况报告暨关于会计师事务所2019年度审计工作的总结报告〉的议案》、《2019年度内部审计工作报告》、《关 于〈2019年度内部控制自我评价报告〉的议案》和《关于聘请公司2020年度审计机构的议案》。</w:t>
      </w:r>
    </w:p>
    <w:p>
      <w:pPr>
        <w:pStyle w:val="Style37"/>
        <w:keepNext w:val="0"/>
        <w:keepLines w:val="0"/>
        <w:widowControl w:val="0"/>
        <w:shd w:val="clear" w:color="auto" w:fill="auto"/>
        <w:tabs>
          <w:tab w:pos="939" w:val="left"/>
        </w:tabs>
        <w:bidi w:val="0"/>
        <w:spacing w:before="0" w:after="0" w:line="313" w:lineRule="exact"/>
        <w:ind w:left="0" w:right="0" w:firstLine="440"/>
        <w:jc w:val="both"/>
      </w:pPr>
      <w:bookmarkStart w:id="619" w:name="bookmark619"/>
      <w:r>
        <w:rPr>
          <w:color w:val="000000"/>
          <w:spacing w:val="0"/>
          <w:w w:val="100"/>
          <w:position w:val="0"/>
        </w:rPr>
        <w:t>（</w:t>
      </w:r>
      <w:bookmarkEnd w:id="619"/>
      <w:r>
        <w:rPr>
          <w:color w:val="000000"/>
          <w:spacing w:val="0"/>
          <w:w w:val="100"/>
          <w:position w:val="0"/>
        </w:rPr>
        <w:t>4）</w:t>
        <w:tab/>
        <w:t>2020年4月13日，审计委员会召开2020年第四次会议，审议通过了《2020年第一季度报告》和</w:t>
      </w:r>
      <w:r>
        <w:rPr>
          <w:i/>
          <w:iCs/>
          <w:color w:val="000000"/>
          <w:spacing w:val="0"/>
          <w:w w:val="100"/>
          <w:position w:val="0"/>
          <w:sz w:val="19"/>
          <w:szCs w:val="19"/>
        </w:rPr>
        <w:t>《</w:t>
      </w:r>
      <w:r>
        <w:rPr>
          <w:color w:val="000000"/>
          <w:spacing w:val="0"/>
          <w:w w:val="100"/>
          <w:position w:val="0"/>
        </w:rPr>
        <w:t>2020年第一季度 内部审计工作报告》。</w:t>
      </w:r>
    </w:p>
    <w:p>
      <w:pPr>
        <w:pStyle w:val="Style37"/>
        <w:keepNext w:val="0"/>
        <w:keepLines w:val="0"/>
        <w:widowControl w:val="0"/>
        <w:shd w:val="clear" w:color="auto" w:fill="auto"/>
        <w:tabs>
          <w:tab w:pos="958" w:val="left"/>
        </w:tabs>
        <w:bidi w:val="0"/>
        <w:spacing w:before="0" w:after="0" w:line="313" w:lineRule="exact"/>
        <w:ind w:left="0" w:right="0" w:firstLine="440"/>
        <w:jc w:val="both"/>
      </w:pPr>
      <w:bookmarkStart w:id="620" w:name="bookmark620"/>
      <w:r>
        <w:rPr>
          <w:color w:val="000000"/>
          <w:spacing w:val="0"/>
          <w:w w:val="100"/>
          <w:position w:val="0"/>
        </w:rPr>
        <w:t>（</w:t>
      </w:r>
      <w:bookmarkEnd w:id="620"/>
      <w:r>
        <w:rPr>
          <w:color w:val="000000"/>
          <w:spacing w:val="0"/>
          <w:w w:val="100"/>
          <w:position w:val="0"/>
        </w:rPr>
        <w:t>5）</w:t>
        <w:tab/>
        <w:t>2020年8月21日，审计委员会召开2020年第五次会议，审议通过了《关于〈2020年半年度报告〉及〈2020年半年度报 告摘要〉的议案》、《关于〈2020年半年度募集资金存放与使用情况专项报告〉的议案》、《关于〈2020年上半年度内部审计工 作报告〉的议案》。</w:t>
      </w:r>
    </w:p>
    <w:p>
      <w:pPr>
        <w:pStyle w:val="Style37"/>
        <w:keepNext w:val="0"/>
        <w:keepLines w:val="0"/>
        <w:widowControl w:val="0"/>
        <w:shd w:val="clear" w:color="auto" w:fill="auto"/>
        <w:tabs>
          <w:tab w:pos="958" w:val="left"/>
        </w:tabs>
        <w:bidi w:val="0"/>
        <w:spacing w:before="0" w:after="0" w:line="313" w:lineRule="exact"/>
        <w:ind w:left="0" w:right="0" w:firstLine="440"/>
        <w:jc w:val="both"/>
      </w:pPr>
      <w:bookmarkStart w:id="621" w:name="bookmark621"/>
      <w:r>
        <w:rPr>
          <w:color w:val="000000"/>
          <w:spacing w:val="0"/>
          <w:w w:val="100"/>
          <w:position w:val="0"/>
        </w:rPr>
        <w:t>（</w:t>
      </w:r>
      <w:bookmarkEnd w:id="621"/>
      <w:r>
        <w:rPr>
          <w:color w:val="000000"/>
          <w:spacing w:val="0"/>
          <w:w w:val="100"/>
          <w:position w:val="0"/>
        </w:rPr>
        <w:t>6）</w:t>
        <w:tab/>
        <w:t>2020年10月27日，审计委员会召开2020年第六次会议，审议通过了《关于〈2020年第三季度报告〉的议案》和《关 于〈2020年第三季度内部审计工作报告〉的议案》。</w:t>
      </w:r>
    </w:p>
    <w:p>
      <w:pPr>
        <w:pStyle w:val="Style37"/>
        <w:keepNext w:val="0"/>
        <w:keepLines w:val="0"/>
        <w:widowControl w:val="0"/>
        <w:shd w:val="clear" w:color="auto" w:fill="auto"/>
        <w:tabs>
          <w:tab w:pos="784" w:val="left"/>
        </w:tabs>
        <w:bidi w:val="0"/>
        <w:spacing w:before="0" w:after="0" w:line="313" w:lineRule="exact"/>
        <w:ind w:left="0" w:right="0" w:firstLine="440"/>
        <w:jc w:val="left"/>
      </w:pPr>
      <w:bookmarkStart w:id="622" w:name="bookmark622"/>
      <w:r>
        <w:rPr>
          <w:color w:val="000000"/>
          <w:spacing w:val="0"/>
          <w:w w:val="100"/>
          <w:position w:val="0"/>
        </w:rPr>
        <w:t>2</w:t>
      </w:r>
      <w:bookmarkEnd w:id="622"/>
      <w:r>
        <w:rPr>
          <w:color w:val="000000"/>
          <w:spacing w:val="0"/>
          <w:w w:val="100"/>
          <w:position w:val="0"/>
        </w:rPr>
        <w:t>、</w:t>
        <w:tab/>
        <w:t>审计委员会在公司2020年度财务报告编制过程中，主要履行了以下工作职责：</w:t>
      </w:r>
    </w:p>
    <w:p>
      <w:pPr>
        <w:pStyle w:val="Style37"/>
        <w:keepNext w:val="0"/>
        <w:keepLines w:val="0"/>
        <w:widowControl w:val="0"/>
        <w:numPr>
          <w:ilvl w:val="0"/>
          <w:numId w:val="15"/>
        </w:numPr>
        <w:shd w:val="clear" w:color="auto" w:fill="auto"/>
        <w:tabs>
          <w:tab w:pos="813" w:val="left"/>
        </w:tabs>
        <w:bidi w:val="0"/>
        <w:spacing w:before="0" w:after="0" w:line="313" w:lineRule="exact"/>
        <w:ind w:left="0" w:right="0" w:firstLine="440"/>
        <w:jc w:val="left"/>
      </w:pPr>
      <w:bookmarkStart w:id="623" w:name="bookmark623"/>
      <w:bookmarkEnd w:id="623"/>
      <w:r>
        <w:rPr>
          <w:color w:val="000000"/>
          <w:spacing w:val="0"/>
          <w:w w:val="100"/>
          <w:position w:val="0"/>
        </w:rPr>
        <w:t>与负责公司的年审注册会计师协商确定了 2020年度财务报告审计工作的时间安排；</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会计师进场前，审计委员会按照相关规定开展年报审计相关工作，提前对年审计划进行全面部署，与年审注册会计师 沟通确定了公司2020年度审计工作的时间安排等事宜。</w:t>
      </w:r>
    </w:p>
    <w:p>
      <w:pPr>
        <w:pStyle w:val="Style37"/>
        <w:keepNext w:val="0"/>
        <w:keepLines w:val="0"/>
        <w:widowControl w:val="0"/>
        <w:numPr>
          <w:ilvl w:val="0"/>
          <w:numId w:val="15"/>
        </w:numPr>
        <w:shd w:val="clear" w:color="auto" w:fill="auto"/>
        <w:tabs>
          <w:tab w:pos="813" w:val="left"/>
        </w:tabs>
        <w:bidi w:val="0"/>
        <w:spacing w:before="0" w:after="0" w:line="313" w:lineRule="exact"/>
        <w:ind w:left="0" w:right="0" w:firstLine="440"/>
        <w:jc w:val="left"/>
      </w:pPr>
      <w:bookmarkStart w:id="624" w:name="bookmark624"/>
      <w:bookmarkEnd w:id="624"/>
      <w:r>
        <w:rPr>
          <w:color w:val="000000"/>
          <w:spacing w:val="0"/>
          <w:w w:val="100"/>
          <w:position w:val="0"/>
        </w:rPr>
        <w:t>在年审注册会计师进场前，认真审阅了公司初步编制的2020年度财务会计报表，并形成书面审阅意见；</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在年审注册会计师进场前，审计委员会初步审阅了公司财务部编制的2020年度财务报告（初稿），对公司编制的未经 审计的财务会计报表了发表首次书面意见。审计委员会认为，公司编制的2020年度财务报告（初稿）有关数据基本反映了公 司2020年度的资产负债情况和经营业绩，财务会计报表信息客观、全面、真实，同意以此财务会计报表为基础开展2020年度 </w:t>
      </w:r>
      <w:r>
        <w:rPr>
          <w:color w:val="000000"/>
          <w:spacing w:val="0"/>
          <w:w w:val="100"/>
          <w:position w:val="0"/>
        </w:rPr>
        <w:t>的财务审计工作。</w:t>
      </w:r>
    </w:p>
    <w:p>
      <w:pPr>
        <w:pStyle w:val="Style37"/>
        <w:keepNext w:val="0"/>
        <w:keepLines w:val="0"/>
        <w:widowControl w:val="0"/>
        <w:numPr>
          <w:ilvl w:val="0"/>
          <w:numId w:val="15"/>
        </w:numPr>
        <w:shd w:val="clear" w:color="auto" w:fill="auto"/>
        <w:tabs>
          <w:tab w:pos="734" w:val="left"/>
        </w:tabs>
        <w:bidi w:val="0"/>
        <w:spacing w:before="0" w:after="0" w:line="314" w:lineRule="exact"/>
        <w:ind w:left="0" w:right="0" w:firstLine="440"/>
        <w:jc w:val="both"/>
      </w:pPr>
      <w:bookmarkStart w:id="625" w:name="bookmark625"/>
      <w:bookmarkEnd w:id="625"/>
      <w:r>
        <w:rPr>
          <w:color w:val="000000"/>
          <w:spacing w:val="0"/>
          <w:w w:val="100"/>
          <w:position w:val="0"/>
        </w:rPr>
        <w:t>年审注册会计师进场后，加强与年审注册会计师的沟通，在年审注册会计师出具初步审计意见后再一次审阅公司财 务报表，并形成书面意见；</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在年审注册会计师完成现场审计，并出具初步审计意见后，审计委员会再次审阅了财务会计报告并发表第二次书面意 见。审计委员会认为，初步审计的2020年度财务报告已经按照新企业会计准则及公司有关财务制度进行编制，财务报告的编 制基础、依据、原则和方法符合相关法律、法规和《公司章程》，所包含的信息在重大方面公允地反映了公司截至2020年12 月31日的财务状况以和经营成果及现金流量，并同意以此数据为基础编制2020年年度报告及摘要，并提交公司董事会进行审 议。同时，要求会计师事务所按照计划尽快完成审计工作，以保证公司如期披露2020年年度报告及摘要。</w:t>
      </w:r>
    </w:p>
    <w:p>
      <w:pPr>
        <w:pStyle w:val="Style37"/>
        <w:keepNext w:val="0"/>
        <w:keepLines w:val="0"/>
        <w:widowControl w:val="0"/>
        <w:numPr>
          <w:ilvl w:val="0"/>
          <w:numId w:val="15"/>
        </w:numPr>
        <w:shd w:val="clear" w:color="auto" w:fill="auto"/>
        <w:tabs>
          <w:tab w:pos="756" w:val="left"/>
        </w:tabs>
        <w:bidi w:val="0"/>
        <w:spacing w:before="0" w:after="0" w:line="314" w:lineRule="exact"/>
        <w:ind w:left="0" w:right="0" w:firstLine="440"/>
        <w:jc w:val="both"/>
      </w:pPr>
      <w:bookmarkStart w:id="626" w:name="bookmark626"/>
      <w:bookmarkEnd w:id="626"/>
      <w:r>
        <w:rPr>
          <w:color w:val="000000"/>
          <w:spacing w:val="0"/>
          <w:w w:val="100"/>
          <w:position w:val="0"/>
        </w:rPr>
        <w:t>在审计过程中注重与年审注册会计师的沟通，积极督促会计师事务所在约定时限内提交审计报告；</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在审计团队进场以后，审计委员会始终保持与财务部门负责人、内控内审部负责人、主要项目负责人员的沟通，密切 关注审计工作进展情况。在审计过程中，审计委员会分别于2021年3月12日、2021年3月19日先后二次发出《督促函》，要求 会计师事务所按照审计时间完成审计工作，确保公司2020年度报告及相关文件按时披露。</w:t>
      </w:r>
    </w:p>
    <w:p>
      <w:pPr>
        <w:pStyle w:val="Style37"/>
        <w:keepNext w:val="0"/>
        <w:keepLines w:val="0"/>
        <w:widowControl w:val="0"/>
        <w:numPr>
          <w:ilvl w:val="0"/>
          <w:numId w:val="15"/>
        </w:numPr>
        <w:shd w:val="clear" w:color="auto" w:fill="auto"/>
        <w:tabs>
          <w:tab w:pos="734" w:val="left"/>
        </w:tabs>
        <w:bidi w:val="0"/>
        <w:spacing w:before="0" w:after="0" w:line="314" w:lineRule="exact"/>
        <w:ind w:left="0" w:right="0" w:firstLine="440"/>
        <w:jc w:val="both"/>
      </w:pPr>
      <w:bookmarkStart w:id="627" w:name="bookmark627"/>
      <w:bookmarkEnd w:id="627"/>
      <w:r>
        <w:rPr>
          <w:color w:val="000000"/>
          <w:spacing w:val="0"/>
          <w:w w:val="100"/>
          <w:position w:val="0"/>
        </w:rPr>
        <w:t>年审注册会计师出具审计报告后，审计委员会召开会议对公司2020年度财务报告、董事会审计委员会履职情况报告 暨关于会计师事务所2020年度审计工作的总结报告、2020年度内部控制自我评价报告、聘请公司2021年度审计机构等事项进 行了审议，形成决议后提交董事会进行审核。</w:t>
      </w:r>
    </w:p>
    <w:p>
      <w:pPr>
        <w:pStyle w:val="Style37"/>
        <w:keepNext w:val="0"/>
        <w:keepLines w:val="0"/>
        <w:widowControl w:val="0"/>
        <w:shd w:val="clear" w:color="auto" w:fill="auto"/>
        <w:bidi w:val="0"/>
        <w:spacing w:before="0" w:after="0" w:line="314" w:lineRule="exact"/>
        <w:ind w:left="0" w:right="0" w:firstLine="440"/>
        <w:jc w:val="both"/>
      </w:pPr>
      <w:bookmarkStart w:id="628" w:name="bookmark628"/>
      <w:r>
        <w:rPr>
          <w:color w:val="000000"/>
          <w:spacing w:val="0"/>
          <w:w w:val="100"/>
          <w:position w:val="0"/>
        </w:rPr>
        <w:t>3</w:t>
      </w:r>
      <w:bookmarkEnd w:id="628"/>
      <w:r>
        <w:rPr>
          <w:color w:val="000000"/>
          <w:spacing w:val="0"/>
          <w:w w:val="100"/>
          <w:position w:val="0"/>
        </w:rPr>
        <w:t>、审计委员会关于年审注册会计师从事2020年度审计工作的总结报告</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审计委员会对2020年度会计师事务所的审计工作进行了总结报告，认为年审注册会计师已按照中国注册会计师审计准 则的规定执行了审计工作，审计时间充分，审计人员配置合理、执业能力胜任，出具的审计报告从重大方面公允地反映了公 司2020年12月31日的财务状况以及2020年度的经营成果和现金流量，出具的审计结论符合公司的实际情况。</w:t>
      </w:r>
    </w:p>
    <w:p>
      <w:pPr>
        <w:pStyle w:val="Style37"/>
        <w:keepNext w:val="0"/>
        <w:keepLines w:val="0"/>
        <w:widowControl w:val="0"/>
        <w:shd w:val="clear" w:color="auto" w:fill="auto"/>
        <w:tabs>
          <w:tab w:pos="915" w:val="left"/>
        </w:tabs>
        <w:bidi w:val="0"/>
        <w:spacing w:before="0" w:after="0" w:line="314" w:lineRule="exact"/>
        <w:ind w:left="0" w:right="0" w:firstLine="440"/>
        <w:jc w:val="both"/>
      </w:pPr>
      <w:bookmarkStart w:id="629" w:name="bookmark629"/>
      <w:r>
        <w:rPr>
          <w:color w:val="000000"/>
          <w:spacing w:val="0"/>
          <w:w w:val="100"/>
          <w:position w:val="0"/>
        </w:rPr>
        <w:t>（</w:t>
      </w:r>
      <w:bookmarkEnd w:id="629"/>
      <w:r>
        <w:rPr>
          <w:color w:val="000000"/>
          <w:spacing w:val="0"/>
          <w:w w:val="100"/>
          <w:position w:val="0"/>
        </w:rPr>
        <w:t>二）</w:t>
        <w:tab/>
        <w:t>独立董事在薪酬与考核委员会履职情况</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报告期内，公司薪酬与考核委员会共召开了三次会议，主要工作情况如下：</w:t>
      </w:r>
    </w:p>
    <w:p>
      <w:pPr>
        <w:pStyle w:val="Style37"/>
        <w:keepNext w:val="0"/>
        <w:keepLines w:val="0"/>
        <w:widowControl w:val="0"/>
        <w:shd w:val="clear" w:color="auto" w:fill="auto"/>
        <w:tabs>
          <w:tab w:pos="715" w:val="left"/>
        </w:tabs>
        <w:bidi w:val="0"/>
        <w:spacing w:before="0" w:after="0" w:line="314" w:lineRule="exact"/>
        <w:ind w:left="0" w:right="0" w:firstLine="440"/>
        <w:jc w:val="both"/>
      </w:pPr>
      <w:bookmarkStart w:id="630" w:name="bookmark630"/>
      <w:r>
        <w:rPr>
          <w:color w:val="000000"/>
          <w:spacing w:val="0"/>
          <w:w w:val="100"/>
          <w:position w:val="0"/>
        </w:rPr>
        <w:t>1</w:t>
      </w:r>
      <w:bookmarkEnd w:id="630"/>
      <w:r>
        <w:rPr>
          <w:color w:val="000000"/>
          <w:spacing w:val="0"/>
          <w:w w:val="100"/>
          <w:position w:val="0"/>
        </w:rPr>
        <w:t>、</w:t>
        <w:tab/>
        <w:t>2020年3月26日，薪酬与考核委员会召开2020年第一次会议，审议通过了《关于公司董事、监事及高管人员2019年 度薪酬考核及2020年度薪酬情况的议案》，对董事、监事及高管人员2019年度薪酬考核及2020年度薪酬情况进行了审核，并 发表了如下审核意见：</w:t>
      </w:r>
    </w:p>
    <w:p>
      <w:pPr>
        <w:pStyle w:val="Style37"/>
        <w:keepNext w:val="0"/>
        <w:keepLines w:val="0"/>
        <w:widowControl w:val="0"/>
        <w:shd w:val="clear" w:color="auto" w:fill="auto"/>
        <w:tabs>
          <w:tab w:pos="902" w:val="left"/>
        </w:tabs>
        <w:bidi w:val="0"/>
        <w:spacing w:before="0" w:after="0" w:line="314" w:lineRule="exact"/>
        <w:ind w:left="0" w:right="0" w:firstLine="440"/>
        <w:jc w:val="both"/>
      </w:pPr>
      <w:bookmarkStart w:id="631" w:name="bookmark631"/>
      <w:r>
        <w:rPr>
          <w:color w:val="000000"/>
          <w:spacing w:val="0"/>
          <w:w w:val="100"/>
          <w:position w:val="0"/>
        </w:rPr>
        <w:t>（</w:t>
      </w:r>
      <w:bookmarkEnd w:id="631"/>
      <w:r>
        <w:rPr>
          <w:color w:val="000000"/>
          <w:spacing w:val="0"/>
          <w:w w:val="100"/>
          <w:position w:val="0"/>
        </w:rPr>
        <w:t>1）</w:t>
        <w:tab/>
        <w:t>公司董事、监事、高级管理人员2019年度津贴（薪酬）的水平、考核及发放情况符合公司薪酬管理制度，薪酬的 决策程序符合相关法律、法规等有关规定。公司能严格按照公司董事、监事及高级管理人员薪酬和有关考核制度执行，经营 业绩考核和薪酬发放的程序符合有关法律法规和《公司章程》的规定。</w:t>
      </w:r>
    </w:p>
    <w:p>
      <w:pPr>
        <w:pStyle w:val="Style37"/>
        <w:keepNext w:val="0"/>
        <w:keepLines w:val="0"/>
        <w:widowControl w:val="0"/>
        <w:shd w:val="clear" w:color="auto" w:fill="auto"/>
        <w:tabs>
          <w:tab w:pos="902" w:val="left"/>
        </w:tabs>
        <w:bidi w:val="0"/>
        <w:spacing w:before="0" w:after="0" w:line="314" w:lineRule="exact"/>
        <w:ind w:left="0" w:right="0" w:firstLine="440"/>
        <w:jc w:val="both"/>
      </w:pPr>
      <w:bookmarkStart w:id="632" w:name="bookmark632"/>
      <w:r>
        <w:rPr>
          <w:color w:val="000000"/>
          <w:spacing w:val="0"/>
          <w:w w:val="100"/>
          <w:position w:val="0"/>
        </w:rPr>
        <w:t>（</w:t>
      </w:r>
      <w:bookmarkEnd w:id="632"/>
      <w:r>
        <w:rPr>
          <w:color w:val="000000"/>
          <w:spacing w:val="0"/>
          <w:w w:val="100"/>
          <w:position w:val="0"/>
        </w:rPr>
        <w:t>2）</w:t>
        <w:tab/>
        <w:t>公司董事、监事、高级管理人员2020年度津贴（薪酬）方案是结合公司的实际经营情况制定的，能建立激励与约 束相结合、风险与收益相对称的激励机制，有利于调动公司董事、监事、高级管理人员的工作积极性，强化其勤勉尽责意识， 有利于公司的长远发展。</w:t>
      </w:r>
    </w:p>
    <w:p>
      <w:pPr>
        <w:pStyle w:val="Style37"/>
        <w:keepNext w:val="0"/>
        <w:keepLines w:val="0"/>
        <w:widowControl w:val="0"/>
        <w:shd w:val="clear" w:color="auto" w:fill="auto"/>
        <w:tabs>
          <w:tab w:pos="907" w:val="left"/>
        </w:tabs>
        <w:bidi w:val="0"/>
        <w:spacing w:before="0" w:after="0" w:line="314" w:lineRule="exact"/>
        <w:ind w:left="0" w:right="0" w:firstLine="440"/>
        <w:jc w:val="both"/>
      </w:pPr>
      <w:bookmarkStart w:id="633" w:name="bookmark633"/>
      <w:r>
        <w:rPr>
          <w:color w:val="000000"/>
          <w:spacing w:val="0"/>
          <w:w w:val="100"/>
          <w:position w:val="0"/>
        </w:rPr>
        <w:t>（</w:t>
      </w:r>
      <w:bookmarkEnd w:id="633"/>
      <w:r>
        <w:rPr>
          <w:color w:val="000000"/>
          <w:spacing w:val="0"/>
          <w:w w:val="100"/>
          <w:position w:val="0"/>
        </w:rPr>
        <w:t>3）</w:t>
        <w:tab/>
        <w:t>董事会薪酬与考核委员会拟定了公司2019年股权激励计划，2019年4月11日，董事会薪酬与考核委员会2019年第 二次会议审议通过了《关于公司〈2019年股票期权与限制性股票激励计划（草案）〉及其摘要的议案》、《关于公司〈2019年 股票期权与限制性股票激励计划实施考核管理办法〉的议案》。本次股权激励计划已经公司2019年度第三次临时股东大会审 议通过。本次股权激励计划的内容符合《公司法》、《证券法》、《上市公司股权激励管理办法》等有关法律、法规和规范 性文件的规定，有利于进一步完善公司治理结构，健全公司激励机制，增强公司管理团队和骨干员工对实现公司持续、健康 发展的责任感、使命感，有利于公司的持续发展。</w:t>
      </w:r>
    </w:p>
    <w:p>
      <w:pPr>
        <w:pStyle w:val="Style37"/>
        <w:keepNext w:val="0"/>
        <w:keepLines w:val="0"/>
        <w:widowControl w:val="0"/>
        <w:shd w:val="clear" w:color="auto" w:fill="auto"/>
        <w:tabs>
          <w:tab w:pos="710" w:val="left"/>
        </w:tabs>
        <w:bidi w:val="0"/>
        <w:spacing w:before="0" w:after="0" w:line="314" w:lineRule="exact"/>
        <w:ind w:left="0" w:right="0" w:firstLine="440"/>
        <w:jc w:val="both"/>
      </w:pPr>
      <w:bookmarkStart w:id="634" w:name="bookmark634"/>
      <w:r>
        <w:rPr>
          <w:color w:val="000000"/>
          <w:spacing w:val="0"/>
          <w:w w:val="100"/>
          <w:position w:val="0"/>
        </w:rPr>
        <w:t>2</w:t>
      </w:r>
      <w:bookmarkEnd w:id="634"/>
      <w:r>
        <w:rPr>
          <w:color w:val="000000"/>
          <w:spacing w:val="0"/>
          <w:w w:val="100"/>
          <w:position w:val="0"/>
        </w:rPr>
        <w:t>、</w:t>
        <w:tab/>
        <w:t>2020年8月20日，董事会薪酬与考核委员召开2020年第二次会议，审议通过了《关于回购注销2019年股权激励计划 部分限制性股票的议案》、《关于注销2019年股权激励计划部分股票期权的议案》。</w:t>
      </w:r>
    </w:p>
    <w:p>
      <w:pPr>
        <w:pStyle w:val="Style37"/>
        <w:keepNext w:val="0"/>
        <w:keepLines w:val="0"/>
        <w:widowControl w:val="0"/>
        <w:shd w:val="clear" w:color="auto" w:fill="auto"/>
        <w:tabs>
          <w:tab w:pos="715" w:val="left"/>
        </w:tabs>
        <w:bidi w:val="0"/>
        <w:spacing w:before="0" w:after="0" w:line="314" w:lineRule="exact"/>
        <w:ind w:left="0" w:right="0" w:firstLine="440"/>
        <w:jc w:val="both"/>
      </w:pPr>
      <w:bookmarkStart w:id="635" w:name="bookmark635"/>
      <w:r>
        <w:rPr>
          <w:color w:val="000000"/>
          <w:spacing w:val="0"/>
          <w:w w:val="100"/>
          <w:position w:val="0"/>
        </w:rPr>
        <w:t>3</w:t>
      </w:r>
      <w:bookmarkEnd w:id="635"/>
      <w:r>
        <w:rPr>
          <w:color w:val="000000"/>
          <w:spacing w:val="0"/>
          <w:w w:val="100"/>
          <w:position w:val="0"/>
        </w:rPr>
        <w:t>、</w:t>
        <w:tab/>
        <w:t>2020年11月2日，董事会薪酬与考核委员召开2020年第三次会议，审议通过了《关于2019年股票期权与限制性股票 激励计划第一个行权期/解除限售期行权/解除限售条件成就的议案》。</w:t>
      </w:r>
    </w:p>
    <w:p>
      <w:pPr>
        <w:pStyle w:val="Style37"/>
        <w:keepNext w:val="0"/>
        <w:keepLines w:val="0"/>
        <w:widowControl w:val="0"/>
        <w:shd w:val="clear" w:color="auto" w:fill="auto"/>
        <w:tabs>
          <w:tab w:pos="915" w:val="left"/>
        </w:tabs>
        <w:bidi w:val="0"/>
        <w:spacing w:before="0" w:after="0" w:line="314" w:lineRule="exact"/>
        <w:ind w:left="0" w:right="0" w:firstLine="440"/>
        <w:jc w:val="both"/>
      </w:pPr>
      <w:bookmarkStart w:id="636" w:name="bookmark636"/>
      <w:r>
        <w:rPr>
          <w:color w:val="000000"/>
          <w:spacing w:val="0"/>
          <w:w w:val="100"/>
          <w:position w:val="0"/>
        </w:rPr>
        <w:t>（</w:t>
      </w:r>
      <w:bookmarkEnd w:id="636"/>
      <w:r>
        <w:rPr>
          <w:color w:val="000000"/>
          <w:spacing w:val="0"/>
          <w:w w:val="100"/>
          <w:position w:val="0"/>
        </w:rPr>
        <w:t>三）</w:t>
        <w:tab/>
        <w:t>独立董事在提名委员会履职情况</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报告期内，董事会提名委员会共召开一次会议，主要工作情况如下：</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2020年3月26日，提名委员会召开2020年第一次会议，审议通过了《关于提名公司第八届董事会部分独立董事候选人的 议案》、《关于提名公司部分高级管理人员的议案》。</w:t>
      </w:r>
    </w:p>
    <w:p>
      <w:pPr>
        <w:pStyle w:val="Style35"/>
        <w:keepNext/>
        <w:keepLines/>
        <w:widowControl w:val="0"/>
        <w:shd w:val="clear" w:color="auto" w:fill="auto"/>
        <w:tabs>
          <w:tab w:pos="522" w:val="left"/>
        </w:tabs>
        <w:bidi w:val="0"/>
        <w:spacing w:before="0" w:after="24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七</w:t>
      </w:r>
      <w:bookmarkEnd w:id="639"/>
      <w:r>
        <w:rPr>
          <w:color w:val="000000"/>
          <w:spacing w:val="0"/>
          <w:w w:val="100"/>
          <w:position w:val="0"/>
          <w:sz w:val="24"/>
          <w:szCs w:val="24"/>
        </w:rPr>
        <w:t>、</w:t>
        <w:tab/>
        <w:t>监事会工作情况</w:t>
      </w:r>
      <w:bookmarkEnd w:id="637"/>
      <w:bookmarkEnd w:id="638"/>
      <w:bookmarkEnd w:id="640"/>
    </w:p>
    <w:p>
      <w:pPr>
        <w:pStyle w:val="Style3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监事会对报告期内的监督事项无异议。</w:t>
      </w:r>
    </w:p>
    <w:p>
      <w:pPr>
        <w:pStyle w:val="Style35"/>
        <w:keepNext/>
        <w:keepLines/>
        <w:widowControl w:val="0"/>
        <w:shd w:val="clear" w:color="auto" w:fill="auto"/>
        <w:tabs>
          <w:tab w:pos="522" w:val="left"/>
        </w:tabs>
        <w:bidi w:val="0"/>
        <w:spacing w:before="0" w:after="24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八</w:t>
      </w:r>
      <w:bookmarkEnd w:id="643"/>
      <w:r>
        <w:rPr>
          <w:color w:val="000000"/>
          <w:spacing w:val="0"/>
          <w:w w:val="100"/>
          <w:position w:val="0"/>
          <w:sz w:val="24"/>
          <w:szCs w:val="24"/>
        </w:rPr>
        <w:t>、</w:t>
        <w:tab/>
        <w:t>高级管理人员的考评及激励情况</w:t>
      </w:r>
      <w:bookmarkEnd w:id="641"/>
      <w:bookmarkEnd w:id="642"/>
      <w:bookmarkEnd w:id="644"/>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报告期内，公司高级管理人员严格按照《公司法》、《公司章程》及有关法律法规认真履行职责，积极落实公司股东 大会和董事会各项决议。公司高级管理人员依据其在公司的任职岗位、经营业绩等因素领取相应薪酬，并经董事会薪酬与 考核委员会考评。</w:t>
      </w:r>
    </w:p>
    <w:p>
      <w:pPr>
        <w:pStyle w:val="Style3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公司在激励方面，通过长中短期激励相结合方式，持续地完善高级管理人员的激励机制。公司2019年实施的股权激励 计划在2020年实现第一期行权/解除限售，高级管理人员的股权激励情况请参见“第九节董事、监事、高级管理人员和员工 情况”相关内容。</w:t>
      </w:r>
    </w:p>
    <w:p>
      <w:pPr>
        <w:pStyle w:val="Style35"/>
        <w:keepNext/>
        <w:keepLines/>
        <w:widowControl w:val="0"/>
        <w:shd w:val="clear" w:color="auto" w:fill="auto"/>
        <w:tabs>
          <w:tab w:pos="522" w:val="left"/>
        </w:tabs>
        <w:bidi w:val="0"/>
        <w:spacing w:before="0" w:after="36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九</w:t>
      </w:r>
      <w:bookmarkEnd w:id="647"/>
      <w:r>
        <w:rPr>
          <w:color w:val="000000"/>
          <w:spacing w:val="0"/>
          <w:w w:val="100"/>
          <w:position w:val="0"/>
          <w:sz w:val="24"/>
          <w:szCs w:val="24"/>
        </w:rPr>
        <w:t>、</w:t>
        <w:tab/>
        <w:t>内部控制情况</w:t>
      </w:r>
      <w:bookmarkEnd w:id="645"/>
      <w:bookmarkEnd w:id="646"/>
      <w:bookmarkEnd w:id="648"/>
    </w:p>
    <w:p>
      <w:pPr>
        <w:pStyle w:val="Style41"/>
        <w:keepNext/>
        <w:keepLines/>
        <w:widowControl w:val="0"/>
        <w:shd w:val="clear" w:color="auto" w:fill="auto"/>
        <w:bidi w:val="0"/>
        <w:spacing w:before="0" w:after="24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、报告期内发现的内部控制重大缺陷的具体情况</w:t>
      </w:r>
      <w:bookmarkEnd w:id="649"/>
      <w:bookmarkEnd w:id="650"/>
      <w:bookmarkEnd w:id="652"/>
    </w:p>
    <w:p>
      <w:pPr>
        <w:pStyle w:val="Style3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、内控自我评价报告</w:t>
      </w:r>
      <w:bookmarkEnd w:id="653"/>
      <w:bookmarkEnd w:id="654"/>
      <w:bookmarkEnd w:id="656"/>
    </w:p>
    <w:tbl>
      <w:tblPr>
        <w:tblOverlap w:val="never"/>
        <w:jc w:val="center"/>
        <w:tblLayout w:type="fixed"/>
      </w:tblPr>
      <w:tblGrid>
        <w:gridCol w:w="2698"/>
        <w:gridCol w:w="3686"/>
        <w:gridCol w:w="3197"/>
      </w:tblGrid>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90.00%</w:t>
            </w:r>
            <w:r>
              <w:rPr>
                <w:color w:val="000000"/>
                <w:spacing w:val="0"/>
                <w:w w:val="100"/>
                <w:position w:val="0"/>
              </w:rPr>
              <w:t>以上</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90.00%</w:t>
            </w:r>
            <w:r>
              <w:rPr>
                <w:color w:val="000000"/>
                <w:spacing w:val="0"/>
                <w:w w:val="100"/>
                <w:position w:val="0"/>
              </w:rPr>
              <w:t>以上</w:t>
            </w:r>
          </w:p>
        </w:tc>
      </w:tr>
      <w:tr>
        <w:trPr>
          <w:trHeight w:val="466"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46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公司确定的财务报告内部控制缺陷评价的定性 标准如下：</w:t>
            </w:r>
          </w:p>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出现以下或类似情形的，认定为重大缺陷：</w:t>
            </w:r>
          </w:p>
          <w:p>
            <w:pPr>
              <w:pStyle w:val="Style29"/>
              <w:keepNext w:val="0"/>
              <w:keepLines w:val="0"/>
              <w:widowControl w:val="0"/>
              <w:shd w:val="clear" w:color="auto" w:fill="auto"/>
              <w:tabs>
                <w:tab w:pos="312"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tab/>
            </w:r>
            <w:r>
              <w:rPr>
                <w:color w:val="000000"/>
                <w:spacing w:val="0"/>
                <w:w w:val="100"/>
                <w:position w:val="0"/>
              </w:rPr>
              <w:t>与财务报告相关控制环境无效；</w:t>
            </w:r>
          </w:p>
          <w:p>
            <w:pPr>
              <w:pStyle w:val="Style29"/>
              <w:keepNext w:val="0"/>
              <w:keepLines w:val="0"/>
              <w:widowControl w:val="0"/>
              <w:shd w:val="clear" w:color="auto" w:fill="auto"/>
              <w:tabs>
                <w:tab w:pos="422"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tab/>
            </w:r>
            <w:r>
              <w:rPr>
                <w:color w:val="000000"/>
                <w:spacing w:val="0"/>
                <w:w w:val="100"/>
                <w:position w:val="0"/>
              </w:rPr>
              <w:t>董事、监事和高级管理人员与财务报告相 关舞弊行为；</w:t>
            </w:r>
          </w:p>
          <w:p>
            <w:pPr>
              <w:pStyle w:val="Style29"/>
              <w:keepNext w:val="0"/>
              <w:keepLines w:val="0"/>
              <w:widowControl w:val="0"/>
              <w:shd w:val="clear" w:color="auto" w:fill="auto"/>
              <w:tabs>
                <w:tab w:pos="422"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tab/>
            </w:r>
            <w:r>
              <w:rPr>
                <w:color w:val="000000"/>
                <w:spacing w:val="0"/>
                <w:w w:val="100"/>
                <w:position w:val="0"/>
              </w:rPr>
              <w:t>外部审计发现当期财务报告存在重大错 报，公司在运行过程中未能发现该错报；</w:t>
            </w:r>
          </w:p>
          <w:p>
            <w:pPr>
              <w:pStyle w:val="Style29"/>
              <w:keepNext w:val="0"/>
              <w:keepLines w:val="0"/>
              <w:widowControl w:val="0"/>
              <w:shd w:val="clear" w:color="auto" w:fill="auto"/>
              <w:tabs>
                <w:tab w:pos="422"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tab/>
            </w:r>
            <w:r>
              <w:rPr>
                <w:color w:val="000000"/>
                <w:spacing w:val="0"/>
                <w:w w:val="100"/>
                <w:position w:val="0"/>
              </w:rPr>
              <w:t>重述以前公布的财务报告，以更正由于舞 弊或错误导致的重大错误；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公司确定的非财务报告内部控制缺陷评 价的定性标准如下：</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出现以下或类似情形的，认定为重 大缺陷：</w:t>
            </w:r>
          </w:p>
          <w:p>
            <w:pPr>
              <w:pStyle w:val="Style29"/>
              <w:keepNext w:val="0"/>
              <w:keepLines w:val="0"/>
              <w:widowControl w:val="0"/>
              <w:shd w:val="clear" w:color="auto" w:fill="auto"/>
              <w:tabs>
                <w:tab w:pos="32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tab/>
            </w:r>
            <w:r>
              <w:rPr>
                <w:color w:val="000000"/>
                <w:spacing w:val="0"/>
                <w:w w:val="100"/>
                <w:position w:val="0"/>
              </w:rPr>
              <w:t>违犯国家法律、法规或规范性文件；</w:t>
            </w:r>
          </w:p>
          <w:p>
            <w:pPr>
              <w:pStyle w:val="Style29"/>
              <w:keepNext w:val="0"/>
              <w:keepLines w:val="0"/>
              <w:widowControl w:val="0"/>
              <w:shd w:val="clear" w:color="auto" w:fill="auto"/>
              <w:tabs>
                <w:tab w:pos="32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tab/>
            </w:r>
            <w:r>
              <w:rPr>
                <w:color w:val="000000"/>
                <w:spacing w:val="0"/>
                <w:w w:val="100"/>
                <w:position w:val="0"/>
              </w:rPr>
              <w:t>重大决策程序不科学；</w:t>
            </w:r>
          </w:p>
          <w:p>
            <w:pPr>
              <w:pStyle w:val="Style29"/>
              <w:keepNext w:val="0"/>
              <w:keepLines w:val="0"/>
              <w:widowControl w:val="0"/>
              <w:shd w:val="clear" w:color="auto" w:fill="auto"/>
              <w:tabs>
                <w:tab w:pos="32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tab/>
            </w:r>
            <w:r>
              <w:rPr>
                <w:color w:val="000000"/>
                <w:spacing w:val="0"/>
                <w:w w:val="100"/>
                <w:position w:val="0"/>
              </w:rPr>
              <w:t>制度缺失可能导致系统性失效；</w:t>
            </w:r>
          </w:p>
          <w:p>
            <w:pPr>
              <w:pStyle w:val="Style29"/>
              <w:keepNext w:val="0"/>
              <w:keepLines w:val="0"/>
              <w:widowControl w:val="0"/>
              <w:shd w:val="clear" w:color="auto" w:fill="auto"/>
              <w:tabs>
                <w:tab w:pos="32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tab/>
            </w:r>
            <w:r>
              <w:rPr>
                <w:color w:val="000000"/>
                <w:spacing w:val="0"/>
                <w:w w:val="100"/>
                <w:position w:val="0"/>
              </w:rPr>
              <w:t>重大或重要缺陷不能得到整改；</w:t>
            </w:r>
          </w:p>
          <w:p>
            <w:pPr>
              <w:pStyle w:val="Style29"/>
              <w:keepNext w:val="0"/>
              <w:keepLines w:val="0"/>
              <w:widowControl w:val="0"/>
              <w:shd w:val="clear" w:color="auto" w:fill="auto"/>
              <w:tabs>
                <w:tab w:pos="331"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tab/>
            </w:r>
            <w:r>
              <w:rPr>
                <w:color w:val="000000"/>
                <w:spacing w:val="0"/>
                <w:w w:val="100"/>
                <w:position w:val="0"/>
              </w:rPr>
              <w:t>公司声誉造成难以弥补的损害；</w:t>
            </w:r>
          </w:p>
          <w:p>
            <w:pPr>
              <w:pStyle w:val="Style29"/>
              <w:keepNext w:val="0"/>
              <w:keepLines w:val="0"/>
              <w:widowControl w:val="0"/>
              <w:shd w:val="clear" w:color="auto" w:fill="auto"/>
              <w:tabs>
                <w:tab w:pos="32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tab/>
            </w:r>
            <w:r>
              <w:rPr>
                <w:color w:val="000000"/>
                <w:spacing w:val="0"/>
                <w:w w:val="100"/>
                <w:position w:val="0"/>
              </w:rPr>
              <w:t>其他可能对公司造成重大影响的情</w:t>
            </w:r>
          </w:p>
        </w:tc>
      </w:tr>
    </w:tbl>
    <w:p>
      <w:pPr>
        <w:spacing w:lineRule="exact" w:line="1"/>
        <w:rPr>
          <w:sz w:val="2"/>
          <w:szCs w:val="2"/>
        </w:rPr>
      </w:pPr>
      <w:r>
        <w:br w:type="page"/>
      </w:r>
    </w:p>
    <w:tbl>
      <w:tblPr>
        <w:tblOverlap w:val="never"/>
        <w:jc w:val="center"/>
        <w:tblLayout w:type="fixed"/>
      </w:tblPr>
      <w:tblGrid>
        <w:gridCol w:w="2698"/>
        <w:gridCol w:w="130"/>
        <w:gridCol w:w="1147"/>
        <w:gridCol w:w="1910"/>
        <w:gridCol w:w="514"/>
        <w:gridCol w:w="586"/>
        <w:gridCol w:w="1248"/>
        <w:gridCol w:w="1133"/>
        <w:gridCol w:w="216"/>
      </w:tblGrid>
      <w:tr>
        <w:trPr>
          <w:trHeight w:val="3019"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tabs>
                <w:tab w:pos="442"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tab/>
            </w:r>
            <w:r>
              <w:rPr>
                <w:color w:val="000000"/>
                <w:spacing w:val="0"/>
                <w:w w:val="100"/>
                <w:position w:val="0"/>
              </w:rPr>
              <w:t>已经发现并报告给管理层的重大缺陷在 合理的时间内未予改正；</w:t>
            </w:r>
          </w:p>
          <w:p>
            <w:pPr>
              <w:pStyle w:val="Style29"/>
              <w:keepNext w:val="0"/>
              <w:keepLines w:val="0"/>
              <w:widowControl w:val="0"/>
              <w:shd w:val="clear" w:color="auto" w:fill="auto"/>
              <w:tabs>
                <w:tab w:pos="331"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tab/>
            </w:r>
            <w:r>
              <w:rPr>
                <w:color w:val="000000"/>
                <w:spacing w:val="0"/>
                <w:w w:val="100"/>
                <w:position w:val="0"/>
              </w:rPr>
              <w:t>公司风险评估职能无效；</w:t>
            </w:r>
          </w:p>
          <w:p>
            <w:pPr>
              <w:pStyle w:val="Style29"/>
              <w:keepNext w:val="0"/>
              <w:keepLines w:val="0"/>
              <w:widowControl w:val="0"/>
              <w:shd w:val="clear" w:color="auto" w:fill="auto"/>
              <w:tabs>
                <w:tab w:pos="413"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7）</w:t>
              <w:tab/>
            </w:r>
            <w:r>
              <w:rPr>
                <w:color w:val="000000"/>
                <w:spacing w:val="0"/>
                <w:w w:val="100"/>
                <w:position w:val="0"/>
              </w:rPr>
              <w:t>公司审计委员会和审计部门对内部控制 的监督无效；</w:t>
            </w:r>
          </w:p>
          <w:p>
            <w:pPr>
              <w:pStyle w:val="Style29"/>
              <w:keepNext w:val="0"/>
              <w:keepLines w:val="0"/>
              <w:widowControl w:val="0"/>
              <w:shd w:val="clear" w:color="auto" w:fill="auto"/>
              <w:tabs>
                <w:tab w:pos="422"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8）</w:t>
              <w:tab/>
            </w:r>
            <w:r>
              <w:rPr>
                <w:color w:val="000000"/>
                <w:spacing w:val="0"/>
                <w:w w:val="100"/>
                <w:position w:val="0"/>
              </w:rPr>
              <w:t>其他对财务报告使用者作出正确判断产 生重大影响的缺陷。</w:t>
            </w:r>
          </w:p>
          <w:p>
            <w:pPr>
              <w:pStyle w:val="Style29"/>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其他情形按影响程度分别确定为重要缺陷或 一般缺陷。</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302" w:lineRule="exact"/>
              <w:ind w:left="0" w:right="0" w:firstLine="0"/>
              <w:jc w:val="both"/>
            </w:pPr>
            <w:r>
              <w:rPr>
                <w:color w:val="000000"/>
                <w:spacing w:val="0"/>
                <w:w w:val="100"/>
                <w:position w:val="0"/>
              </w:rPr>
              <w:t>形。</w:t>
            </w:r>
          </w:p>
          <w:p>
            <w:pPr>
              <w:pStyle w:val="Style29"/>
              <w:keepNext w:val="0"/>
              <w:keepLines w:val="0"/>
              <w:widowControl w:val="0"/>
              <w:shd w:val="clear" w:color="auto" w:fill="auto"/>
              <w:bidi w:val="0"/>
              <w:spacing w:before="0" w:after="0" w:line="302" w:lineRule="exact"/>
              <w:ind w:left="0" w:right="0" w:firstLine="280"/>
              <w:jc w:val="both"/>
            </w:pPr>
            <w:r>
              <w:rPr>
                <w:color w:val="000000"/>
                <w:spacing w:val="0"/>
                <w:w w:val="100"/>
                <w:position w:val="0"/>
              </w:rPr>
              <w:t>其他情形按影响程度分别确定为重 要缺陷或一般缺陷。</w:t>
            </w:r>
          </w:p>
        </w:tc>
      </w:tr>
      <w:tr>
        <w:trPr>
          <w:trHeight w:val="734"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公司确定的财务报告内部控制缺陷评价的定量</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60" w:lineRule="exact"/>
              <w:ind w:left="0" w:right="0" w:firstLine="0"/>
              <w:jc w:val="left"/>
              <w:rPr>
                <w:sz w:val="22"/>
                <w:szCs w:val="22"/>
              </w:rPr>
            </w:pPr>
            <w:r>
              <w:rPr>
                <w:color w:val="000000"/>
                <w:spacing w:val="0"/>
                <w:w w:val="100"/>
                <w:position w:val="0"/>
                <w:sz w:val="18"/>
                <w:szCs w:val="18"/>
              </w:rPr>
              <w:t>公司确定的非财务报告内部控制缺陷评 价的定量标准如下</w:t>
            </w:r>
            <w:r>
              <w:rPr>
                <w:color w:val="000000"/>
                <w:spacing w:val="0"/>
                <w:w w:val="100"/>
                <w:position w:val="0"/>
                <w:sz w:val="22"/>
                <w:szCs w:val="22"/>
              </w:rPr>
              <w:t>：</w:t>
            </w:r>
          </w:p>
        </w:tc>
      </w:tr>
      <w:tr>
        <w:trPr>
          <w:trHeight w:val="283" w:hRule="exact"/>
        </w:trPr>
        <w:tc>
          <w:tcPr>
            <w:vMerge/>
            <w:tcBorders>
              <w:left w:val="single" w:sz="4"/>
            </w:tcBorders>
            <w:shd w:val="clear" w:color="auto" w:fill="D3D3D3"/>
            <w:vAlign w:val="center"/>
          </w:tcPr>
          <w:p>
            <w:pPr/>
          </w:p>
        </w:tc>
        <w:tc>
          <w:tcPr>
            <w:gridSpan w:val="3"/>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标准如下：</w:t>
            </w:r>
          </w:p>
        </w:tc>
        <w:tc>
          <w:tcPr>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140" w:right="0" w:firstLine="0"/>
              <w:jc w:val="left"/>
              <w:rPr>
                <w:sz w:val="16"/>
                <w:szCs w:val="16"/>
              </w:rPr>
            </w:pPr>
            <w:r>
              <w:rPr>
                <w:color w:val="000000"/>
                <w:spacing w:val="0"/>
                <w:w w:val="100"/>
                <w:position w:val="0"/>
                <w:sz w:val="16"/>
                <w:szCs w:val="16"/>
              </w:rPr>
              <w:t>缺陷 认定</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2" w:lineRule="exact"/>
              <w:ind w:left="0" w:right="0" w:firstLine="180"/>
              <w:jc w:val="left"/>
              <w:rPr>
                <w:sz w:val="16"/>
                <w:szCs w:val="16"/>
              </w:rPr>
            </w:pPr>
            <w:r>
              <w:rPr>
                <w:color w:val="000000"/>
                <w:spacing w:val="0"/>
                <w:w w:val="100"/>
                <w:position w:val="0"/>
                <w:sz w:val="16"/>
                <w:szCs w:val="16"/>
              </w:rPr>
              <w:t>直接财产损 失金额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重大负面影 响</w:t>
            </w:r>
          </w:p>
        </w:tc>
        <w:tc>
          <w:tcPr>
            <w:vMerge w:val="restart"/>
            <w:tcBorders>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缺陷类别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重大缺陷</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140" w:right="0" w:firstLine="0"/>
              <w:jc w:val="left"/>
              <w:rPr>
                <w:sz w:val="16"/>
                <w:szCs w:val="16"/>
              </w:rPr>
            </w:pPr>
            <w:r>
              <w:rPr>
                <w:color w:val="000000"/>
                <w:spacing w:val="0"/>
                <w:w w:val="100"/>
                <w:position w:val="0"/>
                <w:sz w:val="16"/>
                <w:szCs w:val="16"/>
              </w:rPr>
              <w:t>重大 缺陷</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0" w:lineRule="exact"/>
              <w:ind w:left="0" w:right="0" w:firstLine="0"/>
              <w:jc w:val="left"/>
              <w:rPr>
                <w:sz w:val="16"/>
                <w:szCs w:val="16"/>
              </w:rPr>
            </w:pPr>
            <w:r>
              <w:rPr>
                <w:color w:val="000000"/>
                <w:spacing w:val="0"/>
                <w:w w:val="100"/>
                <w:position w:val="0"/>
                <w:sz w:val="16"/>
                <w:szCs w:val="16"/>
              </w:rPr>
              <w:t>直接财产损失 金额</w:t>
            </w:r>
            <w:r>
              <w:rPr>
                <w:color w:val="000000"/>
                <w:spacing w:val="0"/>
                <w:w w:val="100"/>
                <w:position w:val="0"/>
                <w:sz w:val="16"/>
                <w:szCs w:val="16"/>
              </w:rPr>
              <w:t>m</w:t>
            </w:r>
            <w:r>
              <w:rPr>
                <w:color w:val="000000"/>
                <w:spacing w:val="0"/>
                <w:w w:val="100"/>
                <w:position w:val="0"/>
                <w:sz w:val="16"/>
                <w:szCs w:val="16"/>
              </w:rPr>
              <w:t>营业收 入总额的</w:t>
            </w:r>
          </w:p>
          <w:p>
            <w:pPr>
              <w:pStyle w:val="Style29"/>
              <w:keepNext w:val="0"/>
              <w:keepLines w:val="0"/>
              <w:widowControl w:val="0"/>
              <w:shd w:val="clear" w:color="auto" w:fill="auto"/>
              <w:bidi w:val="0"/>
              <w:spacing w:before="0" w:after="0" w:line="210" w:lineRule="exact"/>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6"/>
                <w:szCs w:val="16"/>
              </w:rPr>
              <w:t>与资产总 额的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6"/>
                <w:szCs w:val="16"/>
              </w:rPr>
              <w:t>孰 低者</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对公司造成 较大负面影 响并以公告 形式对外披 露</w:t>
            </w:r>
          </w:p>
        </w:tc>
        <w:tc>
          <w:tcPr>
            <w:vMerge/>
            <w:tcBorders>
              <w:left w:val="single" w:sz="4"/>
              <w:right w:val="single" w:sz="4"/>
            </w:tcBorders>
            <w:shd w:val="clear" w:color="auto" w:fill="FFFFFF"/>
            <w:vAlign w:val="top"/>
          </w:tcPr>
          <w:p>
            <w:pP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错报〉营业收入总额的</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5%</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85"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w:t>
            </w:r>
            <w:r>
              <w:rPr>
                <w:color w:val="000000"/>
                <w:spacing w:val="0"/>
                <w:w w:val="100"/>
                <w:position w:val="0"/>
                <w:sz w:val="16"/>
                <w:szCs w:val="16"/>
              </w:rPr>
              <w:t>N</w:t>
            </w:r>
            <w:r>
              <w:rPr>
                <w:color w:val="000000"/>
                <w:spacing w:val="0"/>
                <w:w w:val="100"/>
                <w:position w:val="0"/>
                <w:sz w:val="16"/>
                <w:szCs w:val="16"/>
              </w:rPr>
              <w:t>资产总额的</w:t>
            </w:r>
            <w:r>
              <w:rPr>
                <w:color w:val="000000"/>
                <w:spacing w:val="0"/>
                <w:w w:val="100"/>
                <w:position w:val="0"/>
                <w:sz w:val="16"/>
                <w:szCs w:val="16"/>
              </w:rPr>
              <w:t>0.5%</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42"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缺陷类别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重要缺陷</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140" w:right="0" w:firstLine="0"/>
              <w:jc w:val="left"/>
              <w:rPr>
                <w:sz w:val="16"/>
                <w:szCs w:val="16"/>
              </w:rPr>
            </w:pPr>
            <w:r>
              <w:rPr>
                <w:color w:val="000000"/>
                <w:spacing w:val="0"/>
                <w:w w:val="100"/>
                <w:position w:val="0"/>
                <w:sz w:val="16"/>
                <w:szCs w:val="16"/>
              </w:rPr>
              <w:t>重要 缺陷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营业收入总额 的</w:t>
            </w:r>
            <w:r>
              <w:rPr>
                <w:color w:val="000000"/>
                <w:spacing w:val="0"/>
                <w:w w:val="100"/>
                <w:position w:val="0"/>
                <w:sz w:val="16"/>
                <w:szCs w:val="16"/>
              </w:rPr>
              <w:t xml:space="preserve">0. </w:t>
            </w:r>
            <w:r>
              <w:rPr>
                <w:color w:val="000000"/>
                <w:spacing w:val="0"/>
                <w:w w:val="100"/>
                <w:position w:val="0"/>
                <w:sz w:val="16"/>
                <w:szCs w:val="16"/>
              </w:rPr>
              <w:t>2%</w:t>
            </w:r>
            <w:r>
              <w:rPr>
                <w:color w:val="000000"/>
                <w:spacing w:val="0"/>
                <w:w w:val="100"/>
                <w:position w:val="0"/>
                <w:sz w:val="16"/>
                <w:szCs w:val="16"/>
              </w:rPr>
              <w:t>与资产 总额的</w:t>
            </w:r>
            <w:r>
              <w:rPr>
                <w:color w:val="000000"/>
                <w:spacing w:val="0"/>
                <w:w w:val="100"/>
                <w:position w:val="0"/>
                <w:sz w:val="16"/>
                <w:szCs w:val="16"/>
              </w:rPr>
              <w:t xml:space="preserve">0. </w:t>
            </w:r>
            <w:r>
              <w:rPr>
                <w:color w:val="000000"/>
                <w:spacing w:val="0"/>
                <w:w w:val="100"/>
                <w:position w:val="0"/>
                <w:sz w:val="16"/>
                <w:szCs w:val="16"/>
              </w:rPr>
              <w:t>2%</w:t>
            </w:r>
            <w:r>
              <w:rPr>
                <w:color w:val="000000"/>
                <w:spacing w:val="0"/>
                <w:w w:val="100"/>
                <w:position w:val="0"/>
                <w:sz w:val="16"/>
                <w:szCs w:val="16"/>
              </w:rPr>
              <w:t>孰 低者</w:t>
            </w:r>
            <w:r>
              <w:rPr>
                <w:color w:val="000000"/>
                <w:spacing w:val="0"/>
                <w:w w:val="100"/>
                <w:position w:val="0"/>
                <w:sz w:val="16"/>
                <w:szCs w:val="16"/>
              </w:rPr>
              <w:t>W</w:t>
            </w:r>
            <w:r>
              <w:rPr>
                <w:color w:val="000000"/>
                <w:spacing w:val="0"/>
                <w:w w:val="100"/>
                <w:position w:val="0"/>
                <w:sz w:val="16"/>
                <w:szCs w:val="16"/>
              </w:rPr>
              <w:t>直接财 产损失金额＜ 营业收入总额 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6"/>
                <w:szCs w:val="16"/>
              </w:rPr>
              <w:t>与资产 总额的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6"/>
                <w:szCs w:val="16"/>
              </w:rPr>
              <w:t>孰 低者</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或受到国家 政府部门处 罚但未对公 司造成负面 影响</w:t>
            </w:r>
          </w:p>
        </w:tc>
        <w:tc>
          <w:tcPr>
            <w:vMerge/>
            <w:tcBorders>
              <w:left w:val="single" w:sz="4"/>
              <w:right w:val="single" w:sz="4"/>
            </w:tcBorders>
            <w:shd w:val="clear" w:color="auto" w:fill="FFFFFF"/>
            <w:vAlign w:val="top"/>
          </w:tcPr>
          <w:p>
            <w:pP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营业收入总额的</w:t>
            </w:r>
            <w:r>
              <w:rPr>
                <w:color w:val="000000"/>
                <w:spacing w:val="0"/>
                <w:w w:val="100"/>
                <w:position w:val="0"/>
                <w:sz w:val="16"/>
                <w:szCs w:val="16"/>
              </w:rPr>
              <w:t xml:space="preserve">0. </w:t>
            </w:r>
            <w:r>
              <w:rPr>
                <w:color w:val="000000"/>
                <w:spacing w:val="0"/>
                <w:w w:val="100"/>
                <w:position w:val="0"/>
                <w:sz w:val="16"/>
                <w:szCs w:val="16"/>
              </w:rPr>
              <w:t xml:space="preserve">2%^ </w:t>
            </w:r>
            <w:r>
              <w:rPr>
                <w:color w:val="000000"/>
                <w:spacing w:val="0"/>
                <w:w w:val="100"/>
                <w:position w:val="0"/>
                <w:sz w:val="16"/>
                <w:szCs w:val="16"/>
              </w:rPr>
              <w:t xml:space="preserve">错报〈营业收入总额的 </w:t>
            </w:r>
            <w:r>
              <w:rPr>
                <w:color w:val="000000"/>
                <w:spacing w:val="0"/>
                <w:w w:val="100"/>
                <w:position w:val="0"/>
                <w:sz w:val="16"/>
                <w:szCs w:val="16"/>
              </w:rPr>
              <w:t xml:space="preserve">0. </w:t>
            </w:r>
            <w:r>
              <w:rPr>
                <w:color w:val="000000"/>
                <w:spacing w:val="0"/>
                <w:w w:val="100"/>
                <w:position w:val="0"/>
                <w:sz w:val="16"/>
                <w:szCs w:val="16"/>
              </w:rPr>
              <w:t>5%</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资产总额的</w:t>
            </w:r>
            <w:r>
              <w:rPr>
                <w:color w:val="000000"/>
                <w:spacing w:val="0"/>
                <w:w w:val="100"/>
                <w:position w:val="0"/>
                <w:sz w:val="16"/>
                <w:szCs w:val="16"/>
              </w:rPr>
              <w:t>0.2%W</w:t>
            </w:r>
            <w:r>
              <w:rPr>
                <w:color w:val="000000"/>
                <w:spacing w:val="0"/>
                <w:w w:val="100"/>
                <w:position w:val="0"/>
                <w:sz w:val="16"/>
                <w:szCs w:val="16"/>
              </w:rPr>
              <w:t>错 报〈资产总额的</w:t>
            </w:r>
            <w:r>
              <w:rPr>
                <w:color w:val="000000"/>
                <w:spacing w:val="0"/>
                <w:w w:val="100"/>
                <w:position w:val="0"/>
                <w:sz w:val="16"/>
                <w:szCs w:val="16"/>
              </w:rPr>
              <w:t xml:space="preserve">0. </w:t>
            </w:r>
            <w:r>
              <w:rPr>
                <w:color w:val="000000"/>
                <w:spacing w:val="0"/>
                <w:w w:val="100"/>
                <w:position w:val="0"/>
                <w:sz w:val="16"/>
                <w:szCs w:val="16"/>
              </w:rPr>
              <w:t>5%</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缺陷类别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一般缺陷</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51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错报〈营业收入总额的</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2%</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140" w:right="0" w:firstLine="0"/>
              <w:jc w:val="left"/>
              <w:rPr>
                <w:sz w:val="16"/>
                <w:szCs w:val="16"/>
              </w:rPr>
            </w:pPr>
            <w:r>
              <w:rPr>
                <w:color w:val="000000"/>
                <w:spacing w:val="0"/>
                <w:w w:val="100"/>
                <w:position w:val="0"/>
                <w:sz w:val="16"/>
                <w:szCs w:val="16"/>
              </w:rPr>
              <w:t>一般 缺陷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3" w:lineRule="exact"/>
              <w:ind w:left="0" w:right="0" w:firstLine="0"/>
              <w:jc w:val="left"/>
              <w:rPr>
                <w:sz w:val="16"/>
                <w:szCs w:val="16"/>
              </w:rPr>
            </w:pPr>
            <w:r>
              <w:rPr>
                <w:color w:val="000000"/>
                <w:spacing w:val="0"/>
                <w:w w:val="100"/>
                <w:position w:val="0"/>
                <w:sz w:val="16"/>
                <w:szCs w:val="16"/>
              </w:rPr>
              <w:t>直接财产损失 金额〈营业收 入总额的</w:t>
            </w:r>
            <w:r>
              <w:rPr>
                <w:color w:val="000000"/>
                <w:spacing w:val="0"/>
                <w:w w:val="100"/>
                <w:position w:val="0"/>
                <w:sz w:val="16"/>
                <w:szCs w:val="16"/>
              </w:rPr>
              <w:t xml:space="preserve">0. </w:t>
            </w:r>
            <w:r>
              <w:rPr>
                <w:color w:val="000000"/>
                <w:spacing w:val="0"/>
                <w:w w:val="100"/>
                <w:position w:val="0"/>
                <w:sz w:val="16"/>
                <w:szCs w:val="16"/>
              </w:rPr>
              <w:t xml:space="preserve">2% </w:t>
            </w:r>
            <w:r>
              <w:rPr>
                <w:color w:val="000000"/>
                <w:spacing w:val="0"/>
                <w:w w:val="100"/>
                <w:position w:val="0"/>
                <w:sz w:val="16"/>
                <w:szCs w:val="16"/>
              </w:rPr>
              <w:t xml:space="preserve">与资产总额的 </w:t>
            </w:r>
            <w:r>
              <w:rPr>
                <w:color w:val="000000"/>
                <w:spacing w:val="0"/>
                <w:w w:val="100"/>
                <w:position w:val="0"/>
                <w:sz w:val="16"/>
                <w:szCs w:val="16"/>
              </w:rPr>
              <w:t xml:space="preserve">0. </w:t>
            </w:r>
            <w:r>
              <w:rPr>
                <w:color w:val="000000"/>
                <w:spacing w:val="0"/>
                <w:w w:val="100"/>
                <w:position w:val="0"/>
                <w:sz w:val="16"/>
                <w:szCs w:val="16"/>
              </w:rPr>
              <w:t>2%</w:t>
            </w:r>
            <w:r>
              <w:rPr>
                <w:color w:val="000000"/>
                <w:spacing w:val="0"/>
                <w:w w:val="100"/>
                <w:position w:val="0"/>
                <w:sz w:val="16"/>
                <w:szCs w:val="16"/>
              </w:rPr>
              <w:t>的孰低者</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07" w:lineRule="exact"/>
              <w:ind w:left="0" w:right="0" w:firstLine="0"/>
              <w:jc w:val="left"/>
              <w:rPr>
                <w:sz w:val="16"/>
                <w:szCs w:val="16"/>
              </w:rPr>
            </w:pPr>
            <w:r>
              <w:rPr>
                <w:color w:val="000000"/>
                <w:spacing w:val="0"/>
                <w:w w:val="100"/>
                <w:position w:val="0"/>
                <w:sz w:val="16"/>
                <w:szCs w:val="16"/>
              </w:rPr>
              <w:t>受到省级（含 省级）以下政 府部门处罚 但未对公司 造成负面影 响</w:t>
            </w:r>
          </w:p>
        </w:tc>
        <w:tc>
          <w:tcPr>
            <w:vMerge/>
            <w:tcBorders>
              <w:left w:val="single" w:sz="4"/>
              <w:right w:val="single" w:sz="4"/>
            </w:tcBorders>
            <w:shd w:val="clear" w:color="auto" w:fill="FFFFFF"/>
            <w:vAlign w:val="top"/>
          </w:tcPr>
          <w:p>
            <w:pP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错报〈资产总额的</w:t>
            </w:r>
            <w:r>
              <w:rPr>
                <w:color w:val="000000"/>
                <w:spacing w:val="0"/>
                <w:w w:val="100"/>
                <w:position w:val="0"/>
                <w:sz w:val="16"/>
                <w:szCs w:val="16"/>
              </w:rPr>
              <w:t xml:space="preserve">0. </w:t>
            </w:r>
            <w:r>
              <w:rPr>
                <w:color w:val="000000"/>
                <w:spacing w:val="0"/>
                <w:w w:val="100"/>
                <w:position w:val="0"/>
                <w:sz w:val="16"/>
                <w:szCs w:val="16"/>
              </w:rPr>
              <w:t>2%</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2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8"/>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35"/>
        <w:keepNext/>
        <w:keepLines/>
        <w:widowControl w:val="0"/>
        <w:shd w:val="clear" w:color="auto" w:fill="auto"/>
        <w:bidi w:val="0"/>
        <w:spacing w:before="0" w:after="280" w:line="240" w:lineRule="auto"/>
        <w:ind w:left="0" w:right="0" w:firstLine="0"/>
        <w:jc w:val="left"/>
      </w:pPr>
      <w:bookmarkStart w:id="657" w:name="bookmark657"/>
      <w:bookmarkStart w:id="658" w:name="bookmark658"/>
      <w:bookmarkStart w:id="659" w:name="bookmark659"/>
      <w:r>
        <w:rPr>
          <w:color w:val="000000"/>
          <w:spacing w:val="0"/>
          <w:w w:val="100"/>
          <w:position w:val="0"/>
          <w:sz w:val="24"/>
          <w:szCs w:val="24"/>
        </w:rPr>
        <w:t>十、内部控制审计报告</w:t>
      </w:r>
      <w:bookmarkEnd w:id="657"/>
      <w:bookmarkEnd w:id="658"/>
      <w:bookmarkEnd w:id="659"/>
    </w:p>
    <w:p>
      <w:pPr>
        <w:pStyle w:val="Style37"/>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14" w:lineRule="exact"/>
        <w:ind w:left="0" w:right="0" w:firstLine="0"/>
        <w:jc w:val="center"/>
      </w:pPr>
      <w:r>
        <w:rPr>
          <w:color w:val="000000"/>
          <w:spacing w:val="0"/>
          <w:w w:val="100"/>
          <w:position w:val="0"/>
        </w:rPr>
        <w:t>内部控制审计报告中的审议意见段</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0"/>
        <w:jc w:val="left"/>
      </w:pPr>
      <w:r>
        <w:rPr>
          <w:color w:val="000000"/>
          <w:spacing w:val="0"/>
          <w:w w:val="100"/>
          <w:position w:val="0"/>
        </w:rPr>
        <w:t>按照《企业内部控制审计指引》及中国注册会计师执业准则的相关要求，信永中和会计师事务所（特殊普通合伙）（以下 简称"信永中和”）对公司截止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日的财务报告内部控制的有效性进行了审计，出具了信永中和 </w:t>
      </w:r>
      <w:r>
        <w:rPr>
          <w:rFonts w:ascii="Times New Roman" w:eastAsia="Times New Roman" w:hAnsi="Times New Roman" w:cs="Times New Roman"/>
          <w:color w:val="000000"/>
          <w:spacing w:val="0"/>
          <w:w w:val="100"/>
          <w:position w:val="0"/>
        </w:rPr>
        <w:t>XYZH/2021BJAA10618</w:t>
      </w:r>
      <w:r>
        <w:rPr>
          <w:color w:val="000000"/>
          <w:spacing w:val="0"/>
          <w:w w:val="100"/>
          <w:position w:val="0"/>
        </w:rPr>
        <w:t>《内部控制审计报告》，并发表如下意见：</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22" w:lineRule="exact"/>
        <w:ind w:left="0" w:right="0" w:firstLine="0"/>
        <w:jc w:val="left"/>
      </w:pPr>
      <w:r>
        <w:rPr>
          <w:color w:val="000000"/>
          <w:spacing w:val="0"/>
          <w:w w:val="100"/>
          <w:position w:val="0"/>
        </w:rPr>
        <w:t>信永中和认为，神州数码信息服务股份有限公司于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 重大方面保持了有效的财务报告内部控制。</w:t>
      </w:r>
      <w:r>
        <w:br w:type="page"/>
      </w:r>
    </w:p>
    <w:tbl>
      <w:tblPr>
        <w:tblOverlap w:val="never"/>
        <w:jc w:val="center"/>
        <w:tblLayout w:type="fixed"/>
      </w:tblPr>
      <w:tblGrid>
        <w:gridCol w:w="2664"/>
        <w:gridCol w:w="6917"/>
      </w:tblGrid>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:内部控制审计报告</w:t>
            </w: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7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会计师事务所是否出具非标准意见的内部控制审计报告</w:t>
      </w:r>
    </w:p>
    <w:p>
      <w:pPr>
        <w:pStyle w:val="Style37"/>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0" w:line="336" w:lineRule="exact"/>
        <w:ind w:left="0" w:right="0" w:firstLine="0"/>
        <w:jc w:val="left"/>
        <w:sectPr>
          <w:footnotePr>
            <w:pos w:val="pageBottom"/>
            <w:numFmt w:val="upperRoman"/>
            <w:numStart w:val="1"/>
            <w:numRestart w:val="continuous"/>
            <w15:footnoteColumns w:val="1"/>
          </w:footnotePr>
          <w:pgSz w:w="11900" w:h="16840"/>
          <w:pgMar w:top="1361" w:right="1062" w:bottom="1467" w:left="1060"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8"/>
        <w:keepNext/>
        <w:keepLines/>
        <w:widowControl w:val="0"/>
        <w:shd w:val="clear" w:color="auto" w:fill="auto"/>
        <w:bidi w:val="0"/>
        <w:spacing w:before="0" w:after="580" w:line="240" w:lineRule="auto"/>
        <w:ind w:left="0" w:right="0" w:firstLine="0"/>
        <w:jc w:val="center"/>
      </w:pPr>
      <w:bookmarkStart w:id="660" w:name="bookmark660"/>
      <w:bookmarkStart w:id="661" w:name="bookmark661"/>
      <w:bookmarkStart w:id="662" w:name="bookmark662"/>
      <w:r>
        <w:rPr>
          <w:color w:val="000000"/>
          <w:spacing w:val="0"/>
          <w:w w:val="100"/>
          <w:position w:val="0"/>
        </w:rPr>
        <w:t>第十一节公司债券相关情况</w:t>
      </w:r>
      <w:bookmarkEnd w:id="660"/>
      <w:bookmarkEnd w:id="661"/>
      <w:bookmarkEnd w:id="662"/>
    </w:p>
    <w:p>
      <w:pPr>
        <w:pStyle w:val="Style37"/>
        <w:keepNext w:val="0"/>
        <w:keepLines w:val="0"/>
        <w:widowControl w:val="0"/>
        <w:shd w:val="clear" w:color="auto" w:fill="auto"/>
        <w:bidi w:val="0"/>
        <w:spacing w:before="0" w:after="140" w:line="240" w:lineRule="auto"/>
        <w:ind w:left="0" w:right="0" w:firstLine="0"/>
        <w:jc w:val="left"/>
      </w:pPr>
      <w:bookmarkStart w:id="663" w:name="bookmark663"/>
      <w:r>
        <w:rPr>
          <w:color w:val="000000"/>
          <w:spacing w:val="0"/>
          <w:w w:val="100"/>
          <w:position w:val="0"/>
        </w:rPr>
        <w:t>公司是否存在公开发行并在证券交易所上市，且在年度报告批准报出日未到期或到期未能全额兑付的公司债券</w:t>
      </w:r>
      <w:bookmarkEnd w:id="663"/>
    </w:p>
    <w:p>
      <w:pPr>
        <w:pStyle w:val="Style37"/>
        <w:keepNext w:val="0"/>
        <w:keepLines w:val="0"/>
        <w:widowControl w:val="0"/>
        <w:shd w:val="clear" w:color="auto" w:fill="auto"/>
        <w:bidi w:val="0"/>
        <w:spacing w:before="0" w:after="360" w:line="240" w:lineRule="auto"/>
        <w:ind w:left="0" w:right="0" w:firstLine="0"/>
        <w:jc w:val="left"/>
        <w:sectPr>
          <w:footnotePr>
            <w:pos w:val="pageBottom"/>
            <w:numFmt w:val="upperRoman"/>
            <w:numStart w:val="1"/>
            <w:numRestart w:val="continuous"/>
            <w15:footnoteColumns w:val="1"/>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620" w:after="540" w:line="240" w:lineRule="auto"/>
        <w:ind w:left="0" w:right="0" w:firstLine="0"/>
        <w:jc w:val="center"/>
      </w:pPr>
      <w:bookmarkStart w:id="664" w:name="bookmark664"/>
      <w:bookmarkStart w:id="665" w:name="bookmark665"/>
      <w:bookmarkStart w:id="666" w:name="bookmark666"/>
      <w:r>
        <w:rPr>
          <w:color w:val="000000"/>
          <w:spacing w:val="0"/>
          <w:w w:val="100"/>
          <w:position w:val="0"/>
        </w:rPr>
        <w:t>第十二节财务报告</w:t>
      </w:r>
      <w:bookmarkEnd w:id="664"/>
      <w:bookmarkEnd w:id="665"/>
      <w:bookmarkEnd w:id="666"/>
    </w:p>
    <w:p>
      <w:pPr>
        <w:pStyle w:val="Style35"/>
        <w:keepNext/>
        <w:keepLines/>
        <w:widowControl w:val="0"/>
        <w:shd w:val="clear" w:color="auto" w:fill="auto"/>
        <w:bidi w:val="0"/>
        <w:spacing w:before="0" w:after="300" w:line="240" w:lineRule="auto"/>
        <w:ind w:left="0" w:right="0" w:firstLine="260"/>
        <w:jc w:val="left"/>
      </w:pPr>
      <w:bookmarkStart w:id="667" w:name="bookmark667"/>
      <w:bookmarkStart w:id="668" w:name="bookmark668"/>
      <w:bookmarkStart w:id="669" w:name="bookmark669"/>
      <w:bookmarkStart w:id="670" w:name="bookmark670"/>
      <w:r>
        <w:rPr>
          <w:color w:val="000000"/>
          <w:spacing w:val="0"/>
          <w:w w:val="100"/>
          <w:position w:val="0"/>
          <w:sz w:val="24"/>
          <w:szCs w:val="24"/>
        </w:rPr>
        <w:t>、审计报告</w:t>
      </w:r>
      <w:bookmarkEnd w:id="668"/>
      <w:bookmarkEnd w:id="669"/>
      <w:bookmarkEnd w:id="670"/>
      <w:bookmarkEnd w:id="66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XYZH/2021BJAA10617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widowControl w:val="0"/>
        <w:spacing w:after="399" w:line="1" w:lineRule="exact"/>
      </w:pPr>
    </w:p>
    <w:p>
      <w:pPr>
        <w:pStyle w:val="Style41"/>
        <w:keepNext/>
        <w:keepLines/>
        <w:widowControl w:val="0"/>
        <w:shd w:val="clear" w:color="auto" w:fill="auto"/>
        <w:bidi w:val="0"/>
        <w:spacing w:before="0" w:after="480" w:line="240" w:lineRule="auto"/>
        <w:ind w:left="0" w:right="0" w:firstLine="0"/>
        <w:jc w:val="center"/>
        <w:rPr>
          <w:sz w:val="22"/>
          <w:szCs w:val="22"/>
        </w:rPr>
      </w:pPr>
      <w:bookmarkStart w:id="671" w:name="bookmark671"/>
      <w:bookmarkStart w:id="672" w:name="bookmark672"/>
      <w:bookmarkStart w:id="673" w:name="bookmark673"/>
      <w:r>
        <w:rPr>
          <w:color w:val="000000"/>
          <w:spacing w:val="0"/>
          <w:w w:val="100"/>
          <w:position w:val="0"/>
          <w:sz w:val="22"/>
          <w:szCs w:val="22"/>
        </w:rPr>
        <w:t>审计报告正文</w:t>
      </w:r>
      <w:bookmarkEnd w:id="671"/>
      <w:bookmarkEnd w:id="672"/>
      <w:bookmarkEnd w:id="673"/>
    </w:p>
    <w:p>
      <w:pPr>
        <w:pStyle w:val="Style41"/>
        <w:keepNext/>
        <w:keepLines/>
        <w:widowControl w:val="0"/>
        <w:shd w:val="clear" w:color="auto" w:fill="auto"/>
        <w:bidi w:val="0"/>
        <w:spacing w:before="0" w:after="220" w:line="240" w:lineRule="auto"/>
        <w:ind w:left="0" w:right="0" w:firstLine="0"/>
        <w:jc w:val="left"/>
        <w:rPr>
          <w:sz w:val="22"/>
          <w:szCs w:val="22"/>
        </w:rPr>
      </w:pPr>
      <w:bookmarkStart w:id="671" w:name="bookmark671"/>
      <w:bookmarkStart w:id="672" w:name="bookmark672"/>
      <w:bookmarkStart w:id="674" w:name="bookmark674"/>
      <w:r>
        <w:rPr>
          <w:color w:val="000000"/>
          <w:spacing w:val="0"/>
          <w:w w:val="100"/>
          <w:position w:val="0"/>
          <w:sz w:val="22"/>
          <w:szCs w:val="22"/>
        </w:rPr>
        <w:t>神州数码信息服务股份有限公司全体股东：</w:t>
      </w:r>
      <w:bookmarkEnd w:id="671"/>
      <w:bookmarkEnd w:id="672"/>
      <w:bookmarkEnd w:id="674"/>
    </w:p>
    <w:p>
      <w:pPr>
        <w:pStyle w:val="Style41"/>
        <w:keepNext/>
        <w:keepLines/>
        <w:widowControl w:val="0"/>
        <w:shd w:val="clear" w:color="auto" w:fill="auto"/>
        <w:tabs>
          <w:tab w:pos="488" w:val="left"/>
        </w:tabs>
        <w:bidi w:val="0"/>
        <w:spacing w:before="0" w:after="0" w:line="240" w:lineRule="auto"/>
        <w:ind w:left="0" w:right="0" w:firstLine="0"/>
        <w:jc w:val="left"/>
        <w:rPr>
          <w:sz w:val="22"/>
          <w:szCs w:val="22"/>
        </w:rPr>
      </w:pPr>
      <w:bookmarkStart w:id="671" w:name="bookmark671"/>
      <w:bookmarkStart w:id="672" w:name="bookmark672"/>
      <w:bookmarkStart w:id="675" w:name="bookmark675"/>
      <w:bookmarkStart w:id="676" w:name="bookmark676"/>
      <w:r>
        <w:rPr>
          <w:color w:val="000000"/>
          <w:spacing w:val="0"/>
          <w:w w:val="100"/>
          <w:position w:val="0"/>
          <w:sz w:val="22"/>
          <w:szCs w:val="22"/>
        </w:rPr>
        <w:t>一</w:t>
      </w:r>
      <w:bookmarkEnd w:id="675"/>
      <w:r>
        <w:rPr>
          <w:color w:val="000000"/>
          <w:spacing w:val="0"/>
          <w:w w:val="100"/>
          <w:position w:val="0"/>
          <w:sz w:val="22"/>
          <w:szCs w:val="22"/>
        </w:rPr>
        <w:t>、</w:t>
        <w:tab/>
        <w:t>审计意见</w:t>
      </w:r>
      <w:bookmarkEnd w:id="671"/>
      <w:bookmarkEnd w:id="672"/>
      <w:bookmarkEnd w:id="676"/>
    </w:p>
    <w:p>
      <w:pPr>
        <w:pStyle w:val="Style37"/>
        <w:keepNext w:val="0"/>
        <w:keepLines w:val="0"/>
        <w:widowControl w:val="0"/>
        <w:shd w:val="clear" w:color="auto" w:fill="auto"/>
        <w:bidi w:val="0"/>
        <w:spacing w:before="0" w:after="0" w:line="456" w:lineRule="exact"/>
        <w:ind w:left="0" w:right="0" w:firstLine="380"/>
        <w:jc w:val="left"/>
      </w:pPr>
      <w:r>
        <w:rPr>
          <w:color w:val="000000"/>
          <w:spacing w:val="0"/>
          <w:w w:val="100"/>
          <w:position w:val="0"/>
        </w:rPr>
        <w:t>我们审计了神州数码信息服务股份有限公司（以下简称神州信息）财务报表，包括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年度的合并及母公司利润表、合并及母公司现金流量表、合并及母公司股东权益变动表以及相关财务报表附注。</w:t>
      </w:r>
    </w:p>
    <w:p>
      <w:pPr>
        <w:pStyle w:val="Style37"/>
        <w:keepNext w:val="0"/>
        <w:keepLines w:val="0"/>
        <w:widowControl w:val="0"/>
        <w:shd w:val="clear" w:color="auto" w:fill="auto"/>
        <w:bidi w:val="0"/>
        <w:spacing w:before="0" w:after="220" w:line="456" w:lineRule="exact"/>
        <w:ind w:left="0" w:right="0" w:firstLine="380"/>
        <w:jc w:val="left"/>
      </w:pPr>
      <w:r>
        <w:rPr>
          <w:color w:val="000000"/>
          <w:spacing w:val="0"/>
          <w:w w:val="100"/>
          <w:position w:val="0"/>
        </w:rPr>
        <w:t>我们认为，后附的财务报表在所有重大方面按照企业会计准则的规定编制，公允反映了神州信息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41"/>
        <w:keepNext/>
        <w:keepLines/>
        <w:widowControl w:val="0"/>
        <w:shd w:val="clear" w:color="auto" w:fill="auto"/>
        <w:tabs>
          <w:tab w:pos="488" w:val="left"/>
        </w:tabs>
        <w:bidi w:val="0"/>
        <w:spacing w:before="0" w:after="0" w:line="240" w:lineRule="auto"/>
        <w:ind w:left="0" w:right="0" w:firstLine="0"/>
        <w:jc w:val="left"/>
        <w:rPr>
          <w:sz w:val="22"/>
          <w:szCs w:val="22"/>
        </w:rPr>
      </w:pPr>
      <w:bookmarkStart w:id="677" w:name="bookmark677"/>
      <w:bookmarkStart w:id="678" w:name="bookmark678"/>
      <w:bookmarkStart w:id="679" w:name="bookmark679"/>
      <w:bookmarkStart w:id="680" w:name="bookmark680"/>
      <w:r>
        <w:rPr>
          <w:color w:val="000000"/>
          <w:spacing w:val="0"/>
          <w:w w:val="100"/>
          <w:position w:val="0"/>
          <w:sz w:val="22"/>
          <w:szCs w:val="22"/>
        </w:rPr>
        <w:t>二</w:t>
      </w:r>
      <w:bookmarkEnd w:id="679"/>
      <w:r>
        <w:rPr>
          <w:color w:val="000000"/>
          <w:spacing w:val="0"/>
          <w:w w:val="100"/>
          <w:position w:val="0"/>
          <w:sz w:val="22"/>
          <w:szCs w:val="22"/>
        </w:rPr>
        <w:t>、</w:t>
        <w:tab/>
        <w:t>形成审计意见的基础</w:t>
      </w:r>
      <w:bookmarkEnd w:id="677"/>
      <w:bookmarkEnd w:id="678"/>
      <w:bookmarkEnd w:id="680"/>
    </w:p>
    <w:p>
      <w:pPr>
        <w:pStyle w:val="Style37"/>
        <w:keepNext w:val="0"/>
        <w:keepLines w:val="0"/>
        <w:widowControl w:val="0"/>
        <w:shd w:val="clear" w:color="auto" w:fill="auto"/>
        <w:bidi w:val="0"/>
        <w:spacing w:before="0" w:after="220" w:line="468"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阐述了我们在这些准则下的责任。按照中国注册会计师职业道德守则，我们独立于神州信息，并履行了职业道德方面的其他 责任。我们相信，我们获取的审计证据是充分、适当的，为发表审计意见提供了基础。</w:t>
      </w:r>
    </w:p>
    <w:p>
      <w:pPr>
        <w:pStyle w:val="Style41"/>
        <w:keepNext/>
        <w:keepLines/>
        <w:widowControl w:val="0"/>
        <w:shd w:val="clear" w:color="auto" w:fill="auto"/>
        <w:tabs>
          <w:tab w:pos="493" w:val="left"/>
        </w:tabs>
        <w:bidi w:val="0"/>
        <w:spacing w:before="0" w:after="0" w:line="240" w:lineRule="auto"/>
        <w:ind w:left="0" w:right="0" w:firstLine="0"/>
        <w:jc w:val="both"/>
        <w:rPr>
          <w:sz w:val="22"/>
          <w:szCs w:val="22"/>
        </w:rPr>
      </w:pPr>
      <w:bookmarkStart w:id="681" w:name="bookmark681"/>
      <w:bookmarkStart w:id="682" w:name="bookmark682"/>
      <w:bookmarkStart w:id="683" w:name="bookmark683"/>
      <w:bookmarkStart w:id="684" w:name="bookmark684"/>
      <w:r>
        <w:rPr>
          <w:color w:val="000000"/>
          <w:spacing w:val="0"/>
          <w:w w:val="100"/>
          <w:position w:val="0"/>
          <w:sz w:val="22"/>
          <w:szCs w:val="22"/>
        </w:rPr>
        <w:t>三</w:t>
      </w:r>
      <w:bookmarkEnd w:id="683"/>
      <w:r>
        <w:rPr>
          <w:color w:val="000000"/>
          <w:spacing w:val="0"/>
          <w:w w:val="100"/>
          <w:position w:val="0"/>
          <w:sz w:val="22"/>
          <w:szCs w:val="22"/>
        </w:rPr>
        <w:t>、</w:t>
        <w:tab/>
        <w:t>关键审计事项</w:t>
      </w:r>
      <w:bookmarkEnd w:id="681"/>
      <w:bookmarkEnd w:id="682"/>
      <w:bookmarkEnd w:id="684"/>
    </w:p>
    <w:p>
      <w:pPr>
        <w:pStyle w:val="Style37"/>
        <w:keepNext w:val="0"/>
        <w:keepLines w:val="0"/>
        <w:widowControl w:val="0"/>
        <w:shd w:val="clear" w:color="auto" w:fill="auto"/>
        <w:bidi w:val="0"/>
        <w:spacing w:before="0" w:after="120" w:line="475"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left"/>
        <w:tblLayout w:type="fixed"/>
      </w:tblPr>
      <w:tblGrid>
        <w:gridCol w:w="4392"/>
        <w:gridCol w:w="4133"/>
      </w:tblGrid>
      <w:tr>
        <w:trPr>
          <w:trHeight w:val="355"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营业收入的确认事项</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19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神州信息营业收入主要包括系统集成收入、软件开发及 技术服务收入，如附注七、</w:t>
            </w:r>
            <w:r>
              <w:rPr>
                <w:rFonts w:ascii="Times New Roman" w:eastAsia="Times New Roman" w:hAnsi="Times New Roman" w:cs="Times New Roman"/>
                <w:color w:val="000000"/>
                <w:spacing w:val="0"/>
                <w:w w:val="100"/>
                <w:position w:val="0"/>
              </w:rPr>
              <w:t>37</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 为</w:t>
            </w:r>
            <w:r>
              <w:rPr>
                <w:rFonts w:ascii="Times New Roman" w:eastAsia="Times New Roman" w:hAnsi="Times New Roman" w:cs="Times New Roman"/>
                <w:color w:val="000000"/>
                <w:spacing w:val="0"/>
                <w:w w:val="100"/>
                <w:position w:val="0"/>
              </w:rPr>
              <w:t>1,068,597.68</w:t>
            </w:r>
            <w:r>
              <w:rPr>
                <w:color w:val="000000"/>
                <w:spacing w:val="0"/>
                <w:w w:val="100"/>
                <w:position w:val="0"/>
              </w:rPr>
              <w:t>万元，金额重大且为关键业绩指标，根据 附注五、</w:t>
            </w:r>
            <w:r>
              <w:rPr>
                <w:rFonts w:ascii="Times New Roman" w:eastAsia="Times New Roman" w:hAnsi="Times New Roman" w:cs="Times New Roman"/>
                <w:color w:val="000000"/>
                <w:spacing w:val="0"/>
                <w:w w:val="100"/>
                <w:position w:val="0"/>
              </w:rPr>
              <w:t>28</w:t>
            </w:r>
            <w:r>
              <w:rPr>
                <w:color w:val="000000"/>
                <w:spacing w:val="0"/>
                <w:w w:val="100"/>
                <w:position w:val="0"/>
              </w:rPr>
              <w:t>所述的会计政策，可能存在收入确认的相关 风险。因此，我们将营业收入的确认作为关键审计事项。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对销售与收款循环内部控制进行了解，测试和 评价与收入确认相关的内部控制的设计及执行有效 性。</w:t>
            </w:r>
          </w:p>
          <w:p>
            <w:pPr>
              <w:pStyle w:val="Style29"/>
              <w:keepNext w:val="0"/>
              <w:keepLines w:val="0"/>
              <w:widowControl w:val="0"/>
              <w:shd w:val="clear" w:color="auto" w:fill="auto"/>
              <w:tabs>
                <w:tab w:pos="46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了解收入确认政策，检查主要客户合同条款， 并分析评价实际执行的收入确认政策及确认方法是 否适当。</w:t>
            </w:r>
          </w:p>
        </w:tc>
      </w:tr>
    </w:tbl>
    <w:p>
      <w:pPr>
        <w:widowControl w:val="0"/>
        <w:spacing w:line="1" w:lineRule="exact"/>
      </w:pPr>
      <w:r>
        <w:br w:type="page"/>
      </w:r>
    </w:p>
    <w:tbl>
      <w:tblPr>
        <w:tblOverlap w:val="never"/>
        <w:jc w:val="left"/>
        <w:tblLayout w:type="fixed"/>
      </w:tblPr>
      <w:tblGrid>
        <w:gridCol w:w="4392"/>
        <w:gridCol w:w="4133"/>
      </w:tblGrid>
      <w:tr>
        <w:trPr>
          <w:trHeight w:val="59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451"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对于系统集成业务，抽样检查合同、合同分析 报告、签收单或验收单等与收入确认相关的文件。</w:t>
            </w:r>
          </w:p>
          <w:p>
            <w:pPr>
              <w:pStyle w:val="Style29"/>
              <w:keepNext w:val="0"/>
              <w:keepLines w:val="0"/>
              <w:widowControl w:val="0"/>
              <w:shd w:val="clear" w:color="auto" w:fill="auto"/>
              <w:tabs>
                <w:tab w:pos="45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对于软件开发及技术服务业务，根据合同判断 划分为按一段时间确认收入或按时点确认收入的准 确性。按一段时间确认收入的，抽样检查合同、合同 分析报告，并复核投入法下实际成本的准确性及预计 总成本的合理性，获取外部阶段证明或工作量确认 单，将外部阶段证明或工作量确认单中的项目进展情 况与管理层按投入法确定的完工进度进行对比分析； 按时点确认收入的，抽样检查合同、验收报告等与收 入确认相关的文件。</w:t>
            </w:r>
          </w:p>
          <w:p>
            <w:pPr>
              <w:pStyle w:val="Style29"/>
              <w:keepNext w:val="0"/>
              <w:keepLines w:val="0"/>
              <w:widowControl w:val="0"/>
              <w:shd w:val="clear" w:color="auto" w:fill="auto"/>
              <w:tabs>
                <w:tab w:pos="461"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执行收入截止测试，检查关键审计证据。对于 系统集成业务，抽查资产负债表日前后若干笔会计记 录和出库记录，与该笔销售相关的合同及签收单或验 收单做交叉核对，以确认收入计入正确的会计期间； 对于软件开发及技术服务业务，抽查资产负债表日前 后若干笔会计记录，对收入进行重新计算或检查验收 报告等，以确认收入计入正确的会计期间。</w:t>
            </w:r>
          </w:p>
        </w:tc>
      </w:tr>
      <w:tr>
        <w:trPr>
          <w:trHeight w:val="346"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应收账款坏账准备事项</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50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如附注七、</w:t>
            </w:r>
            <w:r>
              <w:rPr>
                <w:rFonts w:ascii="Times New Roman" w:eastAsia="Times New Roman" w:hAnsi="Times New Roman" w:cs="Times New Roman"/>
                <w:color w:val="000000"/>
                <w:spacing w:val="0"/>
                <w:w w:val="100"/>
                <w:position w:val="0"/>
              </w:rPr>
              <w:t>4</w:t>
            </w:r>
            <w:r>
              <w:rPr>
                <w:color w:val="000000"/>
                <w:spacing w:val="0"/>
                <w:w w:val="100"/>
                <w:position w:val="0"/>
              </w:rPr>
              <w:t>所述，应收账款于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日的账面价 值为人民币</w:t>
            </w:r>
            <w:r>
              <w:rPr>
                <w:rFonts w:ascii="Times New Roman" w:eastAsia="Times New Roman" w:hAnsi="Times New Roman" w:cs="Times New Roman"/>
                <w:color w:val="000000"/>
                <w:spacing w:val="0"/>
                <w:w w:val="100"/>
                <w:position w:val="0"/>
              </w:rPr>
              <w:t>194,682.93</w:t>
            </w:r>
            <w:r>
              <w:rPr>
                <w:color w:val="000000"/>
                <w:spacing w:val="0"/>
                <w:w w:val="100"/>
                <w:position w:val="0"/>
              </w:rPr>
              <w:t xml:space="preserve">万元，占合并财务报表资产总额的 </w:t>
            </w:r>
            <w:r>
              <w:rPr>
                <w:rFonts w:ascii="Times New Roman" w:eastAsia="Times New Roman" w:hAnsi="Times New Roman" w:cs="Times New Roman"/>
                <w:color w:val="000000"/>
                <w:spacing w:val="0"/>
                <w:w w:val="100"/>
                <w:position w:val="0"/>
              </w:rPr>
              <w:t>16.15%</w:t>
            </w:r>
            <w:r>
              <w:rPr>
                <w:color w:val="000000"/>
                <w:spacing w:val="0"/>
                <w:w w:val="100"/>
                <w:position w:val="0"/>
              </w:rPr>
              <w:t>。管理层依据账期、账龄及业务类型等信用风险 特征将应收款项划分为若干组合，在组合基础上计算预 期信用损失。对于划分为组合的应收款项，管理层参考 历史信用损失经验，结合当前状况以及对未来经济状况 的预测，编制应收账款账期或账龄与整个存续期预期信 用损失率对照表，计算预期信用损失。因此，我们将应 收账款坏账准备事项作为关键审计事项。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370"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了解计提坏账准备的流程并评价其内部控制。</w:t>
            </w:r>
          </w:p>
          <w:p>
            <w:pPr>
              <w:pStyle w:val="Style29"/>
              <w:keepNext w:val="0"/>
              <w:keepLines w:val="0"/>
              <w:widowControl w:val="0"/>
              <w:shd w:val="clear" w:color="auto" w:fill="auto"/>
              <w:tabs>
                <w:tab w:pos="475"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了解管理层评估应收账款坏账准备时的判断及 考虑因素，并考虑是否存在对应收账款可回收性产生 任何影响的情况。</w:t>
            </w:r>
          </w:p>
          <w:p>
            <w:pPr>
              <w:pStyle w:val="Style29"/>
              <w:keepNext w:val="0"/>
              <w:keepLines w:val="0"/>
              <w:widowControl w:val="0"/>
              <w:shd w:val="clear" w:color="auto" w:fill="auto"/>
              <w:tabs>
                <w:tab w:pos="446"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对预期信用损失率的计算过程进行复核；对坏 账准备金额进行重新计算。</w:t>
            </w:r>
          </w:p>
          <w:p>
            <w:pPr>
              <w:pStyle w:val="Style29"/>
              <w:keepNext w:val="0"/>
              <w:keepLines w:val="0"/>
              <w:widowControl w:val="0"/>
              <w:shd w:val="clear" w:color="auto" w:fill="auto"/>
              <w:tabs>
                <w:tab w:pos="470"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了解并检查表明应收账款发生减值的相关客观 证据；查看与应收账款坏账准备计提及核销相关的审 批文件；了解并检查是否存在客观证据表明应收账款 价值已恢复的情况。</w:t>
            </w:r>
          </w:p>
          <w:p>
            <w:pPr>
              <w:pStyle w:val="Style29"/>
              <w:keepNext w:val="0"/>
              <w:keepLines w:val="0"/>
              <w:widowControl w:val="0"/>
              <w:shd w:val="clear" w:color="auto" w:fill="auto"/>
              <w:tabs>
                <w:tab w:pos="456"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通过检查销售合同、客户明细账及收入确认依 据测试应收账款账期划分的准确性；分析应收账款账 龄的合理性；检查长账龄应收账款的回款情况；测试 资产负债表日后收到的回款；选择样本发送应收账款 函证；以及分析无法收回而需要核销的应收账款金 额。</w:t>
            </w:r>
          </w:p>
        </w:tc>
      </w:tr>
      <w:tr>
        <w:trPr>
          <w:trHeight w:val="346"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3.</w:t>
            </w:r>
            <w:r>
              <w:rPr>
                <w:b/>
                <w:bCs/>
                <w:color w:val="000000"/>
                <w:spacing w:val="0"/>
                <w:w w:val="100"/>
                <w:position w:val="0"/>
                <w:sz w:val="22"/>
                <w:szCs w:val="22"/>
              </w:rPr>
              <w:t>商誉减值准备事项</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129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如附注七、</w:t>
            </w:r>
            <w:r>
              <w:rPr>
                <w:rFonts w:ascii="Times New Roman" w:eastAsia="Times New Roman" w:hAnsi="Times New Roman" w:cs="Times New Roman"/>
                <w:color w:val="000000"/>
                <w:spacing w:val="0"/>
                <w:w w:val="100"/>
                <w:position w:val="0"/>
              </w:rPr>
              <w:t>17</w:t>
            </w:r>
            <w:r>
              <w:rPr>
                <w:color w:val="000000"/>
                <w:spacing w:val="0"/>
                <w:w w:val="100"/>
                <w:position w:val="0"/>
              </w:rPr>
              <w:t>所示，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日，商誉账面价值人 民币</w:t>
            </w:r>
            <w:r>
              <w:rPr>
                <w:rFonts w:ascii="Times New Roman" w:eastAsia="Times New Roman" w:hAnsi="Times New Roman" w:cs="Times New Roman"/>
                <w:color w:val="000000"/>
                <w:spacing w:val="0"/>
                <w:w w:val="100"/>
                <w:position w:val="0"/>
              </w:rPr>
              <w:t>150,519.74</w:t>
            </w:r>
            <w:r>
              <w:rPr>
                <w:color w:val="000000"/>
                <w:spacing w:val="0"/>
                <w:w w:val="100"/>
                <w:position w:val="0"/>
              </w:rPr>
              <w:t xml:space="preserve">万元，占合并财务报表资产总额的 </w:t>
            </w:r>
            <w:r>
              <w:rPr>
                <w:rFonts w:ascii="Times New Roman" w:eastAsia="Times New Roman" w:hAnsi="Times New Roman" w:cs="Times New Roman"/>
                <w:color w:val="000000"/>
                <w:spacing w:val="0"/>
                <w:w w:val="100"/>
                <w:position w:val="0"/>
              </w:rPr>
              <w:t>12.49%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年度，计提商誉减值准备人民币</w:t>
            </w:r>
            <w:r>
              <w:rPr>
                <w:rFonts w:ascii="Times New Roman" w:eastAsia="Times New Roman" w:hAnsi="Times New Roman" w:cs="Times New Roman"/>
                <w:color w:val="000000"/>
                <w:spacing w:val="0"/>
                <w:w w:val="100"/>
                <w:position w:val="0"/>
              </w:rPr>
              <w:t xml:space="preserve">11,944.14 </w:t>
            </w:r>
            <w:r>
              <w:rPr>
                <w:color w:val="000000"/>
                <w:spacing w:val="0"/>
                <w:w w:val="100"/>
                <w:position w:val="0"/>
              </w:rPr>
              <w:t>万元。根据准则规定，商誉无论有无减值迹象，公司至</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456" w:val="left"/>
              </w:tabs>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我们测试了商誉减值测试相关内部控制的设计 和执行。</w:t>
            </w:r>
          </w:p>
          <w:p>
            <w:pPr>
              <w:pStyle w:val="Style29"/>
              <w:keepNext w:val="0"/>
              <w:keepLines w:val="0"/>
              <w:widowControl w:val="0"/>
              <w:shd w:val="clear" w:color="auto" w:fill="auto"/>
              <w:tabs>
                <w:tab w:pos="456"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我们评估了管理层计算被分配商誉后资产组的 可收回金额的重要参数，包括收入增长率、毛利率、</w:t>
            </w:r>
          </w:p>
        </w:tc>
      </w:tr>
    </w:tbl>
    <w:p>
      <w:pPr>
        <w:widowControl w:val="0"/>
        <w:spacing w:line="1" w:lineRule="exact"/>
      </w:pPr>
    </w:p>
    <w:tbl>
      <w:tblPr>
        <w:tblOverlap w:val="never"/>
        <w:jc w:val="left"/>
        <w:tblLayout w:type="fixed"/>
      </w:tblPr>
      <w:tblGrid>
        <w:gridCol w:w="4392"/>
        <w:gridCol w:w="4133"/>
      </w:tblGrid>
      <w:tr>
        <w:trPr>
          <w:trHeight w:val="25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少应当在每年年度终了进行减值测试。管理层通过比较 被分摊商誉的相关资产组的可收回金额与该资产组及商 誉的账面价值，对商誉进行减值测试。预测可收回金额 涉及对资产组未来现金流量现值的预测，管理层在预测 中需要做出重大判断和假设，特别是对于未来收入增长 率、毛利率、经营费用以及税前折现率等。由于减值测 试过程较为复杂，同时涉及重大判断，因此我们将商誉 减值准备事项作为关键审计事项。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both"/>
            </w:pPr>
            <w:r>
              <w:rPr>
                <w:color w:val="000000"/>
                <w:spacing w:val="0"/>
                <w:w w:val="100"/>
                <w:position w:val="0"/>
              </w:rPr>
              <w:t>经营费用以及税前折现率等。</w:t>
            </w:r>
          </w:p>
          <w:p>
            <w:pPr>
              <w:pStyle w:val="Style29"/>
              <w:keepNext w:val="0"/>
              <w:keepLines w:val="0"/>
              <w:widowControl w:val="0"/>
              <w:shd w:val="clear" w:color="auto" w:fill="auto"/>
              <w:tabs>
                <w:tab w:pos="456" w:val="left"/>
              </w:tabs>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我们评估了管理层的减值测试方法和使用的折 现率的合理性。</w:t>
            </w:r>
          </w:p>
          <w:p>
            <w:pPr>
              <w:pStyle w:val="Style29"/>
              <w:keepNext w:val="0"/>
              <w:keepLines w:val="0"/>
              <w:widowControl w:val="0"/>
              <w:shd w:val="clear" w:color="auto" w:fill="auto"/>
              <w:tabs>
                <w:tab w:pos="456" w:val="left"/>
              </w:tabs>
              <w:bidi w:val="0"/>
              <w:spacing w:before="0" w:after="0" w:line="318" w:lineRule="exact"/>
              <w:ind w:left="0" w:right="0" w:firstLine="0"/>
              <w:jc w:val="both"/>
            </w:pPr>
            <w:r>
              <w:rPr>
                <w:color w:val="000000"/>
                <w:spacing w:val="0"/>
                <w:w w:val="100"/>
                <w:position w:val="0"/>
              </w:rPr>
              <w:t>（4）</w:t>
              <w:tab/>
              <w:t>我们取得了评估报告，并与管理层聘请的评估 师进行访谈，复核了评估假设、评估方法及评估结果 等。</w:t>
            </w:r>
          </w:p>
          <w:p>
            <w:pPr>
              <w:pStyle w:val="Style29"/>
              <w:keepNext w:val="0"/>
              <w:keepLines w:val="0"/>
              <w:widowControl w:val="0"/>
              <w:shd w:val="clear" w:color="auto" w:fill="auto"/>
              <w:tabs>
                <w:tab w:pos="451"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我们关注了财务报告中附注五、</w:t>
            </w:r>
            <w:r>
              <w:rPr>
                <w:rFonts w:ascii="Times New Roman" w:eastAsia="Times New Roman" w:hAnsi="Times New Roman" w:cs="Times New Roman"/>
                <w:color w:val="000000"/>
                <w:spacing w:val="0"/>
                <w:w w:val="100"/>
                <w:position w:val="0"/>
              </w:rPr>
              <w:t>34</w:t>
            </w:r>
            <w:r>
              <w:rPr>
                <w:color w:val="000000"/>
                <w:spacing w:val="0"/>
                <w:w w:val="100"/>
                <w:position w:val="0"/>
              </w:rPr>
              <w:t>对商誉减值 准备的会计估计披露的充分性。</w:t>
            </w:r>
          </w:p>
        </w:tc>
      </w:tr>
    </w:tbl>
    <w:p>
      <w:pPr>
        <w:widowControl w:val="0"/>
        <w:spacing w:after="339" w:line="1" w:lineRule="exact"/>
      </w:pPr>
    </w:p>
    <w:p>
      <w:pPr>
        <w:pStyle w:val="Style41"/>
        <w:keepNext/>
        <w:keepLines/>
        <w:widowControl w:val="0"/>
        <w:shd w:val="clear" w:color="auto" w:fill="auto"/>
        <w:tabs>
          <w:tab w:pos="469" w:val="left"/>
        </w:tabs>
        <w:bidi w:val="0"/>
        <w:spacing w:before="0" w:after="0" w:line="240" w:lineRule="auto"/>
        <w:ind w:left="0" w:right="0" w:firstLine="0"/>
        <w:jc w:val="left"/>
        <w:rPr>
          <w:sz w:val="22"/>
          <w:szCs w:val="22"/>
        </w:rPr>
      </w:pPr>
      <w:bookmarkStart w:id="685" w:name="bookmark685"/>
      <w:bookmarkStart w:id="686" w:name="bookmark686"/>
      <w:bookmarkStart w:id="687" w:name="bookmark687"/>
      <w:bookmarkStart w:id="688" w:name="bookmark688"/>
      <w:r>
        <w:rPr>
          <w:color w:val="000000"/>
          <w:spacing w:val="0"/>
          <w:w w:val="100"/>
          <w:position w:val="0"/>
          <w:sz w:val="22"/>
          <w:szCs w:val="22"/>
        </w:rPr>
        <w:t>四</w:t>
      </w:r>
      <w:bookmarkEnd w:id="687"/>
      <w:r>
        <w:rPr>
          <w:color w:val="000000"/>
          <w:spacing w:val="0"/>
          <w:w w:val="100"/>
          <w:position w:val="0"/>
          <w:sz w:val="22"/>
          <w:szCs w:val="22"/>
        </w:rPr>
        <w:t>、</w:t>
        <w:tab/>
        <w:t>其他信息</w:t>
      </w:r>
      <w:bookmarkEnd w:id="685"/>
      <w:bookmarkEnd w:id="686"/>
      <w:bookmarkEnd w:id="688"/>
    </w:p>
    <w:p>
      <w:pPr>
        <w:pStyle w:val="Style37"/>
        <w:keepNext w:val="0"/>
        <w:keepLines w:val="0"/>
        <w:widowControl w:val="0"/>
        <w:shd w:val="clear" w:color="auto" w:fill="auto"/>
        <w:bidi w:val="0"/>
        <w:spacing w:before="0" w:after="0" w:line="472" w:lineRule="exact"/>
        <w:ind w:left="0" w:right="0" w:firstLine="380"/>
        <w:jc w:val="both"/>
      </w:pPr>
      <w:r>
        <w:rPr>
          <w:color w:val="000000"/>
          <w:spacing w:val="0"/>
          <w:w w:val="100"/>
          <w:position w:val="0"/>
        </w:rPr>
        <w:t>神州信息管理层（以下简称管理层）对其他信息负责。其他信息包括神州信息2020年年度报告中涵盖的信息，但不包括 财务报表和我们的审计报告。</w:t>
      </w:r>
    </w:p>
    <w:p>
      <w:pPr>
        <w:pStyle w:val="Style37"/>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37"/>
        <w:keepNext w:val="0"/>
        <w:keepLines w:val="0"/>
        <w:widowControl w:val="0"/>
        <w:shd w:val="clear" w:color="auto" w:fill="auto"/>
        <w:bidi w:val="0"/>
        <w:spacing w:before="0" w:after="0" w:line="472"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7"/>
        <w:keepNext w:val="0"/>
        <w:keepLines w:val="0"/>
        <w:widowControl w:val="0"/>
        <w:shd w:val="clear" w:color="auto" w:fill="auto"/>
        <w:bidi w:val="0"/>
        <w:spacing w:before="0" w:after="460" w:line="472"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41"/>
        <w:keepNext/>
        <w:keepLines/>
        <w:widowControl w:val="0"/>
        <w:shd w:val="clear" w:color="auto" w:fill="auto"/>
        <w:tabs>
          <w:tab w:pos="488" w:val="left"/>
        </w:tabs>
        <w:bidi w:val="0"/>
        <w:spacing w:before="0" w:after="0" w:line="240" w:lineRule="auto"/>
        <w:ind w:left="0" w:right="0" w:firstLine="0"/>
        <w:jc w:val="left"/>
        <w:rPr>
          <w:sz w:val="22"/>
          <w:szCs w:val="22"/>
        </w:rPr>
      </w:pPr>
      <w:bookmarkStart w:id="689" w:name="bookmark689"/>
      <w:bookmarkStart w:id="690" w:name="bookmark690"/>
      <w:bookmarkStart w:id="691" w:name="bookmark691"/>
      <w:bookmarkStart w:id="692" w:name="bookmark692"/>
      <w:r>
        <w:rPr>
          <w:color w:val="000000"/>
          <w:spacing w:val="0"/>
          <w:w w:val="100"/>
          <w:position w:val="0"/>
          <w:sz w:val="22"/>
          <w:szCs w:val="22"/>
        </w:rPr>
        <w:t>五</w:t>
      </w:r>
      <w:bookmarkEnd w:id="691"/>
      <w:r>
        <w:rPr>
          <w:color w:val="000000"/>
          <w:spacing w:val="0"/>
          <w:w w:val="100"/>
          <w:position w:val="0"/>
          <w:sz w:val="22"/>
          <w:szCs w:val="22"/>
        </w:rPr>
        <w:t>、</w:t>
        <w:tab/>
        <w:t>管理层和治理层对财务报表的责任</w:t>
      </w:r>
      <w:bookmarkEnd w:id="689"/>
      <w:bookmarkEnd w:id="690"/>
      <w:bookmarkEnd w:id="692"/>
    </w:p>
    <w:p>
      <w:pPr>
        <w:pStyle w:val="Style37"/>
        <w:keepNext w:val="0"/>
        <w:keepLines w:val="0"/>
        <w:widowControl w:val="0"/>
        <w:shd w:val="clear" w:color="auto" w:fill="auto"/>
        <w:bidi w:val="0"/>
        <w:spacing w:before="0" w:after="0" w:line="473"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7"/>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在编制财务报表时，管理层负责评估神州信息的持续经营能力，披露与持续经营相关的事项（如适用），并运用持续经 营假设，除非管理层计划清算神州信息、终止运营或别无其他现实的选择。</w:t>
      </w:r>
    </w:p>
    <w:p>
      <w:pPr>
        <w:pStyle w:val="Style37"/>
        <w:keepNext w:val="0"/>
        <w:keepLines w:val="0"/>
        <w:widowControl w:val="0"/>
        <w:shd w:val="clear" w:color="auto" w:fill="auto"/>
        <w:bidi w:val="0"/>
        <w:spacing w:before="0" w:after="460" w:line="473" w:lineRule="exact"/>
        <w:ind w:left="0" w:right="0" w:firstLine="380"/>
        <w:jc w:val="both"/>
      </w:pPr>
      <w:r>
        <w:rPr>
          <w:color w:val="000000"/>
          <w:spacing w:val="0"/>
          <w:w w:val="100"/>
          <w:position w:val="0"/>
        </w:rPr>
        <w:t>治理层负责监督神州信息的财务报告过程。</w:t>
      </w:r>
    </w:p>
    <w:p>
      <w:pPr>
        <w:pStyle w:val="Style41"/>
        <w:keepNext/>
        <w:keepLines/>
        <w:widowControl w:val="0"/>
        <w:shd w:val="clear" w:color="auto" w:fill="auto"/>
        <w:tabs>
          <w:tab w:pos="488" w:val="left"/>
        </w:tabs>
        <w:bidi w:val="0"/>
        <w:spacing w:before="0" w:after="0" w:line="240" w:lineRule="auto"/>
        <w:ind w:left="0" w:right="0" w:firstLine="0"/>
        <w:jc w:val="left"/>
        <w:rPr>
          <w:sz w:val="22"/>
          <w:szCs w:val="22"/>
        </w:rPr>
      </w:pPr>
      <w:bookmarkStart w:id="693" w:name="bookmark693"/>
      <w:bookmarkStart w:id="694" w:name="bookmark694"/>
      <w:bookmarkStart w:id="695" w:name="bookmark695"/>
      <w:bookmarkStart w:id="696" w:name="bookmark696"/>
      <w:r>
        <w:rPr>
          <w:color w:val="000000"/>
          <w:spacing w:val="0"/>
          <w:w w:val="100"/>
          <w:position w:val="0"/>
          <w:sz w:val="22"/>
          <w:szCs w:val="22"/>
        </w:rPr>
        <w:t>六</w:t>
      </w:r>
      <w:bookmarkEnd w:id="695"/>
      <w:r>
        <w:rPr>
          <w:color w:val="000000"/>
          <w:spacing w:val="0"/>
          <w:w w:val="100"/>
          <w:position w:val="0"/>
          <w:sz w:val="22"/>
          <w:szCs w:val="22"/>
        </w:rPr>
        <w:t>、</w:t>
        <w:tab/>
        <w:t>注册会计师对财务报表审计的责任</w:t>
      </w:r>
      <w:bookmarkEnd w:id="693"/>
      <w:bookmarkEnd w:id="694"/>
      <w:bookmarkEnd w:id="696"/>
    </w:p>
    <w:p>
      <w:pPr>
        <w:pStyle w:val="Style3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7"/>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在按照审计准则执行审计工作的过程中，我们运用职业判断，并保持职业怀疑。同时，我们也执行以下工作：</w:t>
      </w:r>
    </w:p>
    <w:p>
      <w:pPr>
        <w:pStyle w:val="Style37"/>
        <w:keepNext w:val="0"/>
        <w:keepLines w:val="0"/>
        <w:widowControl w:val="0"/>
        <w:shd w:val="clear" w:color="auto" w:fill="auto"/>
        <w:bidi w:val="0"/>
        <w:spacing w:before="0" w:after="400" w:line="468" w:lineRule="exact"/>
        <w:ind w:left="380" w:right="0" w:firstLine="0"/>
        <w:jc w:val="both"/>
      </w:pPr>
      <w:bookmarkStart w:id="697" w:name="bookmark697"/>
      <w:r>
        <w:rPr>
          <w:color w:val="000000"/>
          <w:spacing w:val="0"/>
          <w:w w:val="100"/>
          <w:position w:val="0"/>
        </w:rPr>
        <w:t>（</w:t>
      </w:r>
      <w:bookmarkEnd w:id="697"/>
      <w:r>
        <w:rPr>
          <w:color w:val="000000"/>
          <w:spacing w:val="0"/>
          <w:w w:val="100"/>
          <w:position w:val="0"/>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 上，未能发现由于舞弊导致的重大错报的风险高于未能发现由于错误导致的重大错报的风险。</w:t>
      </w:r>
      <w:r>
        <w:br w:type="page"/>
      </w:r>
    </w:p>
    <w:p>
      <w:pPr>
        <w:pStyle w:val="Style37"/>
        <w:keepNext w:val="0"/>
        <w:keepLines w:val="0"/>
        <w:widowControl w:val="0"/>
        <w:shd w:val="clear" w:color="auto" w:fill="auto"/>
        <w:tabs>
          <w:tab w:pos="805" w:val="left"/>
        </w:tabs>
        <w:bidi w:val="0"/>
        <w:spacing w:before="0" w:after="0" w:line="472" w:lineRule="exact"/>
        <w:ind w:left="0" w:right="0" w:firstLine="360"/>
        <w:jc w:val="left"/>
      </w:pPr>
      <w:bookmarkStart w:id="698" w:name="bookmark698"/>
      <w:r>
        <w:rPr>
          <w:color w:val="000000"/>
          <w:spacing w:val="0"/>
          <w:w w:val="100"/>
          <w:position w:val="0"/>
        </w:rPr>
        <w:t>（</w:t>
      </w:r>
      <w:bookmarkEnd w:id="698"/>
      <w:r>
        <w:rPr>
          <w:color w:val="000000"/>
          <w:spacing w:val="0"/>
          <w:w w:val="100"/>
          <w:position w:val="0"/>
        </w:rPr>
        <w:t>2）</w:t>
        <w:tab/>
        <w:t>了解与审计相关的内部控制，以设计恰当的审计程序。</w:t>
      </w:r>
    </w:p>
    <w:p>
      <w:pPr>
        <w:pStyle w:val="Style37"/>
        <w:keepNext w:val="0"/>
        <w:keepLines w:val="0"/>
        <w:widowControl w:val="0"/>
        <w:shd w:val="clear" w:color="auto" w:fill="auto"/>
        <w:tabs>
          <w:tab w:pos="805" w:val="left"/>
        </w:tabs>
        <w:bidi w:val="0"/>
        <w:spacing w:before="0" w:after="0" w:line="472" w:lineRule="exact"/>
        <w:ind w:left="0" w:right="0" w:firstLine="360"/>
        <w:jc w:val="left"/>
      </w:pPr>
      <w:bookmarkStart w:id="699" w:name="bookmark699"/>
      <w:r>
        <w:rPr>
          <w:color w:val="000000"/>
          <w:spacing w:val="0"/>
          <w:w w:val="100"/>
          <w:position w:val="0"/>
        </w:rPr>
        <w:t>（</w:t>
      </w:r>
      <w:bookmarkEnd w:id="699"/>
      <w:r>
        <w:rPr>
          <w:color w:val="000000"/>
          <w:spacing w:val="0"/>
          <w:w w:val="100"/>
          <w:position w:val="0"/>
        </w:rPr>
        <w:t>3）</w:t>
        <w:tab/>
        <w:t>评价管理层选用会计政策的恰当性和作出会计估计及相关披露的合理性。</w:t>
      </w:r>
    </w:p>
    <w:p>
      <w:pPr>
        <w:pStyle w:val="Style37"/>
        <w:keepNext w:val="0"/>
        <w:keepLines w:val="0"/>
        <w:widowControl w:val="0"/>
        <w:shd w:val="clear" w:color="auto" w:fill="auto"/>
        <w:tabs>
          <w:tab w:pos="901" w:val="left"/>
        </w:tabs>
        <w:bidi w:val="0"/>
        <w:spacing w:before="0" w:after="0" w:line="472" w:lineRule="exact"/>
        <w:ind w:left="360" w:right="0" w:firstLine="0"/>
        <w:jc w:val="both"/>
      </w:pPr>
      <w:bookmarkStart w:id="700" w:name="bookmark700"/>
      <w:r>
        <w:rPr>
          <w:color w:val="000000"/>
          <w:spacing w:val="0"/>
          <w:w w:val="100"/>
          <w:position w:val="0"/>
        </w:rPr>
        <w:t>（</w:t>
      </w:r>
      <w:bookmarkEnd w:id="700"/>
      <w:r>
        <w:rPr>
          <w:color w:val="000000"/>
          <w:spacing w:val="0"/>
          <w:w w:val="100"/>
          <w:position w:val="0"/>
        </w:rPr>
        <w:t>4）</w:t>
        <w:tab/>
        <w:t>对管理层使用持续经营假设的恰当性得出结论。同时，根据获取的审计证据，就可能导致对神州信息持续经营能 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 的结论基于截至审计报告日可获得的信息。然而，未来的事项或情况可能导致神州信息不能持续经营。</w:t>
      </w:r>
    </w:p>
    <w:p>
      <w:pPr>
        <w:pStyle w:val="Style37"/>
        <w:keepNext w:val="0"/>
        <w:keepLines w:val="0"/>
        <w:widowControl w:val="0"/>
        <w:shd w:val="clear" w:color="auto" w:fill="auto"/>
        <w:tabs>
          <w:tab w:pos="805" w:val="left"/>
        </w:tabs>
        <w:bidi w:val="0"/>
        <w:spacing w:before="0" w:after="0" w:line="469" w:lineRule="exact"/>
        <w:ind w:left="0" w:right="0" w:firstLine="360"/>
        <w:jc w:val="left"/>
      </w:pPr>
      <w:bookmarkStart w:id="701" w:name="bookmark701"/>
      <w:r>
        <w:rPr>
          <w:color w:val="000000"/>
          <w:spacing w:val="0"/>
          <w:w w:val="100"/>
          <w:position w:val="0"/>
        </w:rPr>
        <w:t>（</w:t>
      </w:r>
      <w:bookmarkEnd w:id="701"/>
      <w:r>
        <w:rPr>
          <w:color w:val="000000"/>
          <w:spacing w:val="0"/>
          <w:w w:val="100"/>
          <w:position w:val="0"/>
        </w:rPr>
        <w:t>5）</w:t>
        <w:tab/>
        <w:t>评价财务报表的总体列报、结构和内容，并评价财务报表是否公允反映相关交易和事项。</w:t>
      </w:r>
    </w:p>
    <w:p>
      <w:pPr>
        <w:pStyle w:val="Style37"/>
        <w:keepNext w:val="0"/>
        <w:keepLines w:val="0"/>
        <w:widowControl w:val="0"/>
        <w:shd w:val="clear" w:color="auto" w:fill="auto"/>
        <w:tabs>
          <w:tab w:pos="896" w:val="left"/>
        </w:tabs>
        <w:bidi w:val="0"/>
        <w:spacing w:before="0" w:after="0" w:line="469" w:lineRule="exact"/>
        <w:ind w:left="360" w:right="0" w:firstLine="0"/>
        <w:jc w:val="both"/>
      </w:pPr>
      <w:bookmarkStart w:id="702" w:name="bookmark702"/>
      <w:r>
        <w:rPr>
          <w:color w:val="000000"/>
          <w:spacing w:val="0"/>
          <w:w w:val="100"/>
          <w:position w:val="0"/>
        </w:rPr>
        <w:t>（</w:t>
      </w:r>
      <w:bookmarkEnd w:id="702"/>
      <w:r>
        <w:rPr>
          <w:color w:val="000000"/>
          <w:spacing w:val="0"/>
          <w:w w:val="100"/>
          <w:position w:val="0"/>
        </w:rPr>
        <w:t>6）</w:t>
        <w:tab/>
        <w:t>就神州信息中实体或业务活动的财务信息获取充分、适当的审计证据，以对财务报表发表审计意见。我们负责指 导、监督和执行集团审计，并对审计意见承担全部责任。</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7"/>
        <w:keepNext w:val="0"/>
        <w:keepLines w:val="0"/>
        <w:widowControl w:val="0"/>
        <w:shd w:val="clear" w:color="auto" w:fill="auto"/>
        <w:bidi w:val="0"/>
        <w:spacing w:before="0" w:after="3600" w:line="469"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1"/>
        <w:keepNext w:val="0"/>
        <w:keepLines w:val="0"/>
        <w:widowControl w:val="0"/>
        <w:shd w:val="clear" w:color="auto" w:fill="auto"/>
        <w:bidi w:val="0"/>
        <w:spacing w:before="0" w:after="80" w:line="240" w:lineRule="auto"/>
        <w:ind w:left="1580" w:right="0" w:firstLine="0"/>
        <w:jc w:val="left"/>
        <w:rPr>
          <w:sz w:val="22"/>
          <w:szCs w:val="22"/>
        </w:rPr>
      </w:pPr>
      <w:r>
        <mc:AlternateContent>
          <mc:Choice Requires="wps">
            <w:drawing>
              <wp:anchor distT="0" distB="1029970" distL="114300" distR="114300" simplePos="0" relativeHeight="125829378" behindDoc="0" locked="0" layoutInCell="1" allowOverlap="1">
                <wp:simplePos x="0" y="0"/>
                <wp:positionH relativeFrom="page">
                  <wp:posOffset>702945</wp:posOffset>
                </wp:positionH>
                <wp:positionV relativeFrom="paragraph">
                  <wp:posOffset>12700</wp:posOffset>
                </wp:positionV>
                <wp:extent cx="2353310" cy="189230"/>
                <wp:wrapSquare wrapText="right"/>
                <wp:docPr id="58" name="Shape 58"/>
                <a:graphic xmlns:a="http://schemas.openxmlformats.org/drawingml/2006/main">
                  <a:graphicData uri="http://schemas.microsoft.com/office/word/2010/wordprocessingShape">
                    <wps:wsp>
                      <wps:cNvSpPr txBox="1"/>
                      <wps:spPr>
                        <a:xfrm>
                          <a:ext cx="2353310" cy="1892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特殊普通合伙</w:t>
                            </w:r>
                            <w:r>
                              <w:rPr>
                                <w:rFonts w:ascii="Times New Roman" w:eastAsia="Times New Roman" w:hAnsi="Times New Roman" w:cs="Times New Roman"/>
                                <w:color w:val="000000"/>
                                <w:spacing w:val="0"/>
                                <w:w w:val="100"/>
                                <w:position w:val="0"/>
                                <w:sz w:val="22"/>
                                <w:szCs w:val="22"/>
                              </w:rPr>
                              <w:t>）</w:t>
                            </w:r>
                          </w:p>
                        </w:txbxContent>
                      </wps:txbx>
                      <wps:bodyPr wrap="none" lIns="0" tIns="0" rIns="0" bIns="0">
                        <a:noAutoFit/>
                      </wps:bodyPr>
                    </wps:wsp>
                  </a:graphicData>
                </a:graphic>
              </wp:anchor>
            </w:drawing>
          </mc:Choice>
          <mc:Fallback>
            <w:pict>
              <v:shape id="_x0000_s1084" type="#_x0000_t202" style="position:absolute;margin-left:55.350000000000001pt;margin-top:1.pt;width:185.30000000000001pt;height:14.9pt;z-index:-125829375;mso-wrap-distance-left:9.pt;mso-wrap-distance-right:9.pt;mso-wrap-distance-bottom:81.10000000000000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特殊普通合伙</w:t>
                      </w:r>
                      <w:r>
                        <w:rPr>
                          <w:rFonts w:ascii="Times New Roman" w:eastAsia="Times New Roman" w:hAnsi="Times New Roman" w:cs="Times New Roman"/>
                          <w:color w:val="000000"/>
                          <w:spacing w:val="0"/>
                          <w:w w:val="100"/>
                          <w:position w:val="0"/>
                          <w:sz w:val="22"/>
                          <w:szCs w:val="22"/>
                        </w:rPr>
                        <w:t>）</w:t>
                      </w:r>
                    </w:p>
                  </w:txbxContent>
                </v:textbox>
                <w10:wrap type="square" side="right" anchorx="page"/>
              </v:shape>
            </w:pict>
          </mc:Fallback>
        </mc:AlternateContent>
      </w:r>
      <w:r>
        <mc:AlternateContent>
          <mc:Choice Requires="wps">
            <w:drawing>
              <wp:anchor distT="1042670" distB="0" distL="1007110" distR="748665" simplePos="0" relativeHeight="125829380" behindDoc="0" locked="0" layoutInCell="1" allowOverlap="1">
                <wp:simplePos x="0" y="0"/>
                <wp:positionH relativeFrom="page">
                  <wp:posOffset>1595755</wp:posOffset>
                </wp:positionH>
                <wp:positionV relativeFrom="paragraph">
                  <wp:posOffset>1055370</wp:posOffset>
                </wp:positionV>
                <wp:extent cx="826135" cy="176530"/>
                <wp:wrapSquare wrapText="right"/>
                <wp:docPr id="60" name="Shape 60"/>
                <a:graphic xmlns:a="http://schemas.openxmlformats.org/drawingml/2006/main">
                  <a:graphicData uri="http://schemas.microsoft.com/office/word/2010/wordprocessingShape">
                    <wps:wsp>
                      <wps:cNvSpPr txBox="1"/>
                      <wps:spPr>
                        <a:xfrm>
                          <a:ext cx="826135" cy="1765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 北京</w:t>
                            </w:r>
                          </w:p>
                        </w:txbxContent>
                      </wps:txbx>
                      <wps:bodyPr wrap="none" lIns="0" tIns="0" rIns="0" bIns="0">
                        <a:noAutoFit/>
                      </wps:bodyPr>
                    </wps:wsp>
                  </a:graphicData>
                </a:graphic>
              </wp:anchor>
            </w:drawing>
          </mc:Choice>
          <mc:Fallback>
            <w:pict>
              <v:shape id="_x0000_s1086" type="#_x0000_t202" style="position:absolute;margin-left:125.65000000000001pt;margin-top:83.100000000000009pt;width:65.049999999999997pt;height:13.9pt;z-index:-125829373;mso-wrap-distance-left:79.299999999999997pt;mso-wrap-distance-top:82.100000000000009pt;mso-wrap-distance-right:58.95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 北京</w:t>
                      </w:r>
                    </w:p>
                  </w:txbxContent>
                </v:textbox>
                <w10:wrap type="square" side="right" anchorx="page"/>
              </v:shape>
            </w:pict>
          </mc:Fallback>
        </mc:AlternateContent>
      </w:r>
      <w:r>
        <w:rPr>
          <w:color w:val="000000"/>
          <w:spacing w:val="0"/>
          <w:w w:val="100"/>
          <w:position w:val="0"/>
          <w:sz w:val="22"/>
          <w:szCs w:val="22"/>
        </w:rPr>
        <w:t>中国注册会计师：唐炫</w:t>
      </w:r>
    </w:p>
    <w:p>
      <w:pPr>
        <w:pStyle w:val="Style21"/>
        <w:keepNext w:val="0"/>
        <w:keepLines w:val="0"/>
        <w:widowControl w:val="0"/>
        <w:shd w:val="clear" w:color="auto" w:fill="auto"/>
        <w:bidi w:val="0"/>
        <w:spacing w:before="0" w:after="380" w:line="240" w:lineRule="auto"/>
        <w:ind w:left="1580" w:right="0" w:firstLine="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项目合伙人</w:t>
      </w:r>
      <w:r>
        <w:rPr>
          <w:color w:val="000000"/>
          <w:spacing w:val="0"/>
          <w:w w:val="100"/>
          <w:position w:val="0"/>
          <w:sz w:val="22"/>
          <w:szCs w:val="22"/>
        </w:rPr>
        <w:t>）</w:t>
      </w:r>
    </w:p>
    <w:p>
      <w:pPr>
        <w:pStyle w:val="Style21"/>
        <w:keepNext w:val="0"/>
        <w:keepLines w:val="0"/>
        <w:widowControl w:val="0"/>
        <w:shd w:val="clear" w:color="auto" w:fill="auto"/>
        <w:bidi w:val="0"/>
        <w:spacing w:before="0" w:after="380" w:line="240" w:lineRule="auto"/>
        <w:ind w:left="1580" w:right="0" w:firstLine="0"/>
        <w:jc w:val="left"/>
        <w:rPr>
          <w:sz w:val="22"/>
          <w:szCs w:val="22"/>
        </w:rPr>
      </w:pPr>
      <w:r>
        <w:rPr>
          <w:color w:val="000000"/>
          <w:spacing w:val="0"/>
          <w:w w:val="100"/>
          <w:position w:val="0"/>
          <w:sz w:val="22"/>
          <w:szCs w:val="22"/>
        </w:rPr>
        <w:t>中国注册会计师：唐静</w:t>
      </w:r>
    </w:p>
    <w:p>
      <w:pPr>
        <w:pStyle w:val="Style21"/>
        <w:keepNext w:val="0"/>
        <w:keepLines w:val="0"/>
        <w:widowControl w:val="0"/>
        <w:shd w:val="clear" w:color="auto" w:fill="auto"/>
        <w:bidi w:val="0"/>
        <w:spacing w:before="0" w:after="380" w:line="240" w:lineRule="auto"/>
        <w:ind w:left="158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二一年三月二十九日</w:t>
      </w:r>
      <w:r>
        <w:br w:type="page"/>
      </w:r>
    </w:p>
    <w:p>
      <w:pPr>
        <w:pStyle w:val="Style35"/>
        <w:keepNext/>
        <w:keepLines/>
        <w:widowControl w:val="0"/>
        <w:shd w:val="clear" w:color="auto" w:fill="auto"/>
        <w:bidi w:val="0"/>
        <w:spacing w:before="0" w:after="360" w:line="240" w:lineRule="auto"/>
        <w:ind w:left="0" w:right="0" w:firstLine="0"/>
        <w:jc w:val="left"/>
      </w:pPr>
      <w:bookmarkStart w:id="703" w:name="bookmark703"/>
      <w:bookmarkStart w:id="704" w:name="bookmark704"/>
      <w:bookmarkStart w:id="705" w:name="bookmark705"/>
      <w:r>
        <w:rPr>
          <w:color w:val="000000"/>
          <w:spacing w:val="0"/>
          <w:w w:val="100"/>
          <w:position w:val="0"/>
          <w:sz w:val="24"/>
          <w:szCs w:val="24"/>
        </w:rPr>
        <w:t>二、财务报表</w:t>
      </w:r>
      <w:bookmarkEnd w:id="703"/>
      <w:bookmarkEnd w:id="704"/>
      <w:bookmarkEnd w:id="70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41"/>
        <w:keepNext/>
        <w:keepLines/>
        <w:widowControl w:val="0"/>
        <w:shd w:val="clear" w:color="auto" w:fill="auto"/>
        <w:bidi w:val="0"/>
        <w:spacing w:before="0" w:line="240" w:lineRule="auto"/>
        <w:ind w:left="0" w:right="0" w:firstLine="0"/>
        <w:jc w:val="center"/>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、合并资产负债表</w:t>
      </w:r>
      <w:bookmarkEnd w:id="706"/>
      <w:bookmarkEnd w:id="707"/>
      <w:bookmarkEnd w:id="709"/>
    </w:p>
    <w:p>
      <w:pPr>
        <w:pStyle w:val="Style26"/>
        <w:keepNext w:val="0"/>
        <w:keepLines w:val="0"/>
        <w:widowControl w:val="0"/>
        <w:shd w:val="clear" w:color="auto" w:fill="auto"/>
        <w:tabs>
          <w:tab w:pos="4397" w:val="left"/>
          <w:tab w:pos="8774" w:val="left"/>
        </w:tabs>
        <w:bidi w:val="0"/>
        <w:spacing w:before="0" w:after="0" w:line="240" w:lineRule="auto"/>
        <w:ind w:left="0" w:right="0" w:firstLine="0"/>
        <w:jc w:val="left"/>
      </w:pPr>
      <w:r>
        <w:rPr>
          <w:color w:val="000000"/>
          <w:spacing w:val="0"/>
          <w:w w:val="100"/>
          <w:position w:val="0"/>
        </w:rPr>
        <w:t>编制单位：神州数码信息服务股份有限公司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tab/>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1,941,313,168.04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1,448,892,189.10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750,007,662.48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796,579,126.35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4,759,879.29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41,291,473.89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1,946,829,284.49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3,304,302,973.61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101,767,749.65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132,064,994.88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146,475,000.58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120,149,088.66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2,784,103,976.38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1,888,738,998.44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1,640,000,224.71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4,785,136.52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45,457,123.85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9,320,042,082.14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7,777,475,968.78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110,304,194.00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163,000,470.68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477,177,638.66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154,829,413.56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113,274,212.00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13,630,176.99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14,001,627.67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453,057,913.67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490,712,621.32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131,559,390.41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107,253,813.87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38,441,116.25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41,971,906.35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1,505,197,394.63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1,603,805,544.73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9,122,916.12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16,604,234.36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152,677,767.07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113,224,462.03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2,731,820,753.38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2,978,026,060.99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12,051,862,835.52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10,755,502,029.77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722,279,881.25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952,479,511.83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552,013,491.84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691,631,714.41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2,373,036,760.20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2,039,020,530.75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844,954,400.03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1,756,268,042.19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495,368,850.46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408,387,553.32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188,127,416.31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141,067,817.29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222,115,124.98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228,863,269.22</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45,059,375.00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6,309,209,567.23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5,351,464,171.85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6,195,238.00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25,775,271.29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20,061,059.53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27,407,105.90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36,724,613.52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22,336,189.11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56,785,673.05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81,713,804.30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6,365,995,240.28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5,433,177,976.15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975,768,827.00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970,381,273.00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2,406,151,454.21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2,315,977,578.13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160,204,801.44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44,097,750.00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98,993,052.24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63,267,793.25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34,958,025.22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27,977,512.43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2,229,478,383.79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1,885,845,382.35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5,585,144,941.02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5,219,351,789.16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100,722,654.22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102,972,264.46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5,685,867,595.24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5,322,324,053.62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12,051,862,835.52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10,755,502,029.77</w:t>
            </w:r>
          </w:p>
        </w:tc>
      </w:tr>
    </w:tbl>
    <w:p>
      <w:pPr>
        <w:pStyle w:val="Style41"/>
        <w:keepNext/>
        <w:keepLines/>
        <w:widowControl w:val="0"/>
        <w:shd w:val="clear" w:color="auto" w:fill="auto"/>
        <w:bidi w:val="0"/>
        <w:spacing w:before="0" w:after="380" w:line="240" w:lineRule="auto"/>
        <w:ind w:left="0" w:right="0" w:firstLine="0"/>
        <w:jc w:val="center"/>
      </w:pPr>
      <w:r>
        <mc:AlternateContent>
          <mc:Choice Requires="wps">
            <w:drawing>
              <wp:anchor distT="152400" distB="0" distL="114300" distR="5259705" simplePos="0" relativeHeight="125829382" behindDoc="0" locked="0" layoutInCell="1" allowOverlap="1">
                <wp:simplePos x="0" y="0"/>
                <wp:positionH relativeFrom="page">
                  <wp:posOffset>688975</wp:posOffset>
                </wp:positionH>
                <wp:positionV relativeFrom="margin">
                  <wp:posOffset>1840865</wp:posOffset>
                </wp:positionV>
                <wp:extent cx="941705" cy="149225"/>
                <wp:wrapTopAndBottom/>
                <wp:docPr id="62" name="Shape 6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wps:txbx>
                      <wps:bodyPr wrap="none" lIns="0" tIns="0" rIns="0" bIns="0">
                        <a:noAutoFit/>
                      </wps:bodyPr>
                    </wps:wsp>
                  </a:graphicData>
                </a:graphic>
              </wp:anchor>
            </w:drawing>
          </mc:Choice>
          <mc:Fallback>
            <w:pict>
              <v:shape id="_x0000_s1088" type="#_x0000_t202" style="position:absolute;margin-left:54.25pt;margin-top:144.95000000000002pt;width:74.150000000000006pt;height:11.75pt;z-index:-125829371;mso-wrap-distance-left:9.pt;mso-wrap-distance-top:12.pt;mso-wrap-distance-right:414.15000000000003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v:textbox>
                <w10:wrap type="topAndBottom" anchorx="page" anchory="margin"/>
              </v:shape>
            </w:pict>
          </mc:Fallback>
        </mc:AlternateContent>
      </w:r>
      <w:r>
        <mc:AlternateContent>
          <mc:Choice Requires="wps">
            <w:drawing>
              <wp:anchor distT="152400" distB="3175" distL="2232660" distR="2574290" simplePos="0" relativeHeight="125829384" behindDoc="0" locked="0" layoutInCell="1" allowOverlap="1">
                <wp:simplePos x="0" y="0"/>
                <wp:positionH relativeFrom="page">
                  <wp:posOffset>2807335</wp:posOffset>
                </wp:positionH>
                <wp:positionV relativeFrom="margin">
                  <wp:posOffset>1840865</wp:posOffset>
                </wp:positionV>
                <wp:extent cx="1508760" cy="146050"/>
                <wp:wrapTopAndBottom/>
                <wp:docPr id="64" name="Shape 6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主管会计工作负责人：张云飞</w:t>
                            </w:r>
                          </w:p>
                        </w:txbxContent>
                      </wps:txbx>
                      <wps:bodyPr wrap="none" lIns="0" tIns="0" rIns="0" bIns="0">
                        <a:noAutoFit/>
                      </wps:bodyPr>
                    </wps:wsp>
                  </a:graphicData>
                </a:graphic>
              </wp:anchor>
            </w:drawing>
          </mc:Choice>
          <mc:Fallback>
            <w:pict>
              <v:shape id="_x0000_s1090" type="#_x0000_t202" style="position:absolute;margin-left:221.05000000000001pt;margin-top:144.95000000000002pt;width:118.8pt;height:11.5pt;z-index:-125829369;mso-wrap-distance-left:175.8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主管会计工作负责人：张云飞</w:t>
                      </w:r>
                    </w:p>
                  </w:txbxContent>
                </v:textbox>
                <w10:wrap type="topAndBottom" anchorx="page" anchory="margin"/>
              </v:shape>
            </w:pict>
          </mc:Fallback>
        </mc:AlternateContent>
      </w:r>
      <w:r>
        <mc:AlternateContent>
          <mc:Choice Requires="wps">
            <w:drawing>
              <wp:anchor distT="152400" distB="0" distL="4918075" distR="114300" simplePos="0" relativeHeight="125829386" behindDoc="0" locked="0" layoutInCell="1" allowOverlap="1">
                <wp:simplePos x="0" y="0"/>
                <wp:positionH relativeFrom="page">
                  <wp:posOffset>5492750</wp:posOffset>
                </wp:positionH>
                <wp:positionV relativeFrom="margin">
                  <wp:posOffset>1840865</wp:posOffset>
                </wp:positionV>
                <wp:extent cx="1283335" cy="149225"/>
                <wp:wrapTopAndBottom/>
                <wp:docPr id="66" name="Shape 6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会计机构负责人：张秀慧</w:t>
                            </w:r>
                          </w:p>
                        </w:txbxContent>
                      </wps:txbx>
                      <wps:bodyPr wrap="none" lIns="0" tIns="0" rIns="0" bIns="0">
                        <a:noAutoFit/>
                      </wps:bodyPr>
                    </wps:wsp>
                  </a:graphicData>
                </a:graphic>
              </wp:anchor>
            </w:drawing>
          </mc:Choice>
          <mc:Fallback>
            <w:pict>
              <v:shape id="_x0000_s1092" type="#_x0000_t202" style="position:absolute;margin-left:432.5pt;margin-top:144.95000000000002pt;width:101.05pt;height:11.75pt;z-index:-125829367;mso-wrap-distance-left:387.25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会计机构负责人：张秀慧</w:t>
                      </w:r>
                    </w:p>
                  </w:txbxContent>
                </v:textbox>
                <w10:wrap type="topAndBottom" anchorx="page" anchory="margin"/>
              </v:shape>
            </w:pict>
          </mc:Fallback>
        </mc:AlternateContent>
      </w: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、母公司资产负债表</w:t>
      </w:r>
      <w:bookmarkEnd w:id="710"/>
      <w:bookmarkEnd w:id="711"/>
      <w:bookmarkEnd w:id="713"/>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60,656,839.66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27,221,398.95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251,195,662.48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244,388,652.68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24,102,783.00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67,707,014.64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12,794,714.50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169,280.31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7,920,636.67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119,492,209.92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87,101,016.58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17,450,338.26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314,866,835.38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81,580,590.96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2,417,532.14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5,905,983.17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816,505,374.53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491,015,776.51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26,400,000.00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2,788,806,117.37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2,765,414,836.47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33,902,624.00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50,584,777.00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105,668.24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148,553.75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64,215.00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98,587.25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197,174.50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16,082,174.29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2,839,007,772.15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2,842,809,556.72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3,655,513,146.68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3,333,825,333.23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29,532,881.97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363,473,041.78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33,657,469.91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67,408,967.29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61,786,437.12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17,369,340.87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7,395,010.36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12,519,926.27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175,652.34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29,357,609.93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80,966,214.47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514,039,237.94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189,603,314.37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21,381,871.13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21,381,871.13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514,039,237.94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210,985,185.50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975,768,827.00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970,381,273.00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2,243,077,639.50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2,145,529,525.00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160,204,801.44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44,097,750.00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-21,108,077.44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-21,227,420.32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34,958,025.22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27,977,512.43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68,982,295.90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44,277,007.62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3,141,473,908.74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3,122,840,147.73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3,655,513,146.68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3,333,825,333.23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center"/>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3</w:t>
      </w:r>
      <w:bookmarkEnd w:id="716"/>
      <w:r>
        <w:rPr>
          <w:color w:val="000000"/>
          <w:spacing w:val="0"/>
          <w:w w:val="100"/>
          <w:position w:val="0"/>
        </w:rPr>
        <w:t>、合并利润表</w:t>
      </w:r>
      <w:bookmarkEnd w:id="714"/>
      <w:bookmarkEnd w:id="715"/>
      <w:bookmarkEnd w:id="717"/>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693"/>
        <w:gridCol w:w="249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10,685,976,832.00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10,146,008,170.91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10,685,976,832.00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10,146,008,170.91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10,190,567,557.25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9,662,648,641.42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8,859,603,580.61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8,261,730,337.85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44,459,872.72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38,102,895.34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450,067,152.97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503,924,867.26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287,022,794.82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402,457,791.98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510,818,151.26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374,946,590.50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38,596,004.87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81,486,158.49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43,683,205.49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80,376,342.55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5,028,679.76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6,360,293.56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57,133,059.59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55,454,245.31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309,333,562.02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94,508,767.34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22,261,900.04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19,610,861.21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-50,155.91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-44,952.72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-5,971,463.87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-1,959,628.15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-58,193,064.46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-85,466,911.85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-292,031,688.47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-78,369,295.29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505,679,679.56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467,526,706.85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22,553,515.35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6,065,146.35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10,773,547.91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33,675,004.06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517,459,647.00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439,916,849.14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51,076,696.71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58,363,940.75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466,382,950.29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381,552,908.39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466,382,950.29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381,552,908.39</w:t>
            </w:r>
          </w:p>
        </w:tc>
      </w:tr>
    </w:tbl>
    <w:p>
      <w:pPr>
        <w:widowControl w:val="0"/>
        <w:spacing w:line="1" w:lineRule="exact"/>
      </w:pPr>
      <w:r>
        <w:br w:type="page"/>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475,673,930.78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375,607,752.77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-9,290,980.49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5,945,155.62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32,131,062.82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862,957.61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32,131,062.82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862,957.61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43,797,358.80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1,477,268.78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495,005.69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43,797,358.80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982,263.09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-11,666,295.98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-614,311.17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-5,005,720.05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1,290,202.13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-6,660,575.93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-1,904,513.30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498,514,013.11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382,415,866.00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507,804,993.60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376,470,710.38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-9,290,980.49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5,945,155.62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0.3899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0.3890</w:t>
            </w:r>
          </w:p>
        </w:tc>
      </w:tr>
    </w:tbl>
    <w:p>
      <w:pPr>
        <w:widowControl w:val="0"/>
        <w:spacing w:after="79" w:line="1" w:lineRule="exact"/>
      </w:pP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val="0"/>
        <w:keepLines w:val="0"/>
        <w:widowControl w:val="0"/>
        <w:shd w:val="clear" w:color="auto" w:fill="auto"/>
        <w:tabs>
          <w:tab w:pos="3331" w:val="left"/>
          <w:tab w:pos="7541" w:val="left"/>
        </w:tabs>
        <w:bidi w:val="0"/>
        <w:spacing w:before="0" w:after="380" w:line="240" w:lineRule="auto"/>
        <w:ind w:left="0" w:right="0" w:firstLine="0"/>
        <w:jc w:val="left"/>
      </w:pPr>
      <w:r>
        <w:rPr>
          <w:color w:val="000000"/>
          <w:spacing w:val="0"/>
          <w:w w:val="100"/>
          <w:position w:val="0"/>
        </w:rPr>
        <w:t>法定代表人：郭为</w:t>
        <w:tab/>
        <w:t>主管会计工作负责人：张云飞</w:t>
        <w:tab/>
        <w:t>会计机构负责人：张秀慧</w:t>
      </w:r>
    </w:p>
    <w:p>
      <w:pPr>
        <w:pStyle w:val="Style41"/>
        <w:keepNext/>
        <w:keepLines/>
        <w:widowControl w:val="0"/>
        <w:shd w:val="clear" w:color="auto" w:fill="auto"/>
        <w:bidi w:val="0"/>
        <w:spacing w:before="0" w:after="380" w:line="240" w:lineRule="auto"/>
        <w:ind w:left="0" w:right="0" w:firstLine="0"/>
        <w:jc w:val="center"/>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4</w:t>
      </w:r>
      <w:bookmarkEnd w:id="720"/>
      <w:r>
        <w:rPr>
          <w:color w:val="000000"/>
          <w:spacing w:val="0"/>
          <w:w w:val="100"/>
          <w:position w:val="0"/>
        </w:rPr>
        <w:t>、母公司利润表</w:t>
      </w:r>
      <w:bookmarkEnd w:id="718"/>
      <w:bookmarkEnd w:id="719"/>
      <w:bookmarkEnd w:id="721"/>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518,867,580.97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206,490,411.09</w:t>
            </w:r>
          </w:p>
        </w:tc>
      </w:tr>
    </w:tbl>
    <w:p>
      <w:pPr>
        <w:widowControl w:val="0"/>
        <w:spacing w:line="1" w:lineRule="exact"/>
      </w:pPr>
      <w:r>
        <w:br w:type="page"/>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443,641,131.55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191,757,262.40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3,490,961.09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937,519.72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424,206.78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893,835.87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41,452,147.19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23,271,943.50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58,920.07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203,738.18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-17,697.84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1,369,633.21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1,328,037.41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1,797,131.72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1,405,635.49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319,044.83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163,321.94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857,900.00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25,121,664.04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63,998,229.47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-636,113.07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-323,485.13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以摊余成本计量的金融资产终止确认收益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-44,952.72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-5,192,990.20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-3,350,101.82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-1,754,477.91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-1,810,848.86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-4,529,451.84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-18,680,506.02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43,625,978.16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29,071,150.98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19,645,669.14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-158,188.03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21,387,434.59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63,429,835.33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7,684,318.18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-7,952,966.37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71,382,801.70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7,684,318.18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71,382,801.70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7,684,318.18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119,342.88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13,220,805.84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119,342.88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13,220,805.84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119,342.88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13,220,805.84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71,502,144.58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20,905,124.02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center"/>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5</w:t>
      </w:r>
      <w:bookmarkEnd w:id="724"/>
      <w:r>
        <w:rPr>
          <w:color w:val="000000"/>
          <w:spacing w:val="0"/>
          <w:w w:val="100"/>
          <w:position w:val="0"/>
        </w:rPr>
        <w:t>、合并现金流量表</w:t>
      </w:r>
      <w:bookmarkEnd w:id="722"/>
      <w:bookmarkEnd w:id="723"/>
      <w:bookmarkEnd w:id="725"/>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11,244,475,418.78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10,476,098,248.44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11,611,009.55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10,588,038.31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126,688,842.65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93,953,070.47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11,382,775,270.98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10,580,639,357.22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8,246,520,815.71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7,640,299,590.69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1,821,159,865.85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1,691,332,238.14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304,674,406.26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319,798,990.96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688,563,440.59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639,240,985.23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11,060,918,528.41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10,290,671,805.02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321,856,742.57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289,967,552.20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603,085,668.23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143,206,472.55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33,445,480.93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5,099,072.24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1,179,700.20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1,962,649.43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9,882,785.93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11,718,610,871.24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12,705,680,000.00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12,366,204,506.53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12,855,948,194.22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38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57,637,091.18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42,801,410.45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1,937,275.55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42,026,162.49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38,140,445.87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11,704,343,264.50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12,406,480,000.00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11,834,006,518.17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12,489,359,131.87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532,197,988.36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366,589,062.35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74,770,047.33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62,600,250.00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18,502,500.00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994,641,627.17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972,994,586.45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32,002,401.40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1,740,476.00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1,101,414,075.90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1,037,335,312.45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1,275,537,492.94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1,705,574,464.30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83,278,269.92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117,500,785.26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1,186,000.00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33,720,093.34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164,794,811.60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2,541,404.31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1,523,610,574.46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1,825,616,653.87</w:t>
            </w:r>
          </w:p>
        </w:tc>
      </w:tr>
    </w:tbl>
    <w:p>
      <w:pPr>
        <w:widowControl w:val="0"/>
        <w:spacing w:line="1" w:lineRule="exact"/>
      </w:pPr>
      <w:r>
        <w:br w:type="page"/>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-422,196,498.56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-788,281,341.42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-2,190,112.97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-1,782,005.35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429,668,119.40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-133,506,732.22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1,350,168,474.15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1,483,675,206.37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1,779,836,593.55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1,350,168,474.15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center"/>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6</w:t>
      </w:r>
      <w:bookmarkEnd w:id="728"/>
      <w:r>
        <w:rPr>
          <w:color w:val="000000"/>
          <w:spacing w:val="0"/>
          <w:w w:val="100"/>
          <w:position w:val="0"/>
        </w:rPr>
        <w:t>、母公司现金流量表</w:t>
      </w:r>
      <w:bookmarkEnd w:id="726"/>
      <w:bookmarkEnd w:id="727"/>
      <w:bookmarkEnd w:id="729"/>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693"/>
        <w:gridCol w:w="249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557,744,751.13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500,151,111.33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4,683,136.28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1,261,312.90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562,427,887.41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501,412,424.23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359,110,588.56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533,362,670.62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19,864,751.02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23,082,837.69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15,494,425.52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7,049,377.62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11,301,029.14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11,026,259.34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405,770,794.24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574,521,145.27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156,657,093.17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-73,108,721.04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9,765,470.06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27,908,648.02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65,456,968.62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407,734.80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3,790.14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1,497,513,757.71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219,805,746.92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1,583,936,976.51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248,125,919.88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3,012,450.00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4,846,405.25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1,572,567,658.23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142,390,498.75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1,578,426,551.48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145,402,948.75</w:t>
            </w:r>
          </w:p>
        </w:tc>
      </w:tr>
    </w:tbl>
    <w:p>
      <w:pPr>
        <w:widowControl w:val="0"/>
        <w:spacing w:line="1" w:lineRule="exact"/>
      </w:pPr>
      <w:r>
        <w:br w:type="page"/>
      </w:r>
    </w:p>
    <w:tbl>
      <w:tblPr>
        <w:tblOverlap w:val="never"/>
        <w:jc w:val="center"/>
        <w:tblLayout w:type="fixed"/>
      </w:tblPr>
      <w:tblGrid>
        <w:gridCol w:w="4397"/>
        <w:gridCol w:w="2693"/>
        <w:gridCol w:w="249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5,510,425.03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102,722,971.13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72,570,047.33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44,097,750.00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27,202,401.40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99,772,448.73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44,097,750.00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37,707,081.38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39,172,973.38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35,619,778.99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162,129,151.44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410,754.32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201,302,124.82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73,737,614.69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-101,529,676.09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-29,639,864.69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60,637,842.11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-25,614.60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44,612.15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60,656,839.66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18,997.55</w:t>
            </w:r>
          </w:p>
        </w:tc>
      </w:tr>
    </w:tbl>
    <w:p>
      <w:pPr>
        <w:sectPr>
          <w:headerReference w:type="default" r:id="rId33"/>
          <w:footerReference w:type="default" r:id="rId34"/>
          <w:footnotePr>
            <w:pos w:val="pageBottom"/>
            <w:numFmt w:val="upperRoman"/>
            <w:numStart w:val="1"/>
            <w:numRestart w:val="continuous"/>
            <w15:footnoteColumns w:val="1"/>
          </w:footnotePr>
          <w:pgSz w:w="11900" w:h="16840"/>
          <w:pgMar w:top="1306" w:right="1081" w:bottom="1436" w:left="1047" w:header="0" w:footer="3" w:gutter="0"/>
          <w:cols w:space="720"/>
          <w:noEndnote/>
          <w:rtlGutter w:val="0"/>
          <w:docGrid w:linePitch="360"/>
        </w:sectPr>
      </w:pPr>
    </w:p>
    <w:p>
      <w:pPr>
        <w:pStyle w:val="Style41"/>
        <w:keepNext/>
        <w:keepLines/>
        <w:widowControl w:val="0"/>
        <w:shd w:val="clear" w:color="auto" w:fill="auto"/>
        <w:bidi w:val="0"/>
        <w:spacing w:before="0" w:after="380" w:line="240" w:lineRule="auto"/>
        <w:ind w:left="0" w:right="0" w:firstLine="0"/>
        <w:jc w:val="center"/>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7</w:t>
      </w:r>
      <w:bookmarkEnd w:id="732"/>
      <w:r>
        <w:rPr>
          <w:color w:val="000000"/>
          <w:spacing w:val="0"/>
          <w:w w:val="100"/>
          <w:position w:val="0"/>
        </w:rPr>
        <w:t>、合并所有者权益变动表</w:t>
      </w:r>
      <w:bookmarkEnd w:id="730"/>
      <w:bookmarkEnd w:id="731"/>
      <w:bookmarkEnd w:id="733"/>
    </w:p>
    <w:p>
      <w:pPr>
        <w:pStyle w:val="Style37"/>
        <w:keepNext w:val="0"/>
        <w:keepLines w:val="0"/>
        <w:widowControl w:val="0"/>
        <w:shd w:val="clear" w:color="auto" w:fill="auto"/>
        <w:tabs>
          <w:tab w:pos="12954" w:val="left"/>
        </w:tabs>
        <w:bidi w:val="0"/>
        <w:spacing w:before="0" w:after="80" w:line="240" w:lineRule="auto"/>
        <w:ind w:left="6580" w:right="0" w:firstLine="0"/>
        <w:jc w:val="left"/>
      </w:pPr>
      <w:r>
        <w:rPr>
          <w:color w:val="000000"/>
          <w:spacing w:val="0"/>
          <w:w w:val="100"/>
          <w:position w:val="0"/>
        </w:rPr>
        <w:t>本期金额</w:t>
        <w:tab/>
        <w:t>单位：元</w:t>
      </w:r>
    </w:p>
    <w:tbl>
      <w:tblPr>
        <w:tblOverlap w:val="never"/>
        <w:jc w:val="center"/>
        <w:tblLayout w:type="fixed"/>
      </w:tblPr>
      <w:tblGrid>
        <w:gridCol w:w="1570"/>
        <w:gridCol w:w="1133"/>
        <w:gridCol w:w="427"/>
        <w:gridCol w:w="422"/>
        <w:gridCol w:w="427"/>
        <w:gridCol w:w="1133"/>
        <w:gridCol w:w="1133"/>
        <w:gridCol w:w="994"/>
        <w:gridCol w:w="427"/>
        <w:gridCol w:w="989"/>
        <w:gridCol w:w="427"/>
        <w:gridCol w:w="1133"/>
        <w:gridCol w:w="427"/>
        <w:gridCol w:w="1133"/>
        <w:gridCol w:w="1133"/>
        <w:gridCol w:w="1147"/>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专项</w:t>
            </w:r>
          </w:p>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—般</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风险</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优先</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970,381,273.00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2,315,977,578.13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63,267,793.25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27,977,512.43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1,885,845,382.35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5,219,351,789.16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102,972,264.46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5,322,324,053.62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-157,767.38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-83,463,583.36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-83,621,350.74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-1,905,261.50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-85,526,612.24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970,381,273.00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2,315,977,578.13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63,267,793.25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27,819,745.05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1,802,381,798.99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5,135,730,438.42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101,067,002.96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5,236,797,441.38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三、本期增减变动金额</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（减少以</w:t>
            </w:r>
            <w:r>
              <w:rPr>
                <w:color w:val="000000"/>
                <w:spacing w:val="0"/>
                <w:w w:val="100"/>
                <w:position w:val="0"/>
                <w:sz w:val="15"/>
                <w:szCs w:val="15"/>
              </w:rPr>
              <w:t>j</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90,173,876.08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116,107,051.44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35,725,258.99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427,096,584.80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449,414,502.60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-344,348.74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449,070,153.86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32,131,062.82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475,673,930.78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507,804,993.60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-9,290,980.49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498,514,013.11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（二）所有者投入和减</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92,832,046.16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116,107,051.44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-17,887,451.28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10,132,631.75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-7,754,819.53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65,290,871.16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139,237,351.44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-68,558,926.28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2,850,000.00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-65,708,926.28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26,760,334.08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26,760,334.08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1,929,296.12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28,689,630.20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780,840.92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-23,130,300.00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23,911,140.92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5,353,335.63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29,264,476.55</w:t>
            </w:r>
          </w:p>
        </w:tc>
      </w:tr>
    </w:tbl>
    <w:p>
      <w:pPr>
        <w:spacing w:lineRule="exact" w:line="1"/>
        <w:rPr>
          <w:sz w:val="2"/>
          <w:szCs w:val="2"/>
        </w:rPr>
      </w:pPr>
      <w:r>
        <w:br w:type="page"/>
      </w:r>
    </w:p>
    <w:tbl>
      <w:tblPr>
        <w:tblOverlap w:val="never"/>
        <w:jc w:val="center"/>
        <w:tblLayout w:type="fixed"/>
      </w:tblPr>
      <w:tblGrid>
        <w:gridCol w:w="1570"/>
        <w:gridCol w:w="1133"/>
        <w:gridCol w:w="427"/>
        <w:gridCol w:w="422"/>
        <w:gridCol w:w="427"/>
        <w:gridCol w:w="1133"/>
        <w:gridCol w:w="1133"/>
        <w:gridCol w:w="994"/>
        <w:gridCol w:w="427"/>
        <w:gridCol w:w="989"/>
        <w:gridCol w:w="427"/>
        <w:gridCol w:w="1133"/>
        <w:gridCol w:w="427"/>
        <w:gridCol w:w="1133"/>
        <w:gridCol w:w="1133"/>
        <w:gridCol w:w="1147"/>
      </w:tblGrid>
      <w:tr>
        <w:trPr>
          <w:trHeight w:val="43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-44,983,149.81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-37,844,869.64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-39,030,869.64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-37,844,869.64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-37,844,869.64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-1,186,000.00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-39,030,869.64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（四）所有者权益内部</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-2,658,170.08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-2,658,170.08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-2,658,170.08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975,768,827.00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2,406,151,454.21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160,204,801.44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98,993,052.24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34,958,025.22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2,229,478,383.79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5,585,144,941.02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100,722,654.22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5,685,867,595.24</w:t>
            </w:r>
          </w:p>
        </w:tc>
      </w:tr>
    </w:tbl>
    <w:p>
      <w:pPr>
        <w:spacing w:lineRule="exact" w:line="1"/>
        <w:rPr>
          <w:sz w:val="2"/>
          <w:szCs w:val="2"/>
        </w:rPr>
      </w:pPr>
      <w:r>
        <w:br w:type="page"/>
      </w:r>
    </w:p>
    <w:p>
      <w:pPr>
        <w:pStyle w:val="Style37"/>
        <w:keepNext w:val="0"/>
        <w:keepLines w:val="0"/>
        <w:widowControl w:val="0"/>
        <w:shd w:val="clear" w:color="auto" w:fill="auto"/>
        <w:tabs>
          <w:tab w:pos="6374" w:val="left"/>
        </w:tabs>
        <w:bidi w:val="0"/>
        <w:spacing w:before="0" w:after="80" w:line="240" w:lineRule="auto"/>
        <w:ind w:left="0" w:right="280" w:firstLine="0"/>
        <w:jc w:val="right"/>
      </w:pPr>
      <w:r>
        <w:rPr>
          <w:color w:val="000000"/>
          <w:spacing w:val="0"/>
          <w:w w:val="100"/>
          <w:position w:val="0"/>
        </w:rPr>
        <w:t>上期金额</w:t>
        <w:tab/>
        <w:t>单位：元</w:t>
      </w:r>
    </w:p>
    <w:tbl>
      <w:tblPr>
        <w:tblOverlap w:val="never"/>
        <w:jc w:val="center"/>
        <w:tblLayout w:type="fixed"/>
      </w:tblPr>
      <w:tblGrid>
        <w:gridCol w:w="1570"/>
        <w:gridCol w:w="1138"/>
        <w:gridCol w:w="422"/>
        <w:gridCol w:w="427"/>
        <w:gridCol w:w="427"/>
        <w:gridCol w:w="1133"/>
        <w:gridCol w:w="1133"/>
        <w:gridCol w:w="994"/>
        <w:gridCol w:w="422"/>
        <w:gridCol w:w="994"/>
        <w:gridCol w:w="427"/>
        <w:gridCol w:w="1133"/>
        <w:gridCol w:w="422"/>
        <w:gridCol w:w="1138"/>
        <w:gridCol w:w="1128"/>
        <w:gridCol w:w="108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—般</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风险</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优先</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963,431,273.00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2,274,178,387.44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66,489,317.80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27,209,080.61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1,614,776,633.66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4,946,084,692.51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77,601,643.62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5,023,686,336.13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-4,084,482.16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-69,555,473.23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-73,639,955.39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374,079.40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-73,265,875.99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963,431,273.00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2,274,178,387.44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62,404,835.64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27,209,080.61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1,545,221,160.43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4,872,444,737.12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77,975,723.02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4,950,420,460.14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三、本期增减变动金额</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（减少以</w:t>
            </w:r>
            <w:r>
              <w:rPr>
                <w:color w:val="000000"/>
                <w:spacing w:val="0"/>
                <w:w w:val="100"/>
                <w:position w:val="0"/>
                <w:sz w:val="15"/>
                <w:szCs w:val="15"/>
              </w:rPr>
              <w:t>j</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41,799,190.69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862,957.61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768,431.82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340,624,221.92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346,907,052.04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24,996,541.44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371,903,593.48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862,957.61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375,607,752.77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376,470,710.38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5,945,155.62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382,415,866.00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（二）所有者投入和减</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45,494,012.98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8,346,262.98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19,051,385.82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27,397,648.80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37,147,750.00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18,502,500.00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62,600,250.00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8,417,940.18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8,417,940.18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548,885.82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8,966,826.00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-71,677.20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-44,169,427.20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-44,169,427.20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768,431.82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-34,488,525.16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-33,720,093.34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-33,720,093.34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768,431.82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-768,431.82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38"/>
        <w:gridCol w:w="422"/>
        <w:gridCol w:w="427"/>
        <w:gridCol w:w="427"/>
        <w:gridCol w:w="1133"/>
        <w:gridCol w:w="1133"/>
        <w:gridCol w:w="994"/>
        <w:gridCol w:w="422"/>
        <w:gridCol w:w="994"/>
        <w:gridCol w:w="427"/>
        <w:gridCol w:w="1133"/>
        <w:gridCol w:w="422"/>
        <w:gridCol w:w="1138"/>
        <w:gridCol w:w="1128"/>
        <w:gridCol w:w="1080"/>
      </w:tblGrid>
      <w:tr>
        <w:trPr>
          <w:trHeight w:val="43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—般</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风险</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优先</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-33,720,093.34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-33,720,093.34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-33,720,093.34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（四）所有者权益内部</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-3,694,822.29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-495,005.69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-4,189,827.98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-4,189,827.98</w:t>
            </w:r>
          </w:p>
        </w:tc>
      </w:tr>
    </w:tbl>
    <w:p>
      <w:pPr>
        <w:spacing w:lineRule="exact" w:line="1"/>
        <w:rPr>
          <w:sz w:val="2"/>
          <w:szCs w:val="2"/>
        </w:rPr>
      </w:pPr>
      <w:r>
        <w:br w:type="page"/>
      </w:r>
    </w:p>
    <w:tbl>
      <w:tblPr>
        <w:tblOverlap w:val="never"/>
        <w:jc w:val="center"/>
        <w:tblLayout w:type="fixed"/>
      </w:tblPr>
      <w:tblGrid>
        <w:gridCol w:w="1589"/>
        <w:gridCol w:w="1138"/>
        <w:gridCol w:w="422"/>
        <w:gridCol w:w="427"/>
        <w:gridCol w:w="427"/>
        <w:gridCol w:w="1133"/>
        <w:gridCol w:w="1133"/>
        <w:gridCol w:w="994"/>
        <w:gridCol w:w="422"/>
        <w:gridCol w:w="994"/>
        <w:gridCol w:w="427"/>
        <w:gridCol w:w="1133"/>
        <w:gridCol w:w="422"/>
        <w:gridCol w:w="1138"/>
        <w:gridCol w:w="1128"/>
        <w:gridCol w:w="1099"/>
      </w:tblGrid>
      <w:tr>
        <w:trPr>
          <w:trHeight w:val="43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—般</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风险</w:t>
            </w:r>
          </w:p>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优先</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永续</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970,381,273.00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2,315,977,578.13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63,267,793.25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27,977,512.43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1,885,845,382.35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5,219,351,789.16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102,972,264.46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5,322,324,053.62</w:t>
            </w:r>
          </w:p>
        </w:tc>
      </w:tr>
    </w:tbl>
    <w:p>
      <w:pPr>
        <w:widowControl w:val="0"/>
        <w:spacing w:after="659" w:line="1" w:lineRule="exact"/>
      </w:pPr>
    </w:p>
    <w:p>
      <w:pPr>
        <w:pStyle w:val="Style41"/>
        <w:keepNext/>
        <w:keepLines/>
        <w:widowControl w:val="0"/>
        <w:shd w:val="clear" w:color="auto" w:fill="auto"/>
        <w:bidi w:val="0"/>
        <w:spacing w:before="0" w:after="380" w:line="240" w:lineRule="auto"/>
        <w:ind w:left="0" w:right="0" w:firstLine="0"/>
        <w:jc w:val="center"/>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8</w:t>
      </w:r>
      <w:bookmarkEnd w:id="736"/>
      <w:r>
        <w:rPr>
          <w:color w:val="000000"/>
          <w:spacing w:val="0"/>
          <w:w w:val="100"/>
          <w:position w:val="0"/>
        </w:rPr>
        <w:t>、母公司所有者权益变动表</w:t>
      </w:r>
      <w:bookmarkEnd w:id="734"/>
      <w:bookmarkEnd w:id="735"/>
      <w:bookmarkEnd w:id="737"/>
    </w:p>
    <w:p>
      <w:pPr>
        <w:pStyle w:val="Style37"/>
        <w:keepNext w:val="0"/>
        <w:keepLines w:val="0"/>
        <w:widowControl w:val="0"/>
        <w:shd w:val="clear" w:color="auto" w:fill="auto"/>
        <w:tabs>
          <w:tab w:pos="12974" w:val="left"/>
        </w:tabs>
        <w:bidi w:val="0"/>
        <w:spacing w:before="0" w:after="80" w:line="240" w:lineRule="auto"/>
        <w:ind w:left="6600" w:right="0" w:firstLine="0"/>
        <w:jc w:val="left"/>
      </w:pPr>
      <w:r>
        <w:rPr>
          <w:color w:val="000000"/>
          <w:spacing w:val="0"/>
          <w:w w:val="100"/>
          <w:position w:val="0"/>
        </w:rPr>
        <w:t>本期金额</w:t>
        <w:tab/>
        <w:t>单位：元</w:t>
      </w:r>
    </w:p>
    <w:tbl>
      <w:tblPr>
        <w:tblOverlap w:val="never"/>
        <w:jc w:val="center"/>
        <w:tblLayout w:type="fixed"/>
      </w:tblPr>
      <w:tblGrid>
        <w:gridCol w:w="2136"/>
        <w:gridCol w:w="1277"/>
        <w:gridCol w:w="566"/>
        <w:gridCol w:w="566"/>
        <w:gridCol w:w="427"/>
        <w:gridCol w:w="1416"/>
        <w:gridCol w:w="1277"/>
        <w:gridCol w:w="1272"/>
        <w:gridCol w:w="994"/>
        <w:gridCol w:w="1133"/>
        <w:gridCol w:w="1138"/>
        <w:gridCol w:w="566"/>
        <w:gridCol w:w="114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970,381,273.00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2,145,529,525.00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-21,227,420.32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27,977,512.43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44,277,007.62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3,122,840,147.73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-157,767.38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-1,419,906.40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-1,577,673.78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-274,457.21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-274,457.21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970,381,273.00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2,145,529,525.00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-21,227,420.32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27,819,745.05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42,582,644.01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3,120,988,016.74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三、本期增减变动金额（减少以</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97,548,114.50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116,107,051.44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119,342.88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26,399,651.89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20,485,892.00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119,342.88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71,382,801.70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71,502,144.58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94,761,342.28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116,107,051.44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-15,958,155.16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5,387,554.00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65,290,871.16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139,237,351.44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-68,558,926.28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277"/>
        <w:gridCol w:w="566"/>
        <w:gridCol w:w="566"/>
        <w:gridCol w:w="427"/>
        <w:gridCol w:w="1416"/>
        <w:gridCol w:w="1277"/>
        <w:gridCol w:w="1272"/>
        <w:gridCol w:w="994"/>
        <w:gridCol w:w="1133"/>
        <w:gridCol w:w="1138"/>
        <w:gridCol w:w="566"/>
        <w:gridCol w:w="1142"/>
      </w:tblGrid>
      <w:tr>
        <w:trPr>
          <w:trHeight w:val="39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2,671,426.72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2,671,426.72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26,799,044.40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-23,130,300.00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49,929,344.40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-44,983,149.81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-37,844,869.64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-7,138,280.17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-37,844,869.64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-37,844,869.64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2,786,772.22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2,786,772.22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975,768,827.00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2,243,077,639.50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160,204,801.44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-21,108,077.44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34,958,025.22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68,982,295.90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3,141,473,908.74</w:t>
            </w:r>
          </w:p>
        </w:tc>
      </w:tr>
    </w:tbl>
    <w:p>
      <w:pPr>
        <w:widowControl w:val="0"/>
        <w:spacing w:after="79" w:line="1" w:lineRule="exact"/>
      </w:pPr>
    </w:p>
    <w:p>
      <w:pPr>
        <w:pStyle w:val="Style37"/>
        <w:keepNext w:val="0"/>
        <w:keepLines w:val="0"/>
        <w:widowControl w:val="0"/>
        <w:shd w:val="clear" w:color="auto" w:fill="auto"/>
        <w:tabs>
          <w:tab w:pos="13400" w:val="left"/>
        </w:tabs>
        <w:bidi w:val="0"/>
        <w:spacing w:before="0" w:after="80" w:line="240" w:lineRule="auto"/>
        <w:ind w:left="6920" w:right="0" w:firstLine="0"/>
        <w:jc w:val="left"/>
      </w:pPr>
      <w:r>
        <w:rPr>
          <w:color w:val="000000"/>
          <w:spacing w:val="0"/>
          <w:w w:val="100"/>
          <w:position w:val="0"/>
        </w:rPr>
        <w:t>上期金额</w:t>
        <w:tab/>
        <w:t>单位：元</w:t>
      </w:r>
    </w:p>
    <w:tbl>
      <w:tblPr>
        <w:tblOverlap w:val="never"/>
        <w:jc w:val="center"/>
        <w:tblLayout w:type="fixed"/>
      </w:tblPr>
      <w:tblGrid>
        <w:gridCol w:w="2251"/>
        <w:gridCol w:w="1277"/>
        <w:gridCol w:w="1690"/>
        <w:gridCol w:w="1339"/>
        <w:gridCol w:w="1147"/>
        <w:gridCol w:w="1277"/>
        <w:gridCol w:w="1018"/>
        <w:gridCol w:w="1152"/>
        <w:gridCol w:w="1190"/>
        <w:gridCol w:w="504"/>
        <w:gridCol w:w="134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bl>
    <w:p>
      <w:pPr>
        <w:spacing w:lineRule="exact" w:line="1"/>
        <w:rPr>
          <w:sz w:val="2"/>
          <w:szCs w:val="2"/>
        </w:rPr>
      </w:pPr>
      <w:r>
        <w:br w:type="page"/>
      </w:r>
    </w:p>
    <w:tbl>
      <w:tblPr>
        <w:tblOverlap w:val="never"/>
        <w:jc w:val="center"/>
        <w:tblLayout w:type="fixed"/>
      </w:tblPr>
      <w:tblGrid>
        <w:gridCol w:w="2251"/>
        <w:gridCol w:w="1277"/>
        <w:gridCol w:w="629"/>
        <w:gridCol w:w="557"/>
        <w:gridCol w:w="504"/>
        <w:gridCol w:w="1339"/>
        <w:gridCol w:w="1147"/>
        <w:gridCol w:w="1277"/>
        <w:gridCol w:w="1018"/>
        <w:gridCol w:w="1152"/>
        <w:gridCol w:w="1190"/>
        <w:gridCol w:w="504"/>
        <w:gridCol w:w="1344"/>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他</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963,431,273.00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2,099,414,949.00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27,209,080.61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69,503,669.90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3,159,558,972.51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-34,448,226.16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1,577,544.70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-32,870,681.46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963,431,273.00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2,099,414,949.00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-34,448,226.16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27,209,080.61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71,081,214.60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3,126,688,291.05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三、本期增减变动金额（减少 以</w:t>
            </w:r>
            <w:r>
              <w:rPr>
                <w:rFonts w:ascii="Times New Roman" w:eastAsia="Times New Roman" w:hAnsi="Times New Roman" w:cs="Times New Roman"/>
                <w:i/>
                <w:iCs/>
                <w:color w:val="000000"/>
                <w:spacing w:val="0"/>
                <w:w w:val="100"/>
                <w:position w:val="0"/>
                <w:sz w:val="18"/>
                <w:szCs w:val="18"/>
              </w:rPr>
              <w:t>“</w:t>
            </w:r>
            <w:r>
              <w:rPr>
                <w:i/>
                <w:iCs/>
                <w:color w:val="000000"/>
                <w:spacing w:val="0"/>
                <w:w w:val="100"/>
                <w:position w:val="0"/>
                <w:sz w:val="19"/>
                <w:szCs w:val="19"/>
              </w:rPr>
              <w:t>一</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46,114,576.00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13,220,805.84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768,431.82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-26,804,206.98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-3,848,143.32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13,220,805.84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7,684,318.18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20,905,124.02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46,114,576.00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44,097,750.00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8,966,826.00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.所有者投入的普通股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37,147,750.00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44,097,750.00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 </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.股份支付计入所有者权益</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809,531.00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809,531.00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8,157,295.00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44,097,750.00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-35,940,455.00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768,431.82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-34,488,525.16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-33,720,093.34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768,431.82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-768,431.82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-33,720,093.34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-33,720,093.34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51"/>
        <w:gridCol w:w="1277"/>
        <w:gridCol w:w="629"/>
        <w:gridCol w:w="557"/>
        <w:gridCol w:w="504"/>
        <w:gridCol w:w="1339"/>
        <w:gridCol w:w="1147"/>
        <w:gridCol w:w="1277"/>
        <w:gridCol w:w="1018"/>
        <w:gridCol w:w="1152"/>
        <w:gridCol w:w="1190"/>
        <w:gridCol w:w="504"/>
        <w:gridCol w:w="1344"/>
      </w:tblGrid>
      <w:tr>
        <w:trPr>
          <w:trHeight w:val="437"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其</w:t>
            </w:r>
          </w:p>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970,381,273.00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2,145,529,525.00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44,097,750.00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-21,227,420.32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27,977,512.43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44,277,007.62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3,122,840,147.73</w:t>
            </w:r>
          </w:p>
        </w:tc>
      </w:tr>
    </w:tbl>
    <w:p>
      <w:pPr>
        <w:sectPr>
          <w:headerReference w:type="default" r:id="rId35"/>
          <w:footerReference w:type="default" r:id="rId36"/>
          <w:footnotePr>
            <w:pos w:val="pageBottom"/>
            <w:numFmt w:val="upperRoman"/>
            <w:numStart w:val="1"/>
            <w:numRestart w:val="continuous"/>
            <w15:footnoteColumns w:val="1"/>
          </w:footnotePr>
          <w:pgSz w:w="16840" w:h="11900" w:orient="landscape"/>
          <w:pgMar w:top="1098" w:right="1316" w:bottom="1207" w:left="1335" w:header="0" w:footer="3" w:gutter="0"/>
          <w:cols w:space="720"/>
          <w:noEndnote/>
          <w:rtlGutter w:val="0"/>
          <w:docGrid w:linePitch="360"/>
        </w:sectPr>
      </w:pPr>
    </w:p>
    <w:p>
      <w:pPr>
        <w:pStyle w:val="Style35"/>
        <w:keepNext/>
        <w:keepLines/>
        <w:widowControl w:val="0"/>
        <w:shd w:val="clear" w:color="auto" w:fill="auto"/>
        <w:bidi w:val="0"/>
        <w:spacing w:before="680" w:after="440" w:line="240" w:lineRule="auto"/>
        <w:ind w:left="0" w:right="0" w:firstLine="0"/>
        <w:jc w:val="left"/>
      </w:pPr>
      <w:bookmarkStart w:id="738" w:name="bookmark738"/>
      <w:bookmarkStart w:id="739" w:name="bookmark739"/>
      <w:bookmarkStart w:id="740" w:name="bookmark740"/>
      <w:r>
        <w:rPr>
          <w:color w:val="000000"/>
          <w:spacing w:val="0"/>
          <w:w w:val="100"/>
          <w:position w:val="0"/>
          <w:sz w:val="24"/>
          <w:szCs w:val="24"/>
        </w:rPr>
        <w:t>三、公司基本情况</w:t>
      </w:r>
      <w:bookmarkEnd w:id="738"/>
      <w:bookmarkEnd w:id="739"/>
      <w:bookmarkEnd w:id="740"/>
    </w:p>
    <w:p>
      <w:pPr>
        <w:pStyle w:val="Style41"/>
        <w:keepNext/>
        <w:keepLines/>
        <w:widowControl w:val="0"/>
        <w:numPr>
          <w:ilvl w:val="0"/>
          <w:numId w:val="17"/>
        </w:numPr>
        <w:shd w:val="clear" w:color="auto" w:fill="auto"/>
        <w:bidi w:val="0"/>
        <w:spacing w:before="0" w:after="80" w:line="240" w:lineRule="auto"/>
        <w:ind w:left="0" w:right="0" w:firstLine="360"/>
        <w:jc w:val="left"/>
      </w:pPr>
      <w:bookmarkStart w:id="741" w:name="bookmark741"/>
      <w:bookmarkStart w:id="742" w:name="bookmark742"/>
      <w:bookmarkStart w:id="743" w:name="bookmark743"/>
      <w:bookmarkStart w:id="744" w:name="bookmark744"/>
      <w:bookmarkEnd w:id="743"/>
      <w:r>
        <w:rPr>
          <w:color w:val="000000"/>
          <w:spacing w:val="0"/>
          <w:w w:val="100"/>
          <w:position w:val="0"/>
        </w:rPr>
        <w:t>神州信息设立及上市情况</w:t>
      </w:r>
      <w:bookmarkEnd w:id="741"/>
      <w:bookmarkEnd w:id="742"/>
      <w:bookmarkEnd w:id="744"/>
    </w:p>
    <w:p>
      <w:pPr>
        <w:pStyle w:val="Style3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神州数码信息服务股份有限公司（以下简称本公司、公司或神州信息，在包含子公司时统称本集团）前身为深圳市太光 电信股份有限公司（以下简称太光电信），是经贵州省经济体制改革委员会出具的《关于同意改组成立</w:t>
      </w:r>
      <w:r>
        <w:rPr>
          <w:rFonts w:ascii="Times New Roman" w:eastAsia="Times New Roman" w:hAnsi="Times New Roman" w:cs="Times New Roman"/>
          <w:color w:val="000000"/>
          <w:spacing w:val="0"/>
          <w:w w:val="100"/>
          <w:position w:val="0"/>
        </w:rPr>
        <w:t>“</w:t>
      </w:r>
      <w:r>
        <w:rPr>
          <w:color w:val="000000"/>
          <w:spacing w:val="0"/>
          <w:w w:val="100"/>
          <w:position w:val="0"/>
        </w:rPr>
        <w:t>贵州凯涤股份有限 公司</w:t>
      </w:r>
      <w:r>
        <w:rPr>
          <w:rFonts w:ascii="Times New Roman" w:eastAsia="Times New Roman" w:hAnsi="Times New Roman" w:cs="Times New Roman"/>
          <w:color w:val="000000"/>
          <w:spacing w:val="0"/>
          <w:w w:val="100"/>
          <w:position w:val="0"/>
        </w:rPr>
        <w:t>”</w:t>
      </w:r>
      <w:r>
        <w:rPr>
          <w:color w:val="000000"/>
          <w:spacing w:val="0"/>
          <w:w w:val="100"/>
          <w:position w:val="0"/>
        </w:rPr>
        <w:t>的批复》（黔体改股字【</w:t>
      </w:r>
      <w:r>
        <w:rPr>
          <w:rFonts w:ascii="Times New Roman" w:eastAsia="Times New Roman" w:hAnsi="Times New Roman" w:cs="Times New Roman"/>
          <w:color w:val="000000"/>
          <w:spacing w:val="0"/>
          <w:w w:val="100"/>
          <w:position w:val="0"/>
        </w:rPr>
        <w:t>1993</w:t>
      </w:r>
      <w:r>
        <w:rPr>
          <w:color w:val="000000"/>
          <w:spacing w:val="0"/>
          <w:w w:val="100"/>
          <w:position w:val="0"/>
        </w:rPr>
        <w:t>】第</w:t>
      </w:r>
      <w:r>
        <w:rPr>
          <w:rFonts w:ascii="Times New Roman" w:eastAsia="Times New Roman" w:hAnsi="Times New Roman" w:cs="Times New Roman"/>
          <w:color w:val="000000"/>
          <w:spacing w:val="0"/>
          <w:w w:val="100"/>
          <w:position w:val="0"/>
        </w:rPr>
        <w:t>72</w:t>
      </w:r>
      <w:r>
        <w:rPr>
          <w:color w:val="000000"/>
          <w:spacing w:val="0"/>
          <w:w w:val="100"/>
          <w:position w:val="0"/>
        </w:rPr>
        <w:t>号）、贵州省人民政府出具的《关于同意贵州凯涤股份有限公司公开发行股票并 在异地上市的批复》（贵州省人民政府黔府函【</w:t>
      </w:r>
      <w:r>
        <w:rPr>
          <w:rFonts w:ascii="Times New Roman" w:eastAsia="Times New Roman" w:hAnsi="Times New Roman" w:cs="Times New Roman"/>
          <w:color w:val="000000"/>
          <w:spacing w:val="0"/>
          <w:w w:val="100"/>
          <w:position w:val="0"/>
        </w:rPr>
        <w:t>1993</w:t>
      </w:r>
      <w:r>
        <w:rPr>
          <w:color w:val="000000"/>
          <w:spacing w:val="0"/>
          <w:w w:val="100"/>
          <w:position w:val="0"/>
        </w:rPr>
        <w:t>】</w:t>
      </w:r>
      <w:r>
        <w:rPr>
          <w:rFonts w:ascii="Times New Roman" w:eastAsia="Times New Roman" w:hAnsi="Times New Roman" w:cs="Times New Roman"/>
          <w:color w:val="000000"/>
          <w:spacing w:val="0"/>
          <w:w w:val="100"/>
          <w:position w:val="0"/>
        </w:rPr>
        <w:t>174</w:t>
      </w:r>
      <w:r>
        <w:rPr>
          <w:color w:val="000000"/>
          <w:spacing w:val="0"/>
          <w:w w:val="100"/>
          <w:position w:val="0"/>
        </w:rPr>
        <w:t>号文）以及中国证券监督管理委员会出具的《证监发审字（</w:t>
      </w:r>
      <w:r>
        <w:rPr>
          <w:rFonts w:ascii="Times New Roman" w:eastAsia="Times New Roman" w:hAnsi="Times New Roman" w:cs="Times New Roman"/>
          <w:color w:val="000000"/>
          <w:spacing w:val="0"/>
          <w:w w:val="100"/>
          <w:position w:val="0"/>
        </w:rPr>
        <w:t>1993</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号》文批准，由贵州省凯里涤纶厂作为主发起人，采取社会募集方式设立的股份有限公司，原名称为贵州凯涤股份有限 公司，设立时总股本为</w:t>
      </w:r>
      <w:r>
        <w:rPr>
          <w:rFonts w:ascii="Times New Roman" w:eastAsia="Times New Roman" w:hAnsi="Times New Roman" w:cs="Times New Roman"/>
          <w:color w:val="000000"/>
          <w:spacing w:val="0"/>
          <w:w w:val="100"/>
          <w:position w:val="0"/>
        </w:rPr>
        <w:t>7,438.88</w:t>
      </w:r>
      <w:r>
        <w:rPr>
          <w:color w:val="000000"/>
          <w:spacing w:val="0"/>
          <w:w w:val="100"/>
          <w:position w:val="0"/>
        </w:rPr>
        <w:t>万股。</w:t>
      </w:r>
    </w:p>
    <w:p>
      <w:pPr>
        <w:pStyle w:val="Style37"/>
        <w:keepNext w:val="0"/>
        <w:keepLines w:val="0"/>
        <w:widowControl w:val="0"/>
        <w:shd w:val="clear" w:color="auto" w:fill="auto"/>
        <w:bidi w:val="0"/>
        <w:spacing w:before="0" w:after="80" w:line="310" w:lineRule="exact"/>
        <w:ind w:left="0" w:right="0" w:firstLine="360"/>
        <w:jc w:val="both"/>
      </w:pP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日，经深圳证券交易所《深证市字（</w:t>
      </w:r>
      <w:r>
        <w:rPr>
          <w:rFonts w:ascii="Times New Roman" w:eastAsia="Times New Roman" w:hAnsi="Times New Roman" w:cs="Times New Roman"/>
          <w:color w:val="000000"/>
          <w:spacing w:val="0"/>
          <w:w w:val="100"/>
          <w:position w:val="0"/>
        </w:rPr>
        <w:t>1994</w:t>
      </w:r>
      <w:r>
        <w:rPr>
          <w:color w:val="000000"/>
          <w:spacing w:val="0"/>
          <w:w w:val="100"/>
          <w:position w:val="0"/>
        </w:rPr>
        <w:t>）第</w:t>
      </w:r>
      <w:r>
        <w:rPr>
          <w:rFonts w:ascii="Times New Roman" w:eastAsia="Times New Roman" w:hAnsi="Times New Roman" w:cs="Times New Roman"/>
          <w:color w:val="000000"/>
          <w:spacing w:val="0"/>
          <w:w w:val="100"/>
          <w:position w:val="0"/>
        </w:rPr>
        <w:t>7</w:t>
      </w:r>
      <w:r>
        <w:rPr>
          <w:color w:val="000000"/>
          <w:spacing w:val="0"/>
          <w:w w:val="100"/>
          <w:position w:val="0"/>
        </w:rPr>
        <w:t>号》文批准，在深圳证券交易所挂牌上市交易，贵州省 凯里涤纶厂持有太光电信</w:t>
      </w:r>
      <w:r>
        <w:rPr>
          <w:rFonts w:ascii="Times New Roman" w:eastAsia="Times New Roman" w:hAnsi="Times New Roman" w:cs="Times New Roman"/>
          <w:color w:val="000000"/>
          <w:spacing w:val="0"/>
          <w:w w:val="100"/>
          <w:position w:val="0"/>
        </w:rPr>
        <w:t>32,412,428.00</w:t>
      </w:r>
      <w:r>
        <w:rPr>
          <w:color w:val="000000"/>
          <w:spacing w:val="0"/>
          <w:w w:val="100"/>
          <w:position w:val="0"/>
        </w:rPr>
        <w:t>股，占总股本的</w:t>
      </w:r>
      <w:r>
        <w:rPr>
          <w:rFonts w:ascii="Times New Roman" w:eastAsia="Times New Roman" w:hAnsi="Times New Roman" w:cs="Times New Roman"/>
          <w:color w:val="000000"/>
          <w:spacing w:val="0"/>
          <w:w w:val="100"/>
          <w:position w:val="0"/>
        </w:rPr>
        <w:t>43.57%</w:t>
      </w:r>
      <w:r>
        <w:rPr>
          <w:color w:val="000000"/>
          <w:spacing w:val="0"/>
          <w:w w:val="100"/>
          <w:position w:val="0"/>
        </w:rPr>
        <w:t>，为太光电信的控股股东。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首次公开发行上市完成时，股本结构如下:</w:t>
      </w:r>
    </w:p>
    <w:tbl>
      <w:tblPr>
        <w:tblOverlap w:val="never"/>
        <w:jc w:val="center"/>
        <w:tblLayout w:type="fixed"/>
      </w:tblPr>
      <w:tblGrid>
        <w:gridCol w:w="2890"/>
        <w:gridCol w:w="2990"/>
        <w:gridCol w:w="3000"/>
      </w:tblGrid>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股份类别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股份数量（万股）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所占比例</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国家法人股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43.57%</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其他法人股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29.54%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26.89%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其中：内部职工股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r>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总股本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7,438.88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r>
    </w:tbl>
    <w:p>
      <w:pPr>
        <w:widowControl w:val="0"/>
        <w:spacing w:after="79" w:line="1" w:lineRule="exact"/>
      </w:pPr>
    </w:p>
    <w:p>
      <w:pPr>
        <w:pStyle w:val="Style41"/>
        <w:keepNext/>
        <w:keepLines/>
        <w:widowControl w:val="0"/>
        <w:numPr>
          <w:ilvl w:val="0"/>
          <w:numId w:val="17"/>
        </w:numPr>
        <w:shd w:val="clear" w:color="auto" w:fill="auto"/>
        <w:bidi w:val="0"/>
        <w:spacing w:before="0" w:after="80" w:line="240" w:lineRule="auto"/>
        <w:ind w:left="0" w:right="0" w:firstLine="360"/>
        <w:jc w:val="both"/>
      </w:pPr>
      <w:bookmarkStart w:id="745" w:name="bookmark745"/>
      <w:bookmarkStart w:id="746" w:name="bookmark746"/>
      <w:bookmarkStart w:id="747" w:name="bookmark747"/>
      <w:bookmarkStart w:id="748" w:name="bookmark748"/>
      <w:bookmarkEnd w:id="747"/>
      <w:r>
        <w:rPr>
          <w:color w:val="000000"/>
          <w:spacing w:val="0"/>
          <w:w w:val="100"/>
          <w:position w:val="0"/>
        </w:rPr>
        <w:t>神州信息历次股本及控股权变动情况</w:t>
      </w:r>
      <w:bookmarkEnd w:id="745"/>
      <w:bookmarkEnd w:id="746"/>
      <w:bookmarkEnd w:id="748"/>
    </w:p>
    <w:p>
      <w:pPr>
        <w:pStyle w:val="Style37"/>
        <w:keepNext w:val="0"/>
        <w:keepLines w:val="0"/>
        <w:widowControl w:val="0"/>
        <w:shd w:val="clear" w:color="auto" w:fill="auto"/>
        <w:tabs>
          <w:tab w:pos="893" w:val="left"/>
        </w:tabs>
        <w:bidi w:val="0"/>
        <w:spacing w:before="0" w:after="0" w:line="316" w:lineRule="exact"/>
        <w:ind w:left="0" w:right="0" w:firstLine="46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1995</w:t>
      </w:r>
      <w:r>
        <w:rPr>
          <w:color w:val="000000"/>
          <w:spacing w:val="0"/>
          <w:w w:val="100"/>
          <w:position w:val="0"/>
        </w:rPr>
        <w:t>年配股</w:t>
      </w:r>
    </w:p>
    <w:p>
      <w:pPr>
        <w:pStyle w:val="Style37"/>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月，太光电信召开第二次股东大会，审议同意以未分配利润按每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1</w:t>
      </w:r>
      <w:r>
        <w:rPr>
          <w:color w:val="000000"/>
          <w:spacing w:val="0"/>
          <w:w w:val="100"/>
          <w:position w:val="0"/>
        </w:rPr>
        <w:t>股向全体股东送派红股。配股完成后， 太光电信总股本增至</w:t>
      </w:r>
      <w:r>
        <w:rPr>
          <w:rFonts w:ascii="Times New Roman" w:eastAsia="Times New Roman" w:hAnsi="Times New Roman" w:cs="Times New Roman"/>
          <w:color w:val="000000"/>
          <w:spacing w:val="0"/>
          <w:w w:val="100"/>
          <w:position w:val="0"/>
        </w:rPr>
        <w:t>8,182.77</w:t>
      </w:r>
      <w:r>
        <w:rPr>
          <w:color w:val="000000"/>
          <w:spacing w:val="0"/>
          <w:w w:val="100"/>
          <w:position w:val="0"/>
        </w:rPr>
        <w:t>万股。</w:t>
      </w:r>
    </w:p>
    <w:p>
      <w:pPr>
        <w:pStyle w:val="Style37"/>
        <w:keepNext w:val="0"/>
        <w:keepLines w:val="0"/>
        <w:widowControl w:val="0"/>
        <w:shd w:val="clear" w:color="auto" w:fill="auto"/>
        <w:tabs>
          <w:tab w:pos="893" w:val="left"/>
        </w:tabs>
        <w:bidi w:val="0"/>
        <w:spacing w:before="0" w:after="0" w:line="316" w:lineRule="exact"/>
        <w:ind w:left="0" w:right="0" w:firstLine="46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年股权变更</w:t>
      </w:r>
    </w:p>
    <w:p>
      <w:pPr>
        <w:pStyle w:val="Style37"/>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月及</w:t>
      </w:r>
      <w:r>
        <w:rPr>
          <w:rFonts w:ascii="Times New Roman" w:eastAsia="Times New Roman" w:hAnsi="Times New Roman" w:cs="Times New Roman"/>
          <w:color w:val="000000"/>
          <w:spacing w:val="0"/>
          <w:w w:val="100"/>
          <w:position w:val="0"/>
        </w:rPr>
        <w:t>11</w:t>
      </w:r>
      <w:r>
        <w:rPr>
          <w:color w:val="000000"/>
          <w:spacing w:val="0"/>
          <w:w w:val="100"/>
          <w:position w:val="0"/>
        </w:rPr>
        <w:t>月，因无力偿还银行债务，太光电信原第一大股东贵州省凯里涤纶厂持有的</w:t>
      </w:r>
      <w:r>
        <w:rPr>
          <w:rFonts w:ascii="Times New Roman" w:eastAsia="Times New Roman" w:hAnsi="Times New Roman" w:cs="Times New Roman"/>
          <w:color w:val="000000"/>
          <w:spacing w:val="0"/>
          <w:w w:val="100"/>
          <w:position w:val="0"/>
        </w:rPr>
        <w:t>3,565.37</w:t>
      </w:r>
      <w:r>
        <w:rPr>
          <w:color w:val="000000"/>
          <w:spacing w:val="0"/>
          <w:w w:val="100"/>
          <w:position w:val="0"/>
        </w:rPr>
        <w:t>万股太光电信股份 被贵州省高级人民法院分两次进行强制执行，分别变卖给：北京新唐建筑装饰工程有限公司</w:t>
      </w:r>
      <w:r>
        <w:rPr>
          <w:rFonts w:ascii="Times New Roman" w:eastAsia="Times New Roman" w:hAnsi="Times New Roman" w:cs="Times New Roman"/>
          <w:color w:val="000000"/>
          <w:spacing w:val="0"/>
          <w:w w:val="100"/>
          <w:position w:val="0"/>
        </w:rPr>
        <w:t>1,886.14</w:t>
      </w:r>
      <w:r>
        <w:rPr>
          <w:color w:val="000000"/>
          <w:spacing w:val="0"/>
          <w:w w:val="100"/>
          <w:position w:val="0"/>
        </w:rPr>
        <w:t>万股，占太光电信股本 总额的</w:t>
      </w:r>
      <w:r>
        <w:rPr>
          <w:rFonts w:ascii="Times New Roman" w:eastAsia="Times New Roman" w:hAnsi="Times New Roman" w:cs="Times New Roman"/>
          <w:color w:val="000000"/>
          <w:spacing w:val="0"/>
          <w:w w:val="100"/>
          <w:position w:val="0"/>
        </w:rPr>
        <w:t>23.05%</w:t>
      </w:r>
      <w:r>
        <w:rPr>
          <w:color w:val="000000"/>
          <w:spacing w:val="0"/>
          <w:w w:val="100"/>
          <w:position w:val="0"/>
        </w:rPr>
        <w:t>；北京德惠俱乐部有限公司</w:t>
      </w:r>
      <w:r>
        <w:rPr>
          <w:rFonts w:ascii="Times New Roman" w:eastAsia="Times New Roman" w:hAnsi="Times New Roman" w:cs="Times New Roman"/>
          <w:color w:val="000000"/>
          <w:spacing w:val="0"/>
          <w:w w:val="100"/>
          <w:position w:val="0"/>
        </w:rPr>
        <w:t>1,305.23</w:t>
      </w:r>
      <w:r>
        <w:rPr>
          <w:color w:val="000000"/>
          <w:spacing w:val="0"/>
          <w:w w:val="100"/>
          <w:position w:val="0"/>
        </w:rPr>
        <w:t>万股，占太光电信股本总额的</w:t>
      </w:r>
      <w:r>
        <w:rPr>
          <w:rFonts w:ascii="Times New Roman" w:eastAsia="Times New Roman" w:hAnsi="Times New Roman" w:cs="Times New Roman"/>
          <w:color w:val="000000"/>
          <w:spacing w:val="0"/>
          <w:w w:val="100"/>
          <w:position w:val="0"/>
        </w:rPr>
        <w:t>15.95%</w:t>
      </w:r>
      <w:r>
        <w:rPr>
          <w:color w:val="000000"/>
          <w:spacing w:val="0"/>
          <w:w w:val="100"/>
          <w:position w:val="0"/>
        </w:rPr>
        <w:t>；广州银鹏经济发展公司</w:t>
      </w:r>
      <w:r>
        <w:rPr>
          <w:rFonts w:ascii="Times New Roman" w:eastAsia="Times New Roman" w:hAnsi="Times New Roman" w:cs="Times New Roman"/>
          <w:color w:val="000000"/>
          <w:spacing w:val="0"/>
          <w:w w:val="100"/>
          <w:position w:val="0"/>
        </w:rPr>
        <w:t>374.00</w:t>
      </w:r>
      <w:r>
        <w:rPr>
          <w:color w:val="000000"/>
          <w:spacing w:val="0"/>
          <w:w w:val="100"/>
          <w:position w:val="0"/>
        </w:rPr>
        <w:t>万股， 占太光电信股本总额的</w:t>
      </w:r>
      <w:r>
        <w:rPr>
          <w:rFonts w:ascii="Times New Roman" w:eastAsia="Times New Roman" w:hAnsi="Times New Roman" w:cs="Times New Roman"/>
          <w:color w:val="000000"/>
          <w:spacing w:val="0"/>
          <w:w w:val="100"/>
          <w:position w:val="0"/>
        </w:rPr>
        <w:t>4.57%</w:t>
      </w:r>
      <w:r>
        <w:rPr>
          <w:color w:val="000000"/>
          <w:spacing w:val="0"/>
          <w:w w:val="100"/>
          <w:position w:val="0"/>
        </w:rPr>
        <w:t>。</w:t>
      </w:r>
    </w:p>
    <w:p>
      <w:pPr>
        <w:pStyle w:val="Style37"/>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日，广东金龙基企业有限公司等八家公司股东与深圳市太光科技有限公司签订《股权转让协议》，广东金 龙基企业有限公司等八家股东将合计持有的太光电信股份</w:t>
      </w:r>
      <w:r>
        <w:rPr>
          <w:rFonts w:ascii="Times New Roman" w:eastAsia="Times New Roman" w:hAnsi="Times New Roman" w:cs="Times New Roman"/>
          <w:color w:val="000000"/>
          <w:spacing w:val="0"/>
          <w:w w:val="100"/>
          <w:position w:val="0"/>
        </w:rPr>
        <w:t>1,989.71</w:t>
      </w:r>
      <w:r>
        <w:rPr>
          <w:color w:val="000000"/>
          <w:spacing w:val="0"/>
          <w:w w:val="100"/>
          <w:position w:val="0"/>
        </w:rPr>
        <w:t>万股转让给深圳市太光科技有限公司。</w:t>
      </w:r>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经过上述股权变动，深圳市太光科技有限公司成为太光电信的控股股东。</w:t>
      </w:r>
    </w:p>
    <w:p>
      <w:pPr>
        <w:pStyle w:val="Style37"/>
        <w:keepNext w:val="0"/>
        <w:keepLines w:val="0"/>
        <w:widowControl w:val="0"/>
        <w:shd w:val="clear" w:color="auto" w:fill="auto"/>
        <w:tabs>
          <w:tab w:pos="893" w:val="left"/>
        </w:tabs>
        <w:bidi w:val="0"/>
        <w:spacing w:before="0" w:after="0" w:line="316" w:lineRule="exact"/>
        <w:ind w:left="0" w:right="0" w:firstLine="46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2002</w:t>
      </w:r>
      <w:r>
        <w:rPr>
          <w:color w:val="000000"/>
          <w:spacing w:val="0"/>
          <w:w w:val="100"/>
          <w:position w:val="0"/>
        </w:rPr>
        <w:t>年太光电信股权变更</w:t>
      </w:r>
    </w:p>
    <w:p>
      <w:pPr>
        <w:pStyle w:val="Style37"/>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月，巨龙信息技术有限责任公司收购太光电信第二大股东北京新唐建筑装饰工程有限公司和第三大股东北京德 惠俱乐部有限公司合计所持有的太光电信股份</w:t>
      </w:r>
      <w:r>
        <w:rPr>
          <w:rFonts w:ascii="Times New Roman" w:eastAsia="Times New Roman" w:hAnsi="Times New Roman" w:cs="Times New Roman"/>
          <w:color w:val="000000"/>
          <w:spacing w:val="0"/>
          <w:w w:val="100"/>
          <w:position w:val="0"/>
        </w:rPr>
        <w:t>1,983.37</w:t>
      </w:r>
      <w:r>
        <w:rPr>
          <w:color w:val="000000"/>
          <w:spacing w:val="0"/>
          <w:w w:val="100"/>
          <w:position w:val="0"/>
        </w:rPr>
        <w:t>万股，占太光电信总股本的</w:t>
      </w:r>
      <w:r>
        <w:rPr>
          <w:rFonts w:ascii="Times New Roman" w:eastAsia="Times New Roman" w:hAnsi="Times New Roman" w:cs="Times New Roman"/>
          <w:color w:val="000000"/>
          <w:spacing w:val="0"/>
          <w:w w:val="100"/>
          <w:position w:val="0"/>
        </w:rPr>
        <w:t>24.24%</w:t>
      </w:r>
      <w:r>
        <w:rPr>
          <w:color w:val="000000"/>
          <w:spacing w:val="0"/>
          <w:w w:val="100"/>
          <w:position w:val="0"/>
        </w:rPr>
        <w:t>,成为太光电信第二大股东。</w:t>
      </w:r>
    </w:p>
    <w:p>
      <w:pPr>
        <w:pStyle w:val="Style37"/>
        <w:keepNext w:val="0"/>
        <w:keepLines w:val="0"/>
        <w:widowControl w:val="0"/>
        <w:shd w:val="clear" w:color="auto" w:fill="auto"/>
        <w:tabs>
          <w:tab w:pos="893" w:val="left"/>
        </w:tabs>
        <w:bidi w:val="0"/>
        <w:spacing w:before="0" w:after="0" w:line="316" w:lineRule="exact"/>
        <w:ind w:left="0" w:right="0" w:firstLine="46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年太光电信股权变更</w:t>
      </w:r>
    </w:p>
    <w:p>
      <w:pPr>
        <w:pStyle w:val="Style37"/>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月，因欠款纠纷，北京市第二中级人民法院将巨龙信息技术有限责任公司所持太光电信股份</w:t>
      </w:r>
      <w:r>
        <w:rPr>
          <w:rFonts w:ascii="Times New Roman" w:eastAsia="Times New Roman" w:hAnsi="Times New Roman" w:cs="Times New Roman"/>
          <w:color w:val="000000"/>
          <w:spacing w:val="0"/>
          <w:w w:val="100"/>
          <w:position w:val="0"/>
        </w:rPr>
        <w:t>608.37</w:t>
      </w:r>
      <w:r>
        <w:rPr>
          <w:color w:val="000000"/>
          <w:spacing w:val="0"/>
          <w:w w:val="100"/>
          <w:position w:val="0"/>
        </w:rPr>
        <w:t>万股（占太 光电信总股本的</w:t>
      </w:r>
      <w:r>
        <w:rPr>
          <w:rFonts w:ascii="Times New Roman" w:eastAsia="Times New Roman" w:hAnsi="Times New Roman" w:cs="Times New Roman"/>
          <w:color w:val="000000"/>
          <w:spacing w:val="0"/>
          <w:w w:val="100"/>
          <w:position w:val="0"/>
        </w:rPr>
        <w:t>7.44%</w:t>
      </w:r>
      <w:r>
        <w:rPr>
          <w:color w:val="000000"/>
          <w:spacing w:val="0"/>
          <w:w w:val="100"/>
          <w:position w:val="0"/>
        </w:rPr>
        <w:t>）公开拍卖，由上海华之达商贸有限公司竞买取得并成为太光电信第三大股东。</w:t>
      </w:r>
    </w:p>
    <w:p>
      <w:pPr>
        <w:pStyle w:val="Style37"/>
        <w:keepNext w:val="0"/>
        <w:keepLines w:val="0"/>
        <w:widowControl w:val="0"/>
        <w:shd w:val="clear" w:color="auto" w:fill="auto"/>
        <w:tabs>
          <w:tab w:pos="893" w:val="left"/>
        </w:tabs>
        <w:bidi w:val="0"/>
        <w:spacing w:before="0" w:after="0" w:line="316" w:lineRule="exact"/>
        <w:ind w:left="0" w:right="0" w:firstLine="46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年太光电信控股股东更名</w:t>
      </w:r>
    </w:p>
    <w:p>
      <w:pPr>
        <w:pStyle w:val="Style37"/>
        <w:keepNext w:val="0"/>
        <w:keepLines w:val="0"/>
        <w:widowControl w:val="0"/>
        <w:shd w:val="clear" w:color="auto" w:fill="auto"/>
        <w:bidi w:val="0"/>
        <w:spacing w:before="0" w:after="80" w:line="316" w:lineRule="exact"/>
        <w:ind w:left="0" w:right="0" w:firstLine="46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日，太光电信控股股东深圳市太光科技有限公司更名为深圳市申昌科技有限公司（以下简称深圳申昌科 技）。</w:t>
      </w:r>
    </w:p>
    <w:p>
      <w:pPr>
        <w:pStyle w:val="Style37"/>
        <w:keepNext w:val="0"/>
        <w:keepLines w:val="0"/>
        <w:widowControl w:val="0"/>
        <w:shd w:val="clear" w:color="auto" w:fill="auto"/>
        <w:bidi w:val="0"/>
        <w:spacing w:before="0" w:after="80" w:line="240" w:lineRule="auto"/>
        <w:ind w:left="0" w:right="0" w:firstLine="64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年太光电信股权变更</w:t>
      </w:r>
    </w:p>
    <w:p>
      <w:pPr>
        <w:pStyle w:val="Style37"/>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日，太光电信第二大股东巨龙信息技术有限责任公司所持有的太光电信</w:t>
      </w:r>
      <w:r>
        <w:rPr>
          <w:rFonts w:ascii="Times New Roman" w:eastAsia="Times New Roman" w:hAnsi="Times New Roman" w:cs="Times New Roman"/>
          <w:color w:val="000000"/>
          <w:spacing w:val="0"/>
          <w:w w:val="100"/>
          <w:position w:val="0"/>
        </w:rPr>
        <w:t>1,375.00</w:t>
      </w:r>
      <w:r>
        <w:rPr>
          <w:color w:val="000000"/>
          <w:spacing w:val="0"/>
          <w:w w:val="100"/>
          <w:position w:val="0"/>
        </w:rPr>
        <w:t>万股股份被拍卖给四家公 司，其中上海锯爱企业发展有限公司购买</w:t>
      </w:r>
      <w:r>
        <w:rPr>
          <w:rFonts w:ascii="Times New Roman" w:eastAsia="Times New Roman" w:hAnsi="Times New Roman" w:cs="Times New Roman"/>
          <w:color w:val="000000"/>
          <w:spacing w:val="0"/>
          <w:w w:val="100"/>
          <w:position w:val="0"/>
        </w:rPr>
        <w:t>400.00</w:t>
      </w:r>
      <w:r>
        <w:rPr>
          <w:color w:val="000000"/>
          <w:spacing w:val="0"/>
          <w:w w:val="100"/>
          <w:position w:val="0"/>
        </w:rPr>
        <w:t>万股，上海优麦点广告有限公司购买</w:t>
      </w:r>
      <w:r>
        <w:rPr>
          <w:rFonts w:ascii="Times New Roman" w:eastAsia="Times New Roman" w:hAnsi="Times New Roman" w:cs="Times New Roman"/>
          <w:color w:val="000000"/>
          <w:spacing w:val="0"/>
          <w:w w:val="100"/>
          <w:position w:val="0"/>
        </w:rPr>
        <w:t>400.00</w:t>
      </w:r>
      <w:r>
        <w:rPr>
          <w:color w:val="000000"/>
          <w:spacing w:val="0"/>
          <w:w w:val="100"/>
          <w:position w:val="0"/>
        </w:rPr>
        <w:t>万股，陕西瑞发投资有限公司购 买</w:t>
      </w:r>
      <w:r>
        <w:rPr>
          <w:rFonts w:ascii="Times New Roman" w:eastAsia="Times New Roman" w:hAnsi="Times New Roman" w:cs="Times New Roman"/>
          <w:color w:val="000000"/>
          <w:spacing w:val="0"/>
          <w:w w:val="100"/>
          <w:position w:val="0"/>
        </w:rPr>
        <w:t>400.00</w:t>
      </w:r>
      <w:r>
        <w:rPr>
          <w:color w:val="000000"/>
          <w:spacing w:val="0"/>
          <w:w w:val="100"/>
          <w:position w:val="0"/>
        </w:rPr>
        <w:t>万股，海南合旺实业投资有限公司购买</w:t>
      </w:r>
      <w:r>
        <w:rPr>
          <w:rFonts w:ascii="Times New Roman" w:eastAsia="Times New Roman" w:hAnsi="Times New Roman" w:cs="Times New Roman"/>
          <w:color w:val="000000"/>
          <w:spacing w:val="0"/>
          <w:w w:val="100"/>
          <w:position w:val="0"/>
        </w:rPr>
        <w:t>175.00</w:t>
      </w:r>
      <w:r>
        <w:rPr>
          <w:color w:val="000000"/>
          <w:spacing w:val="0"/>
          <w:w w:val="100"/>
          <w:position w:val="0"/>
        </w:rPr>
        <w:t>万股。巨龙信息技术有限责任公司不再持有太光电信股份。</w:t>
      </w:r>
    </w:p>
    <w:p>
      <w:pPr>
        <w:pStyle w:val="Style37"/>
        <w:keepNext w:val="0"/>
        <w:keepLines w:val="0"/>
        <w:widowControl w:val="0"/>
        <w:shd w:val="clear" w:color="auto" w:fill="auto"/>
        <w:tabs>
          <w:tab w:pos="865" w:val="left"/>
        </w:tabs>
        <w:bidi w:val="0"/>
        <w:spacing w:before="0" w:after="0" w:line="313" w:lineRule="exact"/>
        <w:ind w:left="0" w:right="0" w:firstLine="48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年股权分置改革</w:t>
      </w:r>
    </w:p>
    <w:p>
      <w:pPr>
        <w:pStyle w:val="Style37"/>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日，太光电信召开</w:t>
      </w: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年第二次临时股东大会审议通过了股权分置改革方案：以</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日流通股 </w:t>
      </w:r>
      <w:r>
        <w:rPr>
          <w:rFonts w:ascii="Times New Roman" w:eastAsia="Times New Roman" w:hAnsi="Times New Roman" w:cs="Times New Roman"/>
          <w:color w:val="000000"/>
          <w:spacing w:val="0"/>
          <w:w w:val="100"/>
          <w:position w:val="0"/>
        </w:rPr>
        <w:t>2,200.00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股的比例，以资本公积金向全体流通股股东转增股本。股权分置改革完成后，太光电信 总股本增至</w:t>
      </w:r>
      <w:r>
        <w:rPr>
          <w:rFonts w:ascii="Times New Roman" w:eastAsia="Times New Roman" w:hAnsi="Times New Roman" w:cs="Times New Roman"/>
          <w:color w:val="000000"/>
          <w:spacing w:val="0"/>
          <w:w w:val="100"/>
          <w:position w:val="0"/>
        </w:rPr>
        <w:t>9,062.77</w:t>
      </w:r>
      <w:r>
        <w:rPr>
          <w:color w:val="000000"/>
          <w:spacing w:val="0"/>
          <w:w w:val="100"/>
          <w:position w:val="0"/>
        </w:rPr>
        <w:t>万股。</w:t>
      </w:r>
    </w:p>
    <w:p>
      <w:pPr>
        <w:pStyle w:val="Style37"/>
        <w:keepNext w:val="0"/>
        <w:keepLines w:val="0"/>
        <w:widowControl w:val="0"/>
        <w:shd w:val="clear" w:color="auto" w:fill="auto"/>
        <w:tabs>
          <w:tab w:pos="865" w:val="left"/>
        </w:tabs>
        <w:bidi w:val="0"/>
        <w:spacing w:before="0" w:after="0" w:line="313" w:lineRule="exact"/>
        <w:ind w:left="0" w:right="0" w:firstLine="4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年太光电信控股股东更名</w:t>
      </w:r>
    </w:p>
    <w:p>
      <w:pPr>
        <w:pStyle w:val="Style37"/>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日，太光电信控股股东深圳申昌科技更名为昆山市申昌科技有限公司（以下简称申昌科技）。截至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日前，申昌科技持有太光电信</w:t>
      </w:r>
      <w:r>
        <w:rPr>
          <w:rFonts w:ascii="Times New Roman" w:eastAsia="Times New Roman" w:hAnsi="Times New Roman" w:cs="Times New Roman"/>
          <w:color w:val="000000"/>
          <w:spacing w:val="0"/>
          <w:w w:val="100"/>
          <w:position w:val="0"/>
        </w:rPr>
        <w:t>1,989.7</w:t>
      </w:r>
      <w:r>
        <w:rPr>
          <w:rFonts w:ascii="Times New Roman" w:eastAsia="Times New Roman" w:hAnsi="Times New Roman" w:cs="Times New Roman"/>
          <w:color w:val="000000"/>
          <w:spacing w:val="0"/>
          <w:w w:val="100"/>
          <w:position w:val="0"/>
        </w:rPr>
        <w:t>1</w:t>
      </w:r>
      <w:r>
        <w:rPr>
          <w:color w:val="000000"/>
          <w:spacing w:val="0"/>
          <w:w w:val="100"/>
          <w:position w:val="0"/>
        </w:rPr>
        <w:t>万股，持股比例</w:t>
      </w:r>
      <w:r>
        <w:rPr>
          <w:rFonts w:ascii="Times New Roman" w:eastAsia="Times New Roman" w:hAnsi="Times New Roman" w:cs="Times New Roman"/>
          <w:color w:val="000000"/>
          <w:spacing w:val="0"/>
          <w:w w:val="100"/>
          <w:position w:val="0"/>
        </w:rPr>
        <w:t>21.95%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30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年度重大资产重组</w:t>
      </w:r>
    </w:p>
    <w:p>
      <w:pPr>
        <w:pStyle w:val="Style3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根据太光电信</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年第二次临时股东大会决议通过的《关于公司吸收合并神州信息并募集配套资金构成重大资产重组 且构成关联交易的议案》、《关于公司吸收合并神州信息并募集配套资金具体方案的议案（修订）》、《关于公司与申昌科 技签署</w:t>
      </w:r>
      <w:r>
        <w:rPr>
          <w:color w:val="000000"/>
          <w:spacing w:val="0"/>
          <w:w w:val="100"/>
          <w:position w:val="0"/>
        </w:rPr>
        <w:t>〈</w:t>
      </w:r>
      <w:r>
        <w:rPr>
          <w:color w:val="000000"/>
          <w:spacing w:val="0"/>
          <w:w w:val="100"/>
          <w:position w:val="0"/>
        </w:rPr>
        <w:t>关于深圳市太光电信股份有限公司向特定对象发行股份之股份认购协议</w:t>
      </w:r>
      <w:r>
        <w:rPr>
          <w:color w:val="000000"/>
          <w:spacing w:val="0"/>
          <w:w w:val="100"/>
          <w:position w:val="0"/>
        </w:rPr>
        <w:t>〉</w:t>
      </w:r>
      <w:r>
        <w:rPr>
          <w:color w:val="000000"/>
          <w:spacing w:val="0"/>
          <w:w w:val="100"/>
          <w:position w:val="0"/>
        </w:rPr>
        <w:t>的议案》、《关于公司与神州信息签署的</w:t>
      </w:r>
      <w:r>
        <w:rPr>
          <w:rFonts w:ascii="Times New Roman" w:eastAsia="Times New Roman" w:hAnsi="Times New Roman" w:cs="Times New Roman"/>
          <w:color w:val="000000"/>
          <w:spacing w:val="0"/>
          <w:w w:val="100"/>
          <w:position w:val="0"/>
        </w:rPr>
        <w:t xml:space="preserve">＜ </w:t>
      </w:r>
      <w:r>
        <w:rPr>
          <w:color w:val="000000"/>
          <w:spacing w:val="0"/>
          <w:w w:val="100"/>
          <w:position w:val="0"/>
        </w:rPr>
        <w:t>吸收合并协议</w:t>
      </w:r>
      <w:r>
        <w:rPr>
          <w:color w:val="000000"/>
          <w:spacing w:val="0"/>
          <w:w w:val="100"/>
          <w:position w:val="0"/>
        </w:rPr>
        <w:t>〉</w:t>
      </w:r>
      <w:r>
        <w:rPr>
          <w:color w:val="000000"/>
          <w:spacing w:val="0"/>
          <w:w w:val="100"/>
          <w:position w:val="0"/>
        </w:rPr>
        <w:t>及其补充协议的议案》，并经中国证券监督管理委员会证监许可</w:t>
      </w:r>
      <w:r>
        <w:rPr>
          <w:rFonts w:ascii="Times New Roman" w:eastAsia="Times New Roman" w:hAnsi="Times New Roman" w:cs="Times New Roman"/>
          <w:color w:val="000000"/>
          <w:spacing w:val="0"/>
          <w:w w:val="100"/>
          <w:position w:val="0"/>
        </w:rPr>
        <w:t>[2013]1578</w:t>
      </w:r>
      <w:r>
        <w:rPr>
          <w:color w:val="000000"/>
          <w:spacing w:val="0"/>
          <w:w w:val="100"/>
          <w:position w:val="0"/>
        </w:rPr>
        <w:t>号《关于核准深圳市太光电信股 份有限公司吸收合并神州数码信息服务股份有限公司并募集配套资金的批复》的核准，太光电信向神州信息的股东神州数码 软件有限公司（以下简称神码软件）、天津信锐投资合伙企业（有限合伙）（以下简称天津信锐）、中新苏州工业园区创业 投资有限公司（以下简称中新创投）、</w:t>
      </w:r>
      <w:r>
        <w:rPr>
          <w:rFonts w:ascii="Times New Roman" w:eastAsia="Times New Roman" w:hAnsi="Times New Roman" w:cs="Times New Roman"/>
          <w:color w:val="000000"/>
          <w:spacing w:val="0"/>
          <w:w w:val="100"/>
          <w:position w:val="0"/>
        </w:rPr>
        <w:t>Infinity I-China Investments （Israel）, L.P.</w:t>
      </w:r>
      <w:r>
        <w:rPr>
          <w:color w:val="000000"/>
          <w:spacing w:val="0"/>
          <w:w w:val="100"/>
          <w:position w:val="0"/>
        </w:rPr>
        <w:t>（</w:t>
      </w:r>
      <w:r>
        <w:rPr>
          <w:color w:val="000000"/>
          <w:spacing w:val="0"/>
          <w:w w:val="100"/>
          <w:position w:val="0"/>
        </w:rPr>
        <w:t>以下简称华亿投资）、南京汇庆天下科技有 限公司（以下简称南京汇庆）发行</w:t>
      </w:r>
      <w:r>
        <w:rPr>
          <w:rFonts w:ascii="Times New Roman" w:eastAsia="Times New Roman" w:hAnsi="Times New Roman" w:cs="Times New Roman"/>
          <w:color w:val="000000"/>
          <w:spacing w:val="0"/>
          <w:w w:val="100"/>
          <w:position w:val="0"/>
        </w:rPr>
        <w:t>319,399,894.00</w:t>
      </w:r>
      <w:r>
        <w:rPr>
          <w:color w:val="000000"/>
          <w:spacing w:val="0"/>
          <w:w w:val="100"/>
          <w:position w:val="0"/>
        </w:rPr>
        <w:t>股股份（每股面值人民币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元）吸收合并神州信息，向控股股东申昌科技 发行新股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1,186,440.00</w:t>
      </w:r>
      <w:r>
        <w:rPr>
          <w:color w:val="000000"/>
          <w:spacing w:val="0"/>
          <w:w w:val="100"/>
          <w:position w:val="0"/>
        </w:rPr>
        <w:t>股募集配套资金，并申请增加注册资本人民币</w:t>
      </w:r>
      <w:r>
        <w:rPr>
          <w:rFonts w:ascii="Times New Roman" w:eastAsia="Times New Roman" w:hAnsi="Times New Roman" w:cs="Times New Roman"/>
          <w:color w:val="000000"/>
          <w:spacing w:val="0"/>
          <w:w w:val="100"/>
          <w:position w:val="0"/>
        </w:rPr>
        <w:t>340,586,334.00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根据《吸收合并协议》及补充协议，太光电信向神州信息股东发行股份</w:t>
      </w:r>
      <w:r>
        <w:rPr>
          <w:rFonts w:ascii="Times New Roman" w:eastAsia="Times New Roman" w:hAnsi="Times New Roman" w:cs="Times New Roman"/>
          <w:color w:val="000000"/>
          <w:spacing w:val="0"/>
          <w:w w:val="100"/>
          <w:position w:val="0"/>
        </w:rPr>
        <w:t>319,399,894.00</w:t>
      </w:r>
      <w:r>
        <w:rPr>
          <w:color w:val="000000"/>
          <w:spacing w:val="0"/>
          <w:w w:val="100"/>
          <w:position w:val="0"/>
        </w:rPr>
        <w:t>股（发行价格为</w:t>
      </w:r>
      <w:r>
        <w:rPr>
          <w:rFonts w:ascii="Times New Roman" w:eastAsia="Times New Roman" w:hAnsi="Times New Roman" w:cs="Times New Roman"/>
          <w:color w:val="000000"/>
          <w:spacing w:val="0"/>
          <w:w w:val="100"/>
          <w:position w:val="0"/>
        </w:rPr>
        <w:t>9.44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股），用 以支付吸收合并之对价；神州信息股东神码软件、天津信锐、中新创投、华亿投资、南京汇庆以其持有的神州信息的全部资 产、负债及业务认购</w:t>
      </w:r>
      <w:r>
        <w:rPr>
          <w:rFonts w:ascii="Times New Roman" w:eastAsia="Times New Roman" w:hAnsi="Times New Roman" w:cs="Times New Roman"/>
          <w:color w:val="000000"/>
          <w:spacing w:val="0"/>
          <w:w w:val="100"/>
          <w:position w:val="0"/>
        </w:rPr>
        <w:t>319,399,894.00</w:t>
      </w:r>
      <w:r>
        <w:rPr>
          <w:color w:val="000000"/>
          <w:spacing w:val="0"/>
          <w:w w:val="100"/>
          <w:position w:val="0"/>
        </w:rPr>
        <w:t>股股份。太光电信向控股股东申昌科技发行股份募集配套资金的发行价格与向神州信息 股东发行股份价格一致。</w:t>
      </w:r>
    </w:p>
    <w:p>
      <w:pPr>
        <w:pStyle w:val="Style37"/>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日，太光电信与神州信息签署《资产交割确认书》，自资产交割日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日起，神州信息的全部 资产、负债、业务由太光电信享有和承担；神州信息的业务随资产、负债转由太光电信承担，由此产生的收益、风险由太光 电信承担。</w:t>
      </w:r>
    </w:p>
    <w:p>
      <w:pPr>
        <w:pStyle w:val="Style37"/>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日，太光电信在资产过户完成后即向中国证券登记结算有限责任公司深圳分公司申请办理增发股份登记 事项，新发股份于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日正式上市。</w:t>
      </w:r>
    </w:p>
    <w:p>
      <w:pPr>
        <w:pStyle w:val="Style37"/>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日，太光电信注册资本变更为</w:t>
      </w:r>
      <w:r>
        <w:rPr>
          <w:rFonts w:ascii="Times New Roman" w:eastAsia="Times New Roman" w:hAnsi="Times New Roman" w:cs="Times New Roman"/>
          <w:color w:val="000000"/>
          <w:spacing w:val="0"/>
          <w:w w:val="100"/>
          <w:position w:val="0"/>
        </w:rPr>
        <w:t>431,214,014.00</w:t>
      </w:r>
      <w:r>
        <w:rPr>
          <w:color w:val="000000"/>
          <w:spacing w:val="0"/>
          <w:w w:val="100"/>
          <w:position w:val="0"/>
        </w:rPr>
        <w:t>元，并业经信永中和会计师事务所出具的</w:t>
      </w:r>
      <w:r>
        <w:rPr>
          <w:rFonts w:ascii="Times New Roman" w:eastAsia="Times New Roman" w:hAnsi="Times New Roman" w:cs="Times New Roman"/>
          <w:color w:val="000000"/>
          <w:spacing w:val="0"/>
          <w:w w:val="100"/>
          <w:position w:val="0"/>
        </w:rPr>
        <w:t xml:space="preserve">XYZH/2012A1055-8 </w:t>
      </w:r>
      <w:r>
        <w:rPr>
          <w:color w:val="000000"/>
          <w:spacing w:val="0"/>
          <w:w w:val="100"/>
          <w:position w:val="0"/>
        </w:rPr>
        <w:t>号《验资报告》验证。</w:t>
      </w:r>
    </w:p>
    <w:p>
      <w:pPr>
        <w:pStyle w:val="Style3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太光电信吸收合并完成前控股股东为昆山市申昌科技有限公司；吸收合并完成后控股股东变更为神州数码软件有限公 司（持股比例</w:t>
      </w:r>
      <w:r>
        <w:rPr>
          <w:rFonts w:ascii="Times New Roman" w:eastAsia="Times New Roman" w:hAnsi="Times New Roman" w:cs="Times New Roman"/>
          <w:color w:val="000000"/>
          <w:spacing w:val="0"/>
          <w:w w:val="100"/>
          <w:position w:val="0"/>
        </w:rPr>
        <w:t>45.17%</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日，经国家工商总局和深圳市市场监督管理局核准，太光电信完成了工商变更登记手续，公司名称由</w:t>
      </w:r>
      <w:r>
        <w:rPr>
          <w:rFonts w:ascii="Times New Roman" w:eastAsia="Times New Roman" w:hAnsi="Times New Roman" w:cs="Times New Roman"/>
          <w:color w:val="000000"/>
          <w:spacing w:val="0"/>
          <w:w w:val="100"/>
          <w:position w:val="0"/>
        </w:rPr>
        <w:t>“</w:t>
      </w:r>
      <w:r>
        <w:rPr>
          <w:color w:val="000000"/>
          <w:spacing w:val="0"/>
          <w:w w:val="100"/>
          <w:position w:val="0"/>
        </w:rPr>
        <w:t>深 圳市太光电信股份有限公司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日为界限，之前公司名称为</w:t>
      </w:r>
      <w:r>
        <w:rPr>
          <w:rFonts w:ascii="Times New Roman" w:eastAsia="Times New Roman" w:hAnsi="Times New Roman" w:cs="Times New Roman"/>
          <w:color w:val="000000"/>
          <w:spacing w:val="0"/>
          <w:w w:val="100"/>
          <w:position w:val="0"/>
        </w:rPr>
        <w:t>“</w:t>
      </w:r>
      <w:r>
        <w:rPr>
          <w:color w:val="000000"/>
          <w:spacing w:val="0"/>
          <w:w w:val="100"/>
          <w:position w:val="0"/>
        </w:rPr>
        <w:t>深圳市 太光电信股份有限公司</w:t>
      </w:r>
      <w:r>
        <w:rPr>
          <w:rFonts w:ascii="Times New Roman" w:eastAsia="Times New Roman" w:hAnsi="Times New Roman" w:cs="Times New Roman"/>
          <w:color w:val="000000"/>
          <w:spacing w:val="0"/>
          <w:w w:val="100"/>
          <w:position w:val="0"/>
        </w:rPr>
        <w:t>”</w:t>
      </w:r>
      <w:r>
        <w:rPr>
          <w:color w:val="000000"/>
          <w:spacing w:val="0"/>
          <w:w w:val="100"/>
          <w:position w:val="0"/>
        </w:rPr>
        <w:t>，之后公司名称为</w:t>
      </w:r>
      <w:r>
        <w:rPr>
          <w:rFonts w:ascii="Times New Roman" w:eastAsia="Times New Roman" w:hAnsi="Times New Roman" w:cs="Times New Roman"/>
          <w:color w:val="000000"/>
          <w:spacing w:val="0"/>
          <w:w w:val="100"/>
          <w:position w:val="0"/>
        </w:rPr>
        <w:t>“</w:t>
      </w: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w:t>
      </w:r>
      <w:r>
        <w:rPr>
          <w:color w:val="000000"/>
          <w:spacing w:val="0"/>
          <w:w w:val="100"/>
          <w:position w:val="0"/>
        </w:rPr>
        <w:t>），法定代表人由</w:t>
      </w:r>
      <w:r>
        <w:rPr>
          <w:rFonts w:ascii="Times New Roman" w:eastAsia="Times New Roman" w:hAnsi="Times New Roman" w:cs="Times New Roman"/>
          <w:color w:val="000000"/>
          <w:spacing w:val="0"/>
          <w:w w:val="100"/>
          <w:position w:val="0"/>
        </w:rPr>
        <w:t>“</w:t>
      </w:r>
      <w:r>
        <w:rPr>
          <w:color w:val="000000"/>
          <w:spacing w:val="0"/>
          <w:w w:val="100"/>
          <w:position w:val="0"/>
        </w:rPr>
        <w:t>宋波</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郭为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8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年度发行股份及支付现金购买资产事项</w:t>
      </w:r>
    </w:p>
    <w:p>
      <w:pPr>
        <w:pStyle w:val="Style3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根据神州信息第六届董事会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年第七次临时会议决议通过的《关于公司向特定对象发行股份购买资产并募集配套资 金方案的议案》、第六届董事会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年第九次临时会议决议及</w:t>
      </w:r>
      <w:r>
        <w:rPr>
          <w:rFonts w:ascii="Times New Roman" w:eastAsia="Times New Roman" w:hAnsi="Times New Roman" w:cs="Times New Roman"/>
          <w:color w:val="000000"/>
          <w:spacing w:val="0"/>
          <w:w w:val="100"/>
          <w:position w:val="0"/>
        </w:rPr>
        <w:t>2014</w:t>
      </w:r>
      <w:r>
        <w:rPr>
          <w:color w:val="000000"/>
          <w:spacing w:val="0"/>
          <w:w w:val="100"/>
          <w:position w:val="0"/>
        </w:rPr>
        <w:t>年度第四次临时股东大会决议通过的《关于公司向特定对 象发行股份购买资产并募集配套资金方案的议案（修订）》及神州信息与北京中农信达信息技术有限公司（以下简称中农信 达）全体股东签署的《发行股份及支付现金购买资产协议》与《发行股份及支付现金购买资产协议之补充协议》，神州信息 拟购买中农信达</w:t>
      </w:r>
      <w:r>
        <w:rPr>
          <w:rFonts w:ascii="Times New Roman" w:eastAsia="Times New Roman" w:hAnsi="Times New Roman" w:cs="Times New Roman"/>
          <w:color w:val="000000"/>
          <w:spacing w:val="0"/>
          <w:w w:val="100"/>
          <w:position w:val="0"/>
        </w:rPr>
        <w:t>100.00%</w:t>
      </w:r>
      <w:r>
        <w:rPr>
          <w:color w:val="000000"/>
          <w:spacing w:val="0"/>
          <w:w w:val="100"/>
          <w:position w:val="0"/>
        </w:rPr>
        <w:t>股权。</w:t>
      </w:r>
    </w:p>
    <w:p>
      <w:pPr>
        <w:pStyle w:val="Style37"/>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中国证券监督管理委员会下发证监许可</w:t>
      </w:r>
      <w:r>
        <w:rPr>
          <w:rFonts w:ascii="Times New Roman" w:eastAsia="Times New Roman" w:hAnsi="Times New Roman" w:cs="Times New Roman"/>
          <w:color w:val="000000"/>
          <w:spacing w:val="0"/>
          <w:w w:val="100"/>
          <w:position w:val="0"/>
        </w:rPr>
        <w:t>[2014]1258</w:t>
      </w:r>
      <w:r>
        <w:rPr>
          <w:color w:val="000000"/>
          <w:spacing w:val="0"/>
          <w:w w:val="100"/>
          <w:position w:val="0"/>
        </w:rPr>
        <w:t>号《关于核准神州数码信息服务股份有限公司向冯健刚等发行股份 购买资产并募集配套资金的批复》，核准神州信息向冯健刚发行</w:t>
      </w:r>
      <w:r>
        <w:rPr>
          <w:rFonts w:ascii="Times New Roman" w:eastAsia="Times New Roman" w:hAnsi="Times New Roman" w:cs="Times New Roman"/>
          <w:color w:val="000000"/>
          <w:spacing w:val="0"/>
          <w:w w:val="100"/>
          <w:position w:val="0"/>
        </w:rPr>
        <w:t>6,073,988.00</w:t>
      </w:r>
      <w:r>
        <w:rPr>
          <w:color w:val="000000"/>
          <w:spacing w:val="0"/>
          <w:w w:val="100"/>
          <w:position w:val="0"/>
        </w:rPr>
        <w:t>股股份、向王宇飞发行</w:t>
      </w:r>
      <w:r>
        <w:rPr>
          <w:rFonts w:ascii="Times New Roman" w:eastAsia="Times New Roman" w:hAnsi="Times New Roman" w:cs="Times New Roman"/>
          <w:color w:val="000000"/>
          <w:spacing w:val="0"/>
          <w:w w:val="100"/>
          <w:position w:val="0"/>
        </w:rPr>
        <w:t>5,540,462.00</w:t>
      </w:r>
      <w:r>
        <w:rPr>
          <w:color w:val="000000"/>
          <w:spacing w:val="0"/>
          <w:w w:val="100"/>
          <w:position w:val="0"/>
        </w:rPr>
        <w:t xml:space="preserve">股股份、向 </w:t>
      </w:r>
      <w:r>
        <w:rPr>
          <w:color w:val="000000"/>
          <w:spacing w:val="0"/>
          <w:w w:val="100"/>
          <w:position w:val="0"/>
        </w:rPr>
        <w:t>张丹丹发行</w:t>
      </w:r>
      <w:r>
        <w:rPr>
          <w:rFonts w:ascii="Times New Roman" w:eastAsia="Times New Roman" w:hAnsi="Times New Roman" w:cs="Times New Roman"/>
          <w:color w:val="000000"/>
          <w:spacing w:val="0"/>
          <w:w w:val="100"/>
          <w:position w:val="0"/>
        </w:rPr>
        <w:t>4,432,369.00</w:t>
      </w:r>
      <w:r>
        <w:rPr>
          <w:color w:val="000000"/>
          <w:spacing w:val="0"/>
          <w:w w:val="100"/>
          <w:position w:val="0"/>
        </w:rPr>
        <w:t>股股份、向贺胜龙发行</w:t>
      </w:r>
      <w:r>
        <w:rPr>
          <w:rFonts w:ascii="Times New Roman" w:eastAsia="Times New Roman" w:hAnsi="Times New Roman" w:cs="Times New Roman"/>
          <w:color w:val="000000"/>
          <w:spacing w:val="0"/>
          <w:w w:val="100"/>
          <w:position w:val="0"/>
        </w:rPr>
        <w:t>3,078,033.00</w:t>
      </w:r>
      <w:r>
        <w:rPr>
          <w:color w:val="000000"/>
          <w:spacing w:val="0"/>
          <w:w w:val="100"/>
          <w:position w:val="0"/>
        </w:rPr>
        <w:t>股股份、向王正发行</w:t>
      </w:r>
      <w:r>
        <w:rPr>
          <w:rFonts w:ascii="Times New Roman" w:eastAsia="Times New Roman" w:hAnsi="Times New Roman" w:cs="Times New Roman"/>
          <w:color w:val="000000"/>
          <w:spacing w:val="0"/>
          <w:w w:val="100"/>
          <w:position w:val="0"/>
        </w:rPr>
        <w:t>820,809.00</w:t>
      </w:r>
      <w:r>
        <w:rPr>
          <w:color w:val="000000"/>
          <w:spacing w:val="0"/>
          <w:w w:val="100"/>
          <w:position w:val="0"/>
        </w:rPr>
        <w:t>股股份、向蒋云发行</w:t>
      </w:r>
      <w:r>
        <w:rPr>
          <w:rFonts w:ascii="Times New Roman" w:eastAsia="Times New Roman" w:hAnsi="Times New Roman" w:cs="Times New Roman"/>
          <w:color w:val="000000"/>
          <w:spacing w:val="0"/>
          <w:w w:val="100"/>
          <w:position w:val="0"/>
        </w:rPr>
        <w:t>287,283.00</w:t>
      </w:r>
      <w:r>
        <w:rPr>
          <w:color w:val="000000"/>
          <w:spacing w:val="0"/>
          <w:w w:val="100"/>
          <w:position w:val="0"/>
        </w:rPr>
        <w:t>股 股份、向王建林发行</w:t>
      </w:r>
      <w:r>
        <w:rPr>
          <w:rFonts w:ascii="Times New Roman" w:eastAsia="Times New Roman" w:hAnsi="Times New Roman" w:cs="Times New Roman"/>
          <w:color w:val="000000"/>
          <w:spacing w:val="0"/>
          <w:w w:val="100"/>
          <w:position w:val="0"/>
        </w:rPr>
        <w:t>287,283.00</w:t>
      </w:r>
      <w:r>
        <w:rPr>
          <w:color w:val="000000"/>
          <w:spacing w:val="0"/>
          <w:w w:val="100"/>
          <w:position w:val="0"/>
        </w:rPr>
        <w:t>股股份购买相关资产，核准神州信息非公开发行不超过</w:t>
      </w:r>
      <w:r>
        <w:rPr>
          <w:rFonts w:ascii="Times New Roman" w:eastAsia="Times New Roman" w:hAnsi="Times New Roman" w:cs="Times New Roman"/>
          <w:color w:val="000000"/>
          <w:spacing w:val="0"/>
          <w:w w:val="100"/>
          <w:position w:val="0"/>
        </w:rPr>
        <w:t>10,856,269.00</w:t>
      </w:r>
      <w:r>
        <w:rPr>
          <w:color w:val="000000"/>
          <w:spacing w:val="0"/>
          <w:w w:val="100"/>
          <w:position w:val="0"/>
        </w:rPr>
        <w:t>股新股募集上述发行股 份购买资产的配套资金。</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根据《发行股份及支付现金购买资产协议》与《发行股份及支付现金购买资产协议之补充协议》，神州信息向前述的 中农信达原股东发行股份共计</w:t>
      </w:r>
      <w:r>
        <w:rPr>
          <w:rFonts w:ascii="Times New Roman" w:eastAsia="Times New Roman" w:hAnsi="Times New Roman" w:cs="Times New Roman"/>
          <w:color w:val="000000"/>
          <w:spacing w:val="0"/>
          <w:w w:val="100"/>
          <w:position w:val="0"/>
        </w:rPr>
        <w:t>20,520,227.00</w:t>
      </w:r>
      <w:r>
        <w:rPr>
          <w:color w:val="000000"/>
          <w:spacing w:val="0"/>
          <w:w w:val="100"/>
          <w:position w:val="0"/>
        </w:rPr>
        <w:t>股（发行价格为</w:t>
      </w:r>
      <w:r>
        <w:rPr>
          <w:rFonts w:ascii="Times New Roman" w:eastAsia="Times New Roman" w:hAnsi="Times New Roman" w:cs="Times New Roman"/>
          <w:color w:val="000000"/>
          <w:spacing w:val="0"/>
          <w:w w:val="100"/>
          <w:position w:val="0"/>
        </w:rPr>
        <w:t>24.22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日止，公司已收到新增注册资本 人民币</w:t>
      </w:r>
      <w:r>
        <w:rPr>
          <w:rFonts w:ascii="Times New Roman" w:eastAsia="Times New Roman" w:hAnsi="Times New Roman" w:cs="Times New Roman"/>
          <w:color w:val="000000"/>
          <w:spacing w:val="0"/>
          <w:w w:val="100"/>
          <w:position w:val="0"/>
        </w:rPr>
        <w:t>20,520,227.00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451,734,241.00</w:t>
      </w:r>
      <w:r>
        <w:rPr>
          <w:color w:val="000000"/>
          <w:spacing w:val="0"/>
          <w:w w:val="100"/>
          <w:position w:val="0"/>
        </w:rPr>
        <w:t xml:space="preserve">元，并业经信永中和会计师事务所出具的 </w:t>
      </w:r>
      <w:r>
        <w:rPr>
          <w:rFonts w:ascii="Times New Roman" w:eastAsia="Times New Roman" w:hAnsi="Times New Roman" w:cs="Times New Roman"/>
          <w:color w:val="000000"/>
          <w:spacing w:val="0"/>
          <w:w w:val="100"/>
          <w:position w:val="0"/>
        </w:rPr>
        <w:t>XYZH/2014A1054-5</w:t>
      </w:r>
      <w:r>
        <w:rPr>
          <w:color w:val="000000"/>
          <w:spacing w:val="0"/>
          <w:w w:val="100"/>
          <w:position w:val="0"/>
        </w:rPr>
        <w:t>号《验资报告》验证。</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根据《发行股份及支付现金购买资产协议》、《发行股份及支付现金购买资产协议之补充协议》及证监许可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2014]1258 </w:t>
      </w:r>
      <w:r>
        <w:rPr>
          <w:color w:val="000000"/>
          <w:spacing w:val="0"/>
          <w:w w:val="100"/>
          <w:position w:val="0"/>
        </w:rPr>
        <w:t>号《关于核准神州数码信息服务股份有限公司向冯健刚等发行股份购买资产并募集配套资金的批复》，神州信息向财通基金 管理有限公司、华安基金管理有限公司、华商基金管理有限公司、泰康资产管理有限责任公司、兴业全球基金管理有限公司 发行股份共计</w:t>
      </w:r>
      <w:r>
        <w:rPr>
          <w:rFonts w:ascii="Times New Roman" w:eastAsia="Times New Roman" w:hAnsi="Times New Roman" w:cs="Times New Roman"/>
          <w:color w:val="000000"/>
          <w:spacing w:val="0"/>
          <w:w w:val="100"/>
          <w:position w:val="0"/>
        </w:rPr>
        <w:t>7,171,717.00</w:t>
      </w:r>
      <w:r>
        <w:rPr>
          <w:color w:val="000000"/>
          <w:spacing w:val="0"/>
          <w:w w:val="100"/>
          <w:position w:val="0"/>
        </w:rPr>
        <w:t>股并募集配套资金</w:t>
      </w:r>
      <w:r>
        <w:rPr>
          <w:rFonts w:ascii="Times New Roman" w:eastAsia="Times New Roman" w:hAnsi="Times New Roman" w:cs="Times New Roman"/>
          <w:color w:val="000000"/>
          <w:spacing w:val="0"/>
          <w:w w:val="100"/>
          <w:position w:val="0"/>
        </w:rPr>
        <w:t>236,666,661.00</w:t>
      </w:r>
      <w:r>
        <w:rPr>
          <w:color w:val="000000"/>
          <w:spacing w:val="0"/>
          <w:w w:val="100"/>
          <w:position w:val="0"/>
        </w:rPr>
        <w:t>元（发行价格为</w:t>
      </w:r>
      <w:r>
        <w:rPr>
          <w:rFonts w:ascii="Times New Roman" w:eastAsia="Times New Roman" w:hAnsi="Times New Roman" w:cs="Times New Roman"/>
          <w:color w:val="000000"/>
          <w:spacing w:val="0"/>
          <w:w w:val="100"/>
          <w:position w:val="0"/>
        </w:rPr>
        <w:t>33.00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日止，公司已收 到募集资金</w:t>
      </w:r>
      <w:r>
        <w:rPr>
          <w:rFonts w:ascii="Times New Roman" w:eastAsia="Times New Roman" w:hAnsi="Times New Roman" w:cs="Times New Roman"/>
          <w:color w:val="000000"/>
          <w:spacing w:val="0"/>
          <w:w w:val="100"/>
          <w:position w:val="0"/>
        </w:rPr>
        <w:t>236,666,661.00</w:t>
      </w:r>
      <w:r>
        <w:rPr>
          <w:color w:val="000000"/>
          <w:spacing w:val="0"/>
          <w:w w:val="100"/>
          <w:position w:val="0"/>
        </w:rPr>
        <w:t>元，扣除公司依据协议应支付给西南证券股份有限公司的财务顾问费用</w:t>
      </w:r>
      <w:r>
        <w:rPr>
          <w:rFonts w:ascii="Times New Roman" w:eastAsia="Times New Roman" w:hAnsi="Times New Roman" w:cs="Times New Roman"/>
          <w:color w:val="000000"/>
          <w:spacing w:val="0"/>
          <w:w w:val="100"/>
          <w:position w:val="0"/>
        </w:rPr>
        <w:t>10,000,000.00</w:t>
      </w:r>
      <w:r>
        <w:rPr>
          <w:color w:val="000000"/>
          <w:spacing w:val="0"/>
          <w:w w:val="100"/>
          <w:position w:val="0"/>
        </w:rPr>
        <w:t>元后，实际募 集资金净额为</w:t>
      </w:r>
      <w:r>
        <w:rPr>
          <w:rFonts w:ascii="Times New Roman" w:eastAsia="Times New Roman" w:hAnsi="Times New Roman" w:cs="Times New Roman"/>
          <w:color w:val="000000"/>
          <w:spacing w:val="0"/>
          <w:w w:val="100"/>
          <w:position w:val="0"/>
        </w:rPr>
        <w:t>226,666,661.00</w:t>
      </w:r>
      <w:r>
        <w:rPr>
          <w:color w:val="000000"/>
          <w:spacing w:val="0"/>
          <w:w w:val="100"/>
          <w:position w:val="0"/>
        </w:rPr>
        <w:t>元，其中新增注册资本</w:t>
      </w:r>
      <w:r>
        <w:rPr>
          <w:rFonts w:ascii="Times New Roman" w:eastAsia="Times New Roman" w:hAnsi="Times New Roman" w:cs="Times New Roman"/>
          <w:color w:val="000000"/>
          <w:spacing w:val="0"/>
          <w:w w:val="100"/>
          <w:position w:val="0"/>
        </w:rPr>
        <w:t>7,171,717.00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458,905,958.00</w:t>
      </w:r>
      <w:r>
        <w:rPr>
          <w:color w:val="000000"/>
          <w:spacing w:val="0"/>
          <w:w w:val="100"/>
          <w:position w:val="0"/>
        </w:rPr>
        <w:t>元，并业经信 永中和会计师事务所出具的</w:t>
      </w:r>
      <w:r>
        <w:rPr>
          <w:rFonts w:ascii="Times New Roman" w:eastAsia="Times New Roman" w:hAnsi="Times New Roman" w:cs="Times New Roman"/>
          <w:color w:val="000000"/>
          <w:spacing w:val="0"/>
          <w:w w:val="100"/>
          <w:position w:val="0"/>
        </w:rPr>
        <w:t>XYZH/2014A1054-6</w:t>
      </w:r>
      <w:r>
        <w:rPr>
          <w:color w:val="000000"/>
          <w:spacing w:val="0"/>
          <w:w w:val="100"/>
          <w:position w:val="0"/>
        </w:rPr>
        <w:t>号《验资报告》验证。</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被购买资产作价依据为经北京中同华资产评估有限公司出具的中同华评报字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406</w:t>
      </w:r>
      <w:r>
        <w:rPr>
          <w:color w:val="000000"/>
          <w:spacing w:val="0"/>
          <w:w w:val="100"/>
          <w:position w:val="0"/>
        </w:rPr>
        <w:t>号《神州数码信息服务股份有 限公司向特定对象发行股份购买资产并募集配套资金所涉及北京中农信达信息技术有限公司股权评估项目资产评估报告 书》。</w:t>
      </w:r>
    </w:p>
    <w:p>
      <w:pPr>
        <w:pStyle w:val="Style37"/>
        <w:keepNext w:val="0"/>
        <w:keepLines w:val="0"/>
        <w:widowControl w:val="0"/>
        <w:shd w:val="clear" w:color="auto" w:fill="auto"/>
        <w:tabs>
          <w:tab w:pos="931" w:val="left"/>
        </w:tabs>
        <w:bidi w:val="0"/>
        <w:spacing w:before="0" w:after="0" w:line="312" w:lineRule="exact"/>
        <w:ind w:left="0" w:right="0" w:firstLine="46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11</w:t>
      </w:r>
      <w:r>
        <w:rPr>
          <w:color w:val="000000"/>
          <w:spacing w:val="0"/>
          <w:w w:val="100"/>
          <w:position w:val="0"/>
        </w:rPr>
        <w:t>）</w:t>
        <w:tab/>
        <w:t>资本公积转股事项</w:t>
      </w:r>
    </w:p>
    <w:p>
      <w:pPr>
        <w:pStyle w:val="Style37"/>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color w:val="000000"/>
          <w:spacing w:val="0"/>
          <w:w w:val="100"/>
          <w:position w:val="0"/>
        </w:rPr>
        <w:t>，</w:t>
      </w:r>
      <w:r>
        <w:rPr>
          <w:color w:val="000000"/>
          <w:spacing w:val="0"/>
          <w:w w:val="100"/>
          <w:position w:val="0"/>
        </w:rPr>
        <w:t>本公司召开的第六届董事会第十二次会议决议通过了《关于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年半年度资本公积金转增股本预案的 议案》，以公司总股本</w:t>
      </w:r>
      <w:r>
        <w:rPr>
          <w:rFonts w:ascii="Times New Roman" w:eastAsia="Times New Roman" w:hAnsi="Times New Roman" w:cs="Times New Roman"/>
          <w:color w:val="000000"/>
          <w:spacing w:val="0"/>
          <w:w w:val="100"/>
          <w:position w:val="0"/>
        </w:rPr>
        <w:t>458,905,958.00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股，本议案已经公司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 开的</w:t>
      </w:r>
      <w:r>
        <w:rPr>
          <w:rFonts w:ascii="Times New Roman" w:eastAsia="Times New Roman" w:hAnsi="Times New Roman" w:cs="Times New Roman"/>
          <w:color w:val="000000"/>
          <w:spacing w:val="0"/>
          <w:w w:val="100"/>
          <w:position w:val="0"/>
        </w:rPr>
        <w:t>2015</w:t>
      </w:r>
      <w:r>
        <w:rPr>
          <w:color w:val="000000"/>
          <w:spacing w:val="0"/>
          <w:w w:val="100"/>
          <w:position w:val="0"/>
        </w:rPr>
        <w:t>年度第三次临时股东大会审议通过，转增完成后公司总股本由</w:t>
      </w:r>
      <w:r>
        <w:rPr>
          <w:rFonts w:ascii="Times New Roman" w:eastAsia="Times New Roman" w:hAnsi="Times New Roman" w:cs="Times New Roman"/>
          <w:color w:val="000000"/>
          <w:spacing w:val="0"/>
          <w:w w:val="100"/>
          <w:position w:val="0"/>
        </w:rPr>
        <w:t>458,905,958.00</w:t>
      </w:r>
      <w:r>
        <w:rPr>
          <w:color w:val="000000"/>
          <w:spacing w:val="0"/>
          <w:w w:val="100"/>
          <w:position w:val="0"/>
        </w:rPr>
        <w:t>股增加至</w:t>
      </w:r>
      <w:r>
        <w:rPr>
          <w:rFonts w:ascii="Times New Roman" w:eastAsia="Times New Roman" w:hAnsi="Times New Roman" w:cs="Times New Roman"/>
          <w:color w:val="000000"/>
          <w:spacing w:val="0"/>
          <w:w w:val="100"/>
          <w:position w:val="0"/>
        </w:rPr>
        <w:t>917,811,916.00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本公司注册资本变更为</w:t>
      </w:r>
      <w:r>
        <w:rPr>
          <w:rFonts w:ascii="Times New Roman" w:eastAsia="Times New Roman" w:hAnsi="Times New Roman" w:cs="Times New Roman"/>
          <w:color w:val="000000"/>
          <w:spacing w:val="0"/>
          <w:w w:val="100"/>
          <w:position w:val="0"/>
        </w:rPr>
        <w:t>917,811,916.00</w:t>
      </w:r>
      <w:r>
        <w:rPr>
          <w:color w:val="000000"/>
          <w:spacing w:val="0"/>
          <w:w w:val="100"/>
          <w:position w:val="0"/>
        </w:rPr>
        <w:t>元，并业经信永中和会计师事务所出具的</w:t>
      </w:r>
      <w:r>
        <w:rPr>
          <w:rFonts w:ascii="Times New Roman" w:eastAsia="Times New Roman" w:hAnsi="Times New Roman" w:cs="Times New Roman"/>
          <w:color w:val="000000"/>
          <w:spacing w:val="0"/>
          <w:w w:val="100"/>
          <w:position w:val="0"/>
        </w:rPr>
        <w:t>XYZH/2015BJA10125</w:t>
      </w:r>
      <w:r>
        <w:rPr>
          <w:color w:val="000000"/>
          <w:spacing w:val="0"/>
          <w:w w:val="100"/>
          <w:position w:val="0"/>
        </w:rPr>
        <w:t>号《验资报告》 验证。</w:t>
      </w:r>
    </w:p>
    <w:p>
      <w:pPr>
        <w:pStyle w:val="Style37"/>
        <w:keepNext w:val="0"/>
        <w:keepLines w:val="0"/>
        <w:widowControl w:val="0"/>
        <w:shd w:val="clear" w:color="auto" w:fill="auto"/>
        <w:tabs>
          <w:tab w:pos="931" w:val="left"/>
        </w:tabs>
        <w:bidi w:val="0"/>
        <w:spacing w:before="0" w:after="0" w:line="312" w:lineRule="exact"/>
        <w:ind w:left="0" w:right="0" w:firstLine="46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年度发行股份及支付现金购买资产事项</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根据神州信息第七届董事会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年第三次临时会议决议通过的《关于公司符合发行股份及支付现金购买资产并募集配 套资金条件的议案》，神州信息与南京华苏科技有限公司（以下简称华苏科技）控股股东吴冬华、程艳云及其他</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日签订了附生效条件的《发行股份及支付现金购买资产协议》，神州信息拟购买华苏科技</w:t>
      </w:r>
      <w:r>
        <w:rPr>
          <w:rFonts w:ascii="Times New Roman" w:eastAsia="Times New Roman" w:hAnsi="Times New Roman" w:cs="Times New Roman"/>
          <w:color w:val="000000"/>
          <w:spacing w:val="0"/>
          <w:w w:val="100"/>
          <w:position w:val="0"/>
        </w:rPr>
        <w:t>96.03%</w:t>
      </w:r>
      <w:r>
        <w:rPr>
          <w:color w:val="000000"/>
          <w:spacing w:val="0"/>
          <w:w w:val="100"/>
          <w:position w:val="0"/>
        </w:rPr>
        <w:t>的股权。</w:t>
      </w:r>
    </w:p>
    <w:p>
      <w:pPr>
        <w:pStyle w:val="Style37"/>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日，中国证券监督管理委员会下发证监许可</w:t>
      </w:r>
      <w:r>
        <w:rPr>
          <w:rFonts w:ascii="Times New Roman" w:eastAsia="Times New Roman" w:hAnsi="Times New Roman" w:cs="Times New Roman"/>
          <w:color w:val="000000"/>
          <w:spacing w:val="0"/>
          <w:w w:val="100"/>
          <w:position w:val="0"/>
        </w:rPr>
        <w:t>[2016]2517</w:t>
      </w:r>
      <w:r>
        <w:rPr>
          <w:color w:val="000000"/>
          <w:spacing w:val="0"/>
          <w:w w:val="100"/>
          <w:position w:val="0"/>
        </w:rPr>
        <w:t>号《关于核准神州数码信息服务股份有限公司向程 艳云等发行股份购买资产并募集配套资金的批复》，核准公司向程艳云发行</w:t>
      </w:r>
      <w:r>
        <w:rPr>
          <w:rFonts w:ascii="Times New Roman" w:eastAsia="Times New Roman" w:hAnsi="Times New Roman" w:cs="Times New Roman"/>
          <w:color w:val="000000"/>
          <w:spacing w:val="0"/>
          <w:w w:val="100"/>
          <w:position w:val="0"/>
        </w:rPr>
        <w:t>8,527,926.00</w:t>
      </w:r>
      <w:r>
        <w:rPr>
          <w:color w:val="000000"/>
          <w:spacing w:val="0"/>
          <w:w w:val="100"/>
          <w:position w:val="0"/>
        </w:rPr>
        <w:t>股股份、向吴冬华发行</w:t>
      </w:r>
      <w:r>
        <w:rPr>
          <w:rFonts w:ascii="Times New Roman" w:eastAsia="Times New Roman" w:hAnsi="Times New Roman" w:cs="Times New Roman"/>
          <w:color w:val="000000"/>
          <w:spacing w:val="0"/>
          <w:w w:val="100"/>
          <w:position w:val="0"/>
        </w:rPr>
        <w:t xml:space="preserve">7,735,638.00 </w:t>
      </w:r>
      <w:r>
        <w:rPr>
          <w:color w:val="000000"/>
          <w:spacing w:val="0"/>
          <w:w w:val="100"/>
          <w:position w:val="0"/>
        </w:rPr>
        <w:t>股股份、向南京博飞信投资管理有限公司发行</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,808,225.00</w:t>
      </w:r>
      <w:r>
        <w:rPr>
          <w:color w:val="000000"/>
          <w:spacing w:val="0"/>
          <w:w w:val="100"/>
          <w:position w:val="0"/>
        </w:rPr>
        <w:t>股股份、向上海瑞经达创业投资有限公司（以下简称瑞经达）发 行</w:t>
      </w:r>
      <w:r>
        <w:rPr>
          <w:rFonts w:ascii="Times New Roman" w:eastAsia="Times New Roman" w:hAnsi="Times New Roman" w:cs="Times New Roman"/>
          <w:color w:val="000000"/>
          <w:spacing w:val="0"/>
          <w:w w:val="100"/>
          <w:position w:val="0"/>
        </w:rPr>
        <w:t>757,395.00</w:t>
      </w:r>
      <w:r>
        <w:rPr>
          <w:color w:val="000000"/>
          <w:spacing w:val="0"/>
          <w:w w:val="100"/>
          <w:position w:val="0"/>
        </w:rPr>
        <w:t>股股份、向南京明通投资管理中心（有限合伙）发行</w:t>
      </w:r>
      <w:r>
        <w:rPr>
          <w:rFonts w:ascii="Times New Roman" w:eastAsia="Times New Roman" w:hAnsi="Times New Roman" w:cs="Times New Roman"/>
          <w:color w:val="000000"/>
          <w:spacing w:val="0"/>
          <w:w w:val="100"/>
          <w:position w:val="0"/>
        </w:rPr>
        <w:t>838,887.00</w:t>
      </w:r>
      <w:r>
        <w:rPr>
          <w:color w:val="000000"/>
          <w:spacing w:val="0"/>
          <w:w w:val="100"/>
          <w:position w:val="0"/>
        </w:rPr>
        <w:t>股股份、向陈大龙发行</w:t>
      </w:r>
      <w:r>
        <w:rPr>
          <w:rFonts w:ascii="Times New Roman" w:eastAsia="Times New Roman" w:hAnsi="Times New Roman" w:cs="Times New Roman"/>
          <w:color w:val="000000"/>
          <w:spacing w:val="0"/>
          <w:w w:val="100"/>
          <w:position w:val="0"/>
        </w:rPr>
        <w:t>716,097.00</w:t>
      </w:r>
      <w:r>
        <w:rPr>
          <w:color w:val="000000"/>
          <w:spacing w:val="0"/>
          <w:w w:val="100"/>
          <w:position w:val="0"/>
        </w:rPr>
        <w:t>股股份、向李 晶发行</w:t>
      </w:r>
      <w:r>
        <w:rPr>
          <w:rFonts w:ascii="Times New Roman" w:eastAsia="Times New Roman" w:hAnsi="Times New Roman" w:cs="Times New Roman"/>
          <w:color w:val="000000"/>
          <w:spacing w:val="0"/>
          <w:w w:val="100"/>
          <w:position w:val="0"/>
        </w:rPr>
        <w:t>715,698.00</w:t>
      </w:r>
      <w:r>
        <w:rPr>
          <w:color w:val="000000"/>
          <w:spacing w:val="0"/>
          <w:w w:val="100"/>
          <w:position w:val="0"/>
        </w:rPr>
        <w:t>股股份、向吴秀兰发行</w:t>
      </w:r>
      <w:r>
        <w:rPr>
          <w:rFonts w:ascii="Times New Roman" w:eastAsia="Times New Roman" w:hAnsi="Times New Roman" w:cs="Times New Roman"/>
          <w:color w:val="000000"/>
          <w:spacing w:val="0"/>
          <w:w w:val="100"/>
          <w:position w:val="0"/>
        </w:rPr>
        <w:t>705,251.00</w:t>
      </w:r>
      <w:r>
        <w:rPr>
          <w:color w:val="000000"/>
          <w:spacing w:val="0"/>
          <w:w w:val="100"/>
          <w:position w:val="0"/>
        </w:rPr>
        <w:t>股股份、向常杰发行</w:t>
      </w:r>
      <w:r>
        <w:rPr>
          <w:rFonts w:ascii="Times New Roman" w:eastAsia="Times New Roman" w:hAnsi="Times New Roman" w:cs="Times New Roman"/>
          <w:color w:val="000000"/>
          <w:spacing w:val="0"/>
          <w:w w:val="100"/>
          <w:position w:val="0"/>
        </w:rPr>
        <w:t>119,349.00</w:t>
      </w:r>
      <w:r>
        <w:rPr>
          <w:color w:val="000000"/>
          <w:spacing w:val="0"/>
          <w:w w:val="100"/>
          <w:position w:val="0"/>
        </w:rPr>
        <w:t>股股份、向王计斌发行</w:t>
      </w:r>
      <w:r>
        <w:rPr>
          <w:rFonts w:ascii="Times New Roman" w:eastAsia="Times New Roman" w:hAnsi="Times New Roman" w:cs="Times New Roman"/>
          <w:color w:val="000000"/>
          <w:spacing w:val="0"/>
          <w:w w:val="100"/>
          <w:position w:val="0"/>
        </w:rPr>
        <w:t>105,308.00</w:t>
      </w:r>
      <w:r>
        <w:rPr>
          <w:color w:val="000000"/>
          <w:spacing w:val="0"/>
          <w:w w:val="100"/>
          <w:position w:val="0"/>
        </w:rPr>
        <w:t>股股份、 向施伟发行</w:t>
      </w:r>
      <w:r>
        <w:rPr>
          <w:rFonts w:ascii="Times New Roman" w:eastAsia="Times New Roman" w:hAnsi="Times New Roman" w:cs="Times New Roman"/>
          <w:color w:val="000000"/>
          <w:spacing w:val="0"/>
          <w:w w:val="100"/>
          <w:position w:val="0"/>
        </w:rPr>
        <w:t>63,185.00</w:t>
      </w:r>
      <w:r>
        <w:rPr>
          <w:color w:val="000000"/>
          <w:spacing w:val="0"/>
          <w:w w:val="100"/>
          <w:position w:val="0"/>
        </w:rPr>
        <w:t>股股份购买相关资产，核准神州信息非公开发行不超过</w:t>
      </w:r>
      <w:r>
        <w:rPr>
          <w:rFonts w:ascii="Times New Roman" w:eastAsia="Times New Roman" w:hAnsi="Times New Roman" w:cs="Times New Roman"/>
          <w:color w:val="000000"/>
          <w:spacing w:val="0"/>
          <w:w w:val="100"/>
          <w:position w:val="0"/>
        </w:rPr>
        <w:t>23,086,172.00</w:t>
      </w:r>
      <w:r>
        <w:rPr>
          <w:color w:val="000000"/>
          <w:spacing w:val="0"/>
          <w:w w:val="100"/>
          <w:position w:val="0"/>
        </w:rPr>
        <w:t>股新股募集上述发行股份购买资产 的配套资金。</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根据《发行股份及支付现金购买资产协议》，神州信息向前述的华苏科技股东发行股份共计</w:t>
      </w:r>
      <w:r>
        <w:rPr>
          <w:rFonts w:ascii="Times New Roman" w:eastAsia="Times New Roman" w:hAnsi="Times New Roman" w:cs="Times New Roman"/>
          <w:color w:val="000000"/>
          <w:spacing w:val="0"/>
          <w:w w:val="100"/>
          <w:position w:val="0"/>
        </w:rPr>
        <w:t>23,092,959.00</w:t>
      </w:r>
      <w:r>
        <w:rPr>
          <w:color w:val="000000"/>
          <w:spacing w:val="0"/>
          <w:w w:val="100"/>
          <w:position w:val="0"/>
        </w:rPr>
        <w:t>股（发行价 格为</w:t>
      </w:r>
      <w:r>
        <w:rPr>
          <w:rFonts w:ascii="Times New Roman" w:eastAsia="Times New Roman" w:hAnsi="Times New Roman" w:cs="Times New Roman"/>
          <w:color w:val="000000"/>
          <w:spacing w:val="0"/>
          <w:w w:val="100"/>
          <w:position w:val="0"/>
        </w:rPr>
        <w:t>24.95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日止，公司已收到新增注册资本人民币</w:t>
      </w:r>
      <w:r>
        <w:rPr>
          <w:rFonts w:ascii="Times New Roman" w:eastAsia="Times New Roman" w:hAnsi="Times New Roman" w:cs="Times New Roman"/>
          <w:color w:val="000000"/>
          <w:spacing w:val="0"/>
          <w:w w:val="100"/>
          <w:position w:val="0"/>
        </w:rPr>
        <w:t>23,092,959.00</w:t>
      </w:r>
      <w:r>
        <w:rPr>
          <w:color w:val="000000"/>
          <w:spacing w:val="0"/>
          <w:w w:val="100"/>
          <w:position w:val="0"/>
        </w:rPr>
        <w:t xml:space="preserve">元，变更后的注册资本为人民币 </w:t>
      </w:r>
      <w:r>
        <w:rPr>
          <w:rFonts w:ascii="Times New Roman" w:eastAsia="Times New Roman" w:hAnsi="Times New Roman" w:cs="Times New Roman"/>
          <w:color w:val="000000"/>
          <w:spacing w:val="0"/>
          <w:w w:val="100"/>
          <w:position w:val="0"/>
        </w:rPr>
        <w:t>940,904,875.00</w:t>
      </w:r>
      <w:r>
        <w:rPr>
          <w:color w:val="000000"/>
          <w:spacing w:val="0"/>
          <w:w w:val="100"/>
          <w:position w:val="0"/>
        </w:rPr>
        <w:t>元，并业经信永中和会计师事务所出具的</w:t>
      </w:r>
      <w:r>
        <w:rPr>
          <w:rFonts w:ascii="Times New Roman" w:eastAsia="Times New Roman" w:hAnsi="Times New Roman" w:cs="Times New Roman"/>
          <w:color w:val="000000"/>
          <w:spacing w:val="0"/>
          <w:w w:val="100"/>
          <w:position w:val="0"/>
        </w:rPr>
        <w:t>XYZH/2016BJA10717</w:t>
      </w:r>
      <w:r>
        <w:rPr>
          <w:color w:val="000000"/>
          <w:spacing w:val="0"/>
          <w:w w:val="100"/>
          <w:position w:val="0"/>
        </w:rPr>
        <w:t>《验资报告》验证。</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根据《发行股份及支付现金购买资产协议》及证监许可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2016]2517</w:t>
      </w:r>
      <w:r>
        <w:rPr>
          <w:color w:val="000000"/>
          <w:spacing w:val="0"/>
          <w:w w:val="100"/>
          <w:position w:val="0"/>
        </w:rPr>
        <w:t>号《关于核准神州数码信息服务股份有限公司向程艳 云等发行股份购买资产并募集配套资金的批复》，神州信息向嘉实基金管理有限公司、西部证券股份有限公司、九泰基金管 理有限公司、天弘基金管理有限公司、财通基金管理有限公司、平安大华基金管理有限公司发行股份共计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2,526,398.00</w:t>
      </w:r>
      <w:r>
        <w:rPr>
          <w:color w:val="000000"/>
          <w:spacing w:val="0"/>
          <w:w w:val="100"/>
          <w:position w:val="0"/>
        </w:rPr>
        <w:t>股并 募集配套资金</w:t>
      </w:r>
      <w:r>
        <w:rPr>
          <w:rFonts w:ascii="Times New Roman" w:eastAsia="Times New Roman" w:hAnsi="Times New Roman" w:cs="Times New Roman"/>
          <w:color w:val="000000"/>
          <w:spacing w:val="0"/>
          <w:w w:val="100"/>
          <w:position w:val="0"/>
        </w:rPr>
        <w:t>575,999,996.86</w:t>
      </w:r>
      <w:r>
        <w:rPr>
          <w:color w:val="000000"/>
          <w:spacing w:val="0"/>
          <w:w w:val="100"/>
          <w:position w:val="0"/>
        </w:rPr>
        <w:t>元（发行价格为</w:t>
      </w:r>
      <w:r>
        <w:rPr>
          <w:rFonts w:ascii="Times New Roman" w:eastAsia="Times New Roman" w:hAnsi="Times New Roman" w:cs="Times New Roman"/>
          <w:color w:val="000000"/>
          <w:spacing w:val="0"/>
          <w:w w:val="100"/>
          <w:position w:val="0"/>
        </w:rPr>
        <w:t>25.57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日止，公司已收到募集资金</w:t>
      </w:r>
      <w:r>
        <w:rPr>
          <w:rFonts w:ascii="Times New Roman" w:eastAsia="Times New Roman" w:hAnsi="Times New Roman" w:cs="Times New Roman"/>
          <w:color w:val="000000"/>
          <w:spacing w:val="0"/>
          <w:w w:val="100"/>
          <w:position w:val="0"/>
        </w:rPr>
        <w:t>575,999,996.86</w:t>
      </w:r>
      <w:r>
        <w:rPr>
          <w:color w:val="000000"/>
          <w:spacing w:val="0"/>
          <w:w w:val="100"/>
          <w:position w:val="0"/>
        </w:rPr>
        <w:t>元， 扣除公司依据协议应支付给长江证券承销保荐有限公司的财务顾问费及承销费</w:t>
      </w:r>
      <w:r>
        <w:rPr>
          <w:rFonts w:ascii="Times New Roman" w:eastAsia="Times New Roman" w:hAnsi="Times New Roman" w:cs="Times New Roman"/>
          <w:color w:val="000000"/>
          <w:spacing w:val="0"/>
          <w:w w:val="100"/>
          <w:position w:val="0"/>
        </w:rPr>
        <w:t>15,000,000.00</w:t>
      </w:r>
      <w:r>
        <w:rPr>
          <w:color w:val="000000"/>
          <w:spacing w:val="0"/>
          <w:w w:val="100"/>
          <w:position w:val="0"/>
        </w:rPr>
        <w:t xml:space="preserve">元后实际募集资金净额为 </w:t>
      </w:r>
      <w:r>
        <w:rPr>
          <w:rFonts w:ascii="Times New Roman" w:eastAsia="Times New Roman" w:hAnsi="Times New Roman" w:cs="Times New Roman"/>
          <w:color w:val="000000"/>
          <w:spacing w:val="0"/>
          <w:w w:val="100"/>
          <w:position w:val="0"/>
        </w:rPr>
        <w:t>560,999,996.86</w:t>
      </w:r>
      <w:r>
        <w:rPr>
          <w:color w:val="000000"/>
          <w:spacing w:val="0"/>
          <w:w w:val="100"/>
          <w:position w:val="0"/>
        </w:rPr>
        <w:t>元，长江证券承销保荐有限公司已将上述募集资金净额</w:t>
      </w:r>
      <w:r>
        <w:rPr>
          <w:rFonts w:ascii="Times New Roman" w:eastAsia="Times New Roman" w:hAnsi="Times New Roman" w:cs="Times New Roman"/>
          <w:color w:val="000000"/>
          <w:spacing w:val="0"/>
          <w:w w:val="100"/>
          <w:position w:val="0"/>
        </w:rPr>
        <w:t>560,999,996.86</w:t>
      </w:r>
      <w:r>
        <w:rPr>
          <w:color w:val="000000"/>
          <w:spacing w:val="0"/>
          <w:w w:val="100"/>
          <w:position w:val="0"/>
        </w:rPr>
        <w:t>元划入公司于招商银行股份有限公司北 京双榆树支行开立的银行账户（账号为</w:t>
      </w:r>
      <w:r>
        <w:rPr>
          <w:rFonts w:ascii="Times New Roman" w:eastAsia="Times New Roman" w:hAnsi="Times New Roman" w:cs="Times New Roman"/>
          <w:color w:val="000000"/>
          <w:spacing w:val="0"/>
          <w:w w:val="100"/>
          <w:position w:val="0"/>
        </w:rPr>
        <w:t>755906962410505</w:t>
      </w:r>
      <w:r>
        <w:rPr>
          <w:color w:val="000000"/>
          <w:spacing w:val="0"/>
          <w:w w:val="100"/>
          <w:position w:val="0"/>
        </w:rPr>
        <w:t>），其中，新增注册资本人民币</w:t>
      </w:r>
      <w:r>
        <w:rPr>
          <w:rFonts w:ascii="Times New Roman" w:eastAsia="Times New Roman" w:hAnsi="Times New Roman" w:cs="Times New Roman"/>
          <w:color w:val="000000"/>
          <w:spacing w:val="0"/>
          <w:w w:val="100"/>
          <w:position w:val="0"/>
        </w:rPr>
        <w:t>22,526,398.00</w:t>
      </w:r>
      <w:r>
        <w:rPr>
          <w:color w:val="000000"/>
          <w:spacing w:val="0"/>
          <w:w w:val="100"/>
          <w:position w:val="0"/>
        </w:rPr>
        <w:t xml:space="preserve">元，增加资本公积 </w:t>
      </w:r>
      <w:r>
        <w:rPr>
          <w:rStyle w:val="CharStyle65"/>
        </w:rPr>
        <w:t>538,473,598.86</w:t>
      </w:r>
      <w:r>
        <w:rPr>
          <w:rStyle w:val="CharStyle65"/>
          <w:rFonts w:ascii="SimSun" w:eastAsia="SimSun" w:hAnsi="SimSun" w:cs="SimSun"/>
        </w:rPr>
        <w:t>元，变更后的注册资本为人民币</w:t>
      </w:r>
      <w:r>
        <w:rPr>
          <w:rStyle w:val="CharStyle65"/>
        </w:rPr>
        <w:t>963,431,273.00</w:t>
      </w:r>
      <w:r>
        <w:rPr>
          <w:rStyle w:val="CharStyle65"/>
          <w:rFonts w:ascii="SimSun" w:eastAsia="SimSun" w:hAnsi="SimSun" w:cs="SimSun"/>
        </w:rPr>
        <w:t>元，并业经信永中和会计师事务所出具的</w:t>
      </w:r>
      <w:r>
        <w:rPr>
          <w:rStyle w:val="CharStyle65"/>
        </w:rPr>
        <w:t xml:space="preserve">XYZH/2016BJA10718 </w:t>
      </w:r>
      <w:r>
        <w:rPr>
          <w:rStyle w:val="CharStyle65"/>
          <w:rFonts w:ascii="SimSun" w:eastAsia="SimSun" w:hAnsi="SimSun" w:cs="SimSun"/>
        </w:rPr>
        <w:t>号《验资报告》验证。</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被购买资产作价依据为经北京中同华资产评估有限公司出具的中同华评报字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256</w:t>
      </w:r>
      <w:r>
        <w:rPr>
          <w:color w:val="000000"/>
          <w:spacing w:val="0"/>
          <w:w w:val="100"/>
          <w:position w:val="0"/>
        </w:rPr>
        <w:t>号《资产评估报告书》。</w:t>
      </w:r>
    </w:p>
    <w:p>
      <w:pPr>
        <w:pStyle w:val="Style37"/>
        <w:keepNext w:val="0"/>
        <w:keepLines w:val="0"/>
        <w:widowControl w:val="0"/>
        <w:shd w:val="clear" w:color="auto" w:fill="auto"/>
        <w:bidi w:val="0"/>
        <w:spacing w:before="0" w:after="0" w:line="314" w:lineRule="exact"/>
        <w:ind w:left="0" w:right="0" w:firstLine="44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13</w:t>
      </w:r>
      <w:r>
        <w:rPr>
          <w:color w:val="000000"/>
          <w:spacing w:val="0"/>
          <w:w w:val="100"/>
          <w:position w:val="0"/>
        </w:rPr>
        <w:t>）向激励对象授予股票期权与限制性股票</w:t>
      </w:r>
    </w:p>
    <w:p>
      <w:pPr>
        <w:pStyle w:val="Style3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年股票期权与限制性股票激励计划实施考核管理办法</w:t>
      </w:r>
      <w:r>
        <w:rPr>
          <w:color w:val="000000"/>
          <w:spacing w:val="0"/>
          <w:w w:val="100"/>
          <w:position w:val="0"/>
        </w:rPr>
        <w:t>〉</w:t>
      </w:r>
      <w:r>
        <w:rPr>
          <w:color w:val="000000"/>
          <w:spacing w:val="0"/>
          <w:w w:val="100"/>
          <w:position w:val="0"/>
        </w:rPr>
        <w:t>的议案》、《关 于提请股东大会授权董事会办理股权激励相关事宜的议案》。</w:t>
      </w:r>
    </w:p>
    <w:p>
      <w:pPr>
        <w:pStyle w:val="Style3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 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3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年度第三次临时股东大会审议并通过了《关于公司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 （草案修订稿）</w:t>
      </w:r>
      <w:r>
        <w:rPr>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年股票期权与限制性股票激励计划实施考核管理办法</w:t>
      </w:r>
      <w:r>
        <w:rPr>
          <w:color w:val="000000"/>
          <w:spacing w:val="0"/>
          <w:w w:val="100"/>
          <w:position w:val="0"/>
        </w:rPr>
        <w:t>〉</w:t>
      </w:r>
      <w:r>
        <w:rPr>
          <w:color w:val="000000"/>
          <w:spacing w:val="0"/>
          <w:w w:val="100"/>
          <w:position w:val="0"/>
        </w:rPr>
        <w:t>的议案》、《关 于提请股东大会授权董事会办理股权激励相关事宜的议案》。</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日召开了第八届董事会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年第七次临时会议，审议通过了《关于向激励对象授予股票期权与限制 性股票的议案》，确定股票期权与限制性股票的授予日为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根据中国证券监督管理委员会《上市公司股权激励管理办法》、深圳证券交易所、中国证券登记结算有限责任公司深 圳分公司有关规则，公司于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年限制性股票激励计划首次授予登记工作。公司向激励对象定向发 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股普通股，授予日为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日，授予价格为</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w:t>
      </w:r>
      <w:r>
        <w:rPr>
          <w:rFonts w:ascii="Times New Roman" w:eastAsia="Times New Roman" w:hAnsi="Times New Roman" w:cs="Times New Roman"/>
          <w:color w:val="000000"/>
          <w:spacing w:val="0"/>
          <w:w w:val="100"/>
          <w:position w:val="0"/>
        </w:rPr>
        <w:t>6,950,000.00</w:t>
      </w:r>
      <w:r>
        <w:rPr>
          <w:color w:val="000000"/>
          <w:spacing w:val="0"/>
          <w:w w:val="100"/>
          <w:position w:val="0"/>
        </w:rPr>
        <w:t>股限制性股票。公司本次限制性股 票授予完成后，公司的总股本增加至</w:t>
      </w:r>
      <w:r>
        <w:rPr>
          <w:rFonts w:ascii="Times New Roman" w:eastAsia="Times New Roman" w:hAnsi="Times New Roman" w:cs="Times New Roman"/>
          <w:color w:val="000000"/>
          <w:spacing w:val="0"/>
          <w:w w:val="100"/>
          <w:position w:val="0"/>
        </w:rPr>
        <w:t>970,381,273.00</w:t>
      </w:r>
      <w:r>
        <w:rPr>
          <w:color w:val="000000"/>
          <w:spacing w:val="0"/>
          <w:w w:val="100"/>
          <w:position w:val="0"/>
        </w:rPr>
        <w:t>元。北京兴华会计师事务所（特殊普通合伙）于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w:t>
      </w:r>
      <w:r>
        <w:rPr>
          <w:rFonts w:ascii="Times New Roman" w:eastAsia="Times New Roman" w:hAnsi="Times New Roman" w:cs="Times New Roman"/>
          <w:color w:val="000000"/>
          <w:spacing w:val="0"/>
          <w:w w:val="100"/>
          <w:position w:val="0"/>
        </w:rPr>
        <w:t>2019</w:t>
      </w:r>
      <w:r>
        <w:rPr>
          <w:color w:val="000000"/>
          <w:spacing w:val="0"/>
          <w:w w:val="100"/>
          <w:position w:val="0"/>
        </w:rPr>
        <w:t>） 京会兴验字第</w:t>
      </w:r>
      <w:r>
        <w:rPr>
          <w:rFonts w:ascii="Times New Roman" w:eastAsia="Times New Roman" w:hAnsi="Times New Roman" w:cs="Times New Roman"/>
          <w:color w:val="000000"/>
          <w:spacing w:val="0"/>
          <w:w w:val="100"/>
          <w:position w:val="0"/>
        </w:rPr>
        <w:t>64000003</w:t>
      </w:r>
      <w:r>
        <w:rPr>
          <w:color w:val="000000"/>
          <w:spacing w:val="0"/>
          <w:w w:val="100"/>
          <w:position w:val="0"/>
        </w:rPr>
        <w:t>号验资报告，对本公司截止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日的出资情况进行审验，本公司的募集资金账户共收到</w:t>
      </w:r>
      <w:r>
        <w:rPr>
          <w:rFonts w:ascii="Times New Roman" w:eastAsia="Times New Roman" w:hAnsi="Times New Roman" w:cs="Times New Roman"/>
          <w:color w:val="000000"/>
          <w:spacing w:val="0"/>
          <w:w w:val="100"/>
          <w:position w:val="0"/>
        </w:rPr>
        <w:t xml:space="preserve">16 </w:t>
      </w:r>
      <w:r>
        <w:rPr>
          <w:color w:val="000000"/>
          <w:spacing w:val="0"/>
          <w:w w:val="100"/>
          <w:position w:val="0"/>
        </w:rPr>
        <w:t>名激励对象入资款</w:t>
      </w:r>
      <w:r>
        <w:rPr>
          <w:rFonts w:ascii="Times New Roman" w:eastAsia="Times New Roman" w:hAnsi="Times New Roman" w:cs="Times New Roman"/>
          <w:color w:val="000000"/>
          <w:spacing w:val="0"/>
          <w:w w:val="100"/>
          <w:position w:val="0"/>
        </w:rPr>
        <w:t>44,097,750.00</w:t>
      </w:r>
      <w:r>
        <w:rPr>
          <w:color w:val="000000"/>
          <w:spacing w:val="0"/>
          <w:w w:val="100"/>
          <w:position w:val="0"/>
        </w:rPr>
        <w:t>元。其中按照激励计划购买公司限制性股票增加</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^6,950,000.00</w:t>
      </w:r>
      <w:r>
        <w:rPr>
          <w:color w:val="000000"/>
          <w:spacing w:val="0"/>
          <w:w w:val="100"/>
          <w:position w:val="0"/>
        </w:rPr>
        <w:t>元，出资款超过限制性股 票成本</w:t>
      </w:r>
      <w:r>
        <w:rPr>
          <w:rFonts w:ascii="Times New Roman" w:eastAsia="Times New Roman" w:hAnsi="Times New Roman" w:cs="Times New Roman"/>
          <w:color w:val="000000"/>
          <w:spacing w:val="0"/>
          <w:w w:val="100"/>
          <w:position w:val="0"/>
        </w:rPr>
        <w:t>37,147,750.00</w:t>
      </w:r>
      <w:r>
        <w:rPr>
          <w:color w:val="000000"/>
          <w:spacing w:val="0"/>
          <w:w w:val="100"/>
          <w:position w:val="0"/>
        </w:rPr>
        <w:t>元增加</w:t>
      </w:r>
      <w:r>
        <w:rPr>
          <w:rFonts w:ascii="Times New Roman" w:eastAsia="Times New Roman" w:hAnsi="Times New Roman" w:cs="Times New Roman"/>
          <w:color w:val="000000"/>
          <w:spacing w:val="0"/>
          <w:w w:val="100"/>
          <w:position w:val="0"/>
        </w:rPr>
        <w:t>“</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日召开的第八届董事会第七次会议和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年度第二次股东大会决议的规定，公 司回购注销因个人离职的激励对象持有的限制性股票</w:t>
      </w:r>
      <w:r>
        <w:rPr>
          <w:rFonts w:ascii="Times New Roman" w:eastAsia="Times New Roman" w:hAnsi="Times New Roman" w:cs="Times New Roman"/>
          <w:color w:val="000000"/>
          <w:spacing w:val="0"/>
          <w:w w:val="100"/>
          <w:position w:val="0"/>
        </w:rPr>
        <w:t>300,000.00</w:t>
      </w:r>
      <w:r>
        <w:rPr>
          <w:color w:val="000000"/>
          <w:spacing w:val="0"/>
          <w:w w:val="100"/>
          <w:position w:val="0"/>
        </w:rPr>
        <w:t>股，回购价格为</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股（扣除已分配股利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.039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上述回购注销限制性股票导致减少股本人民币</w:t>
      </w:r>
      <w:r>
        <w:rPr>
          <w:rFonts w:ascii="Times New Roman" w:eastAsia="Times New Roman" w:hAnsi="Times New Roman" w:cs="Times New Roman"/>
          <w:color w:val="000000"/>
          <w:spacing w:val="0"/>
          <w:w w:val="100"/>
          <w:position w:val="0"/>
        </w:rPr>
        <w:t>300,000.00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rPr>
        <w:t>1,591,800.00</w:t>
      </w:r>
      <w:r>
        <w:rPr>
          <w:color w:val="000000"/>
          <w:spacing w:val="0"/>
          <w:w w:val="100"/>
          <w:position w:val="0"/>
        </w:rPr>
        <w:t>元。本次股本变动已经中兴财 光华会计师事务所（特殊普通合伙）审验，于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日出具了中兴财光华验字（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337002</w:t>
      </w:r>
      <w:r>
        <w:rPr>
          <w:color w:val="000000"/>
          <w:spacing w:val="0"/>
          <w:w w:val="100"/>
          <w:position w:val="0"/>
        </w:rPr>
        <w:t>号《验资报告》。</w:t>
      </w:r>
    </w:p>
    <w:p>
      <w:pPr>
        <w:pStyle w:val="Style37"/>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 xml:space="preserve">根据公司股权激励计划的相关规定，公司股票期权第一个行权期激励对象中部分员工行权，合计行权股票期权数量为 </w:t>
      </w:r>
      <w:r>
        <w:rPr>
          <w:rFonts w:ascii="Times New Roman" w:eastAsia="Times New Roman" w:hAnsi="Times New Roman" w:cs="Times New Roman"/>
          <w:color w:val="000000"/>
          <w:spacing w:val="0"/>
          <w:w w:val="100"/>
          <w:position w:val="0"/>
        </w:rPr>
        <w:t>5,687,554.00</w:t>
      </w:r>
      <w:r>
        <w:rPr>
          <w:color w:val="000000"/>
          <w:spacing w:val="0"/>
          <w:w w:val="100"/>
          <w:position w:val="0"/>
        </w:rPr>
        <w:t>股。上述股票期权行权导致股本增加</w:t>
      </w:r>
      <w:r>
        <w:rPr>
          <w:rFonts w:ascii="Times New Roman" w:eastAsia="Times New Roman" w:hAnsi="Times New Roman" w:cs="Times New Roman"/>
          <w:color w:val="000000"/>
          <w:spacing w:val="0"/>
          <w:w w:val="100"/>
          <w:position w:val="0"/>
        </w:rPr>
        <w:t>5,687,554.00</w:t>
      </w:r>
      <w:r>
        <w:rPr>
          <w:color w:val="000000"/>
          <w:spacing w:val="0"/>
          <w:w w:val="100"/>
          <w:position w:val="0"/>
        </w:rPr>
        <w:t>元，资本公积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股本溢价增加</w:t>
      </w:r>
      <w:r>
        <w:rPr>
          <w:rFonts w:ascii="Times New Roman" w:eastAsia="Times New Roman" w:hAnsi="Times New Roman" w:cs="Times New Roman"/>
          <w:color w:val="000000"/>
          <w:spacing w:val="0"/>
          <w:w w:val="100"/>
          <w:position w:val="0"/>
        </w:rPr>
        <w:t>66,882,671.16</w:t>
      </w:r>
      <w:r>
        <w:rPr>
          <w:color w:val="000000"/>
          <w:spacing w:val="0"/>
          <w:w w:val="100"/>
          <w:position w:val="0"/>
        </w:rPr>
        <w:t>元。</w:t>
      </w:r>
    </w:p>
    <w:p>
      <w:pPr>
        <w:pStyle w:val="Style41"/>
        <w:keepNext/>
        <w:keepLines/>
        <w:widowControl w:val="0"/>
        <w:numPr>
          <w:ilvl w:val="0"/>
          <w:numId w:val="17"/>
        </w:numPr>
        <w:shd w:val="clear" w:color="auto" w:fill="auto"/>
        <w:bidi w:val="0"/>
        <w:spacing w:before="0" w:after="60" w:line="240" w:lineRule="auto"/>
        <w:ind w:left="0" w:right="0" w:firstLine="380"/>
        <w:jc w:val="both"/>
      </w:pPr>
      <w:bookmarkStart w:id="761" w:name="bookmark761"/>
      <w:bookmarkStart w:id="762" w:name="bookmark762"/>
      <w:bookmarkStart w:id="763" w:name="bookmark763"/>
      <w:bookmarkStart w:id="764" w:name="bookmark764"/>
      <w:bookmarkEnd w:id="763"/>
      <w:r>
        <w:rPr>
          <w:color w:val="000000"/>
          <w:spacing w:val="0"/>
          <w:w w:val="100"/>
          <w:position w:val="0"/>
        </w:rPr>
        <w:t>其他基本情况</w:t>
      </w:r>
      <w:bookmarkEnd w:id="761"/>
      <w:bookmarkEnd w:id="762"/>
      <w:bookmarkEnd w:id="764"/>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注册地址：深圳市南山区科发路</w:t>
      </w:r>
      <w:r>
        <w:rPr>
          <w:rFonts w:ascii="Times New Roman" w:eastAsia="Times New Roman" w:hAnsi="Times New Roman" w:cs="Times New Roman"/>
          <w:color w:val="000000"/>
          <w:spacing w:val="0"/>
          <w:w w:val="100"/>
          <w:position w:val="0"/>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11B</w:t>
      </w:r>
      <w:r>
        <w:rPr>
          <w:rFonts w:ascii="Times New Roman" w:eastAsia="Times New Roman" w:hAnsi="Times New Roman" w:cs="Times New Roman"/>
          <w:color w:val="000000"/>
          <w:spacing w:val="0"/>
          <w:w w:val="100"/>
          <w:position w:val="0"/>
        </w:rPr>
        <w:t>1</w:t>
      </w:r>
      <w:r>
        <w:rPr>
          <w:color w:val="000000"/>
          <w:spacing w:val="0"/>
          <w:w w:val="100"/>
          <w:position w:val="0"/>
        </w:rPr>
        <w:t xml:space="preserve">单元；本公司统一社会信用代码 </w:t>
      </w:r>
      <w:r>
        <w:rPr>
          <w:rFonts w:ascii="Times New Roman" w:eastAsia="Times New Roman" w:hAnsi="Times New Roman" w:cs="Times New Roman"/>
          <w:color w:val="000000"/>
          <w:spacing w:val="0"/>
          <w:w w:val="100"/>
          <w:position w:val="0"/>
        </w:rPr>
        <w:t>91440300726198124D</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经营范围：研究、开发金融自助设备及相关应用软件，销售本公司所研发产品并提供售后服务；提供信息技术及相关 技术的咨询、开发、技术服务；软件开发、信息系统的集成并提供售后服务；从事信息系统集成配套计算机硬件及零件、网 络设备、多媒体产品、电子信息产品及通讯产品、办公自动化设备、仪器仪表、电器及印刷照排设备的批发、进出口及相关 业务。</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本集团合并财务报表范围包括本公司、神州数码系统集成服务有限公司、神州数码信息系统有限公司等</w:t>
      </w:r>
      <w:r>
        <w:rPr>
          <w:rFonts w:ascii="Times New Roman" w:eastAsia="Times New Roman" w:hAnsi="Times New Roman" w:cs="Times New Roman"/>
          <w:color w:val="000000"/>
          <w:spacing w:val="0"/>
          <w:w w:val="100"/>
          <w:position w:val="0"/>
        </w:rPr>
        <w:t>49</w:t>
      </w:r>
      <w:r>
        <w:rPr>
          <w:color w:val="000000"/>
          <w:spacing w:val="0"/>
          <w:w w:val="100"/>
          <w:position w:val="0"/>
        </w:rPr>
        <w:t>家公司。 与上年相比，本年因非同一控制下企业合并增加北京云核网络技术有限公司，因新设增加神州龙安（成都）信息技术服务有 限公司、神州龙安（青海）信息技术服务有限公司、神州国信（北京）信息科技有限公司、神州龙安（内蒙古）信息技术服 务有限公司、神州龙安（江苏）信息技术服务有限公司、神州龙安（河北）信息技术服务有限公司、神州龙安（山西）信息 技术服务有限公司、北京神州数字科技有限公司（原名为神州金科（北京）科技发展有限公司）、北京神州数码方圆科技有 限公司、</w:t>
      </w:r>
      <w:r>
        <w:rPr>
          <w:rFonts w:ascii="Times New Roman" w:eastAsia="Times New Roman" w:hAnsi="Times New Roman" w:cs="Times New Roman"/>
          <w:color w:val="000000"/>
          <w:spacing w:val="0"/>
          <w:w w:val="100"/>
          <w:position w:val="0"/>
        </w:rPr>
        <w:t>DIGITAL CHINA INFORMATION TECHNOLOGY CO. LIMITED</w:t>
      </w:r>
      <w:r>
        <w:rPr>
          <w:color w:val="000000"/>
          <w:spacing w:val="0"/>
          <w:w w:val="100"/>
          <w:position w:val="0"/>
        </w:rPr>
        <w:t>,</w:t>
      </w:r>
      <w:r>
        <w:rPr>
          <w:color w:val="000000"/>
          <w:spacing w:val="0"/>
          <w:w w:val="100"/>
          <w:position w:val="0"/>
        </w:rPr>
        <w:t>因处置减少北京神州邦邦技术服务有限公司、 神州灵云（北京）科技有限公司、枣强县农村产权交易服务有限公司。</w:t>
      </w:r>
    </w:p>
    <w:p>
      <w:pPr>
        <w:pStyle w:val="Style37"/>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八、合并范围变化</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tabs>
          <w:tab w:pos="498" w:val="left"/>
        </w:tabs>
        <w:bidi w:val="0"/>
        <w:spacing w:before="0" w:after="38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四</w:t>
      </w:r>
      <w:bookmarkEnd w:id="767"/>
      <w:r>
        <w:rPr>
          <w:color w:val="000000"/>
          <w:spacing w:val="0"/>
          <w:w w:val="100"/>
          <w:position w:val="0"/>
          <w:sz w:val="24"/>
          <w:szCs w:val="24"/>
        </w:rPr>
        <w:t>、</w:t>
        <w:tab/>
        <w:t>财务报表的编制基础</w:t>
      </w:r>
      <w:bookmarkEnd w:id="765"/>
      <w:bookmarkEnd w:id="766"/>
      <w:bookmarkEnd w:id="768"/>
    </w:p>
    <w:p>
      <w:pPr>
        <w:pStyle w:val="Style41"/>
        <w:keepNext/>
        <w:keepLines/>
        <w:widowControl w:val="0"/>
        <w:shd w:val="clear" w:color="auto" w:fill="auto"/>
        <w:tabs>
          <w:tab w:pos="368" w:val="left"/>
        </w:tabs>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w:t>
        <w:tab/>
        <w:t>编制基础</w:t>
      </w:r>
      <w:bookmarkEnd w:id="769"/>
      <w:bookmarkEnd w:id="770"/>
      <w:bookmarkEnd w:id="772"/>
    </w:p>
    <w:p>
      <w:pPr>
        <w:pStyle w:val="Style37"/>
        <w:keepNext w:val="0"/>
        <w:keepLines w:val="0"/>
        <w:widowControl w:val="0"/>
        <w:shd w:val="clear" w:color="auto" w:fill="auto"/>
        <w:bidi w:val="0"/>
        <w:spacing w:before="0" w:after="380" w:line="283" w:lineRule="exact"/>
        <w:ind w:left="0" w:right="0" w:firstLine="38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41"/>
        <w:keepNext/>
        <w:keepLines/>
        <w:widowControl w:val="0"/>
        <w:shd w:val="clear" w:color="auto" w:fill="auto"/>
        <w:tabs>
          <w:tab w:pos="378"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bookmarkEnd w:id="775"/>
      <w:r>
        <w:rPr>
          <w:color w:val="000000"/>
          <w:spacing w:val="0"/>
          <w:w w:val="100"/>
          <w:position w:val="0"/>
        </w:rPr>
        <w:t>、</w:t>
        <w:tab/>
        <w:t>持续经营</w:t>
      </w:r>
      <w:bookmarkEnd w:id="773"/>
      <w:bookmarkEnd w:id="774"/>
      <w:bookmarkEnd w:id="776"/>
    </w:p>
    <w:p>
      <w:pPr>
        <w:pStyle w:val="Style3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本集团不存在导致对报告期末起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35"/>
        <w:keepNext/>
        <w:keepLines/>
        <w:widowControl w:val="0"/>
        <w:shd w:val="clear" w:color="auto" w:fill="auto"/>
        <w:tabs>
          <w:tab w:pos="517" w:val="left"/>
        </w:tabs>
        <w:bidi w:val="0"/>
        <w:spacing w:before="0" w:after="26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sz w:val="24"/>
          <w:szCs w:val="24"/>
        </w:rPr>
        <w:t>五</w:t>
      </w:r>
      <w:bookmarkEnd w:id="779"/>
      <w:r>
        <w:rPr>
          <w:color w:val="000000"/>
          <w:spacing w:val="0"/>
          <w:w w:val="100"/>
          <w:position w:val="0"/>
          <w:sz w:val="24"/>
          <w:szCs w:val="24"/>
        </w:rPr>
        <w:t>、</w:t>
        <w:tab/>
        <w:t>重要会计政策及会计估计</w:t>
      </w:r>
      <w:bookmarkEnd w:id="777"/>
      <w:bookmarkEnd w:id="778"/>
      <w:bookmarkEnd w:id="780"/>
    </w:p>
    <w:p>
      <w:pPr>
        <w:pStyle w:val="Style37"/>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具体会计政策和会计估计提示：本集团根据实际生产经营特点制定的具体会计政策和会计估计包括营业周期、应收款 项坏账准备的确认和计量、发出存货计量、固定资产分类及折旧方法、无形资产摊销、开发支出资本化条件、商誉减值测试、 收入确认和计量等。</w:t>
      </w:r>
    </w:p>
    <w:p>
      <w:pPr>
        <w:pStyle w:val="Style41"/>
        <w:keepNext/>
        <w:keepLines/>
        <w:widowControl w:val="0"/>
        <w:shd w:val="clear" w:color="auto" w:fill="auto"/>
        <w:tabs>
          <w:tab w:pos="368"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color w:val="000000"/>
          <w:spacing w:val="0"/>
          <w:w w:val="100"/>
          <w:position w:val="0"/>
        </w:rPr>
        <w:t>、</w:t>
        <w:tab/>
        <w:t>遵循企业会计准则的声明</w:t>
      </w:r>
      <w:bookmarkEnd w:id="781"/>
      <w:bookmarkEnd w:id="782"/>
      <w:bookmarkEnd w:id="784"/>
    </w:p>
    <w:p>
      <w:pPr>
        <w:pStyle w:val="Style37"/>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本公司编制的财务报表符合企业会计准则的要求，真实、完整地反映了本公司及本集团的财务状况、经营成果和现金 流量等有关信息。</w:t>
      </w:r>
    </w:p>
    <w:p>
      <w:pPr>
        <w:pStyle w:val="Style41"/>
        <w:keepNext/>
        <w:keepLines/>
        <w:widowControl w:val="0"/>
        <w:shd w:val="clear" w:color="auto" w:fill="auto"/>
        <w:tabs>
          <w:tab w:pos="378"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color w:val="000000"/>
          <w:spacing w:val="0"/>
          <w:w w:val="100"/>
          <w:position w:val="0"/>
        </w:rPr>
        <w:t>、</w:t>
        <w:tab/>
        <w:t>会计期间</w:t>
      </w:r>
      <w:bookmarkEnd w:id="785"/>
      <w:bookmarkEnd w:id="786"/>
      <w:bookmarkEnd w:id="788"/>
    </w:p>
    <w:p>
      <w:pPr>
        <w:pStyle w:val="Style37"/>
        <w:keepNext w:val="0"/>
        <w:keepLines w:val="0"/>
        <w:widowControl w:val="0"/>
        <w:shd w:val="clear" w:color="auto" w:fill="auto"/>
        <w:bidi w:val="0"/>
        <w:spacing w:before="0" w:after="380" w:line="314" w:lineRule="exact"/>
        <w:ind w:left="0" w:right="0" w:firstLine="420"/>
        <w:jc w:val="left"/>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1"/>
        <w:keepNext/>
        <w:keepLines/>
        <w:widowControl w:val="0"/>
        <w:shd w:val="clear" w:color="auto" w:fill="auto"/>
        <w:tabs>
          <w:tab w:pos="378"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3</w:t>
      </w:r>
      <w:bookmarkEnd w:id="791"/>
      <w:r>
        <w:rPr>
          <w:color w:val="000000"/>
          <w:spacing w:val="0"/>
          <w:w w:val="100"/>
          <w:position w:val="0"/>
        </w:rPr>
        <w:t>、</w:t>
        <w:tab/>
        <w:t>营业周期</w:t>
      </w:r>
      <w:bookmarkEnd w:id="789"/>
      <w:bookmarkEnd w:id="790"/>
      <w:bookmarkEnd w:id="792"/>
    </w:p>
    <w:p>
      <w:pPr>
        <w:pStyle w:val="Style37"/>
        <w:keepNext w:val="0"/>
        <w:keepLines w:val="0"/>
        <w:widowControl w:val="0"/>
        <w:shd w:val="clear" w:color="auto" w:fill="auto"/>
        <w:bidi w:val="0"/>
        <w:spacing w:before="0" w:after="380" w:line="314" w:lineRule="exact"/>
        <w:ind w:left="0" w:right="0" w:firstLine="420"/>
        <w:jc w:val="left"/>
      </w:pPr>
      <w:r>
        <w:rPr>
          <w:color w:val="000000"/>
          <w:spacing w:val="0"/>
          <w:w w:val="100"/>
          <w:position w:val="0"/>
        </w:rPr>
        <w:t>本集团的营业周期为公历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日，并且作为资产和负债的流动性划分标准。</w:t>
      </w:r>
    </w:p>
    <w:p>
      <w:pPr>
        <w:pStyle w:val="Style41"/>
        <w:keepNext/>
        <w:keepLines/>
        <w:widowControl w:val="0"/>
        <w:shd w:val="clear" w:color="auto" w:fill="auto"/>
        <w:tabs>
          <w:tab w:pos="378" w:val="left"/>
        </w:tabs>
        <w:bidi w:val="0"/>
        <w:spacing w:before="0" w:after="2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4</w:t>
      </w:r>
      <w:bookmarkEnd w:id="795"/>
      <w:r>
        <w:rPr>
          <w:color w:val="000000"/>
          <w:spacing w:val="0"/>
          <w:w w:val="100"/>
          <w:position w:val="0"/>
        </w:rPr>
        <w:t>、</w:t>
        <w:tab/>
        <w:t>记账本位币</w:t>
      </w:r>
      <w:bookmarkEnd w:id="793"/>
      <w:bookmarkEnd w:id="794"/>
      <w:bookmarkEnd w:id="796"/>
    </w:p>
    <w:p>
      <w:pPr>
        <w:pStyle w:val="Style37"/>
        <w:keepNext w:val="0"/>
        <w:keepLines w:val="0"/>
        <w:widowControl w:val="0"/>
        <w:shd w:val="clear" w:color="auto" w:fill="auto"/>
        <w:bidi w:val="0"/>
        <w:spacing w:before="0" w:after="380" w:line="314" w:lineRule="exact"/>
        <w:ind w:left="0" w:right="0" w:firstLine="420"/>
        <w:jc w:val="left"/>
      </w:pPr>
      <w:r>
        <w:rPr>
          <w:color w:val="000000"/>
          <w:spacing w:val="0"/>
          <w:w w:val="100"/>
          <w:position w:val="0"/>
        </w:rPr>
        <w:t>本集团以人民币为记账本位币。</w:t>
      </w:r>
    </w:p>
    <w:p>
      <w:pPr>
        <w:pStyle w:val="Style41"/>
        <w:keepNext/>
        <w:keepLines/>
        <w:widowControl w:val="0"/>
        <w:shd w:val="clear" w:color="auto" w:fill="auto"/>
        <w:tabs>
          <w:tab w:pos="378"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5</w:t>
      </w:r>
      <w:bookmarkEnd w:id="799"/>
      <w:r>
        <w:rPr>
          <w:color w:val="000000"/>
          <w:spacing w:val="0"/>
          <w:w w:val="100"/>
          <w:position w:val="0"/>
        </w:rPr>
        <w:t>、</w:t>
        <w:tab/>
        <w:t>同一控制下和非同一控制下企业合并的会计处理方法</w:t>
      </w:r>
      <w:bookmarkEnd w:id="797"/>
      <w:bookmarkEnd w:id="798"/>
      <w:bookmarkEnd w:id="800"/>
    </w:p>
    <w:p>
      <w:pPr>
        <w:pStyle w:val="Style3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企业合并分为同一控制下的企业合并和非同一控制下的企业合并。</w:t>
      </w:r>
    </w:p>
    <w:p>
      <w:pPr>
        <w:pStyle w:val="Style37"/>
        <w:keepNext w:val="0"/>
        <w:keepLines w:val="0"/>
        <w:widowControl w:val="0"/>
        <w:numPr>
          <w:ilvl w:val="0"/>
          <w:numId w:val="19"/>
        </w:numPr>
        <w:shd w:val="clear" w:color="auto" w:fill="auto"/>
        <w:tabs>
          <w:tab w:pos="860" w:val="left"/>
        </w:tabs>
        <w:bidi w:val="0"/>
        <w:spacing w:before="0" w:after="0" w:line="314" w:lineRule="exact"/>
        <w:ind w:left="0" w:right="0" w:firstLine="420"/>
        <w:jc w:val="left"/>
      </w:pPr>
      <w:bookmarkStart w:id="801" w:name="bookmark801"/>
      <w:bookmarkEnd w:id="801"/>
      <w:r>
        <w:rPr>
          <w:color w:val="000000"/>
          <w:spacing w:val="0"/>
          <w:w w:val="100"/>
          <w:position w:val="0"/>
        </w:rPr>
        <w:t>同一控制下的企业合并</w:t>
      </w:r>
    </w:p>
    <w:p>
      <w:pPr>
        <w:pStyle w:val="Style3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参与合并的企业在合并前后均受同一方或相同的多方最终控制，且该控制并非暂时性的，为同一控制下的企业合并。 在企业合并中取得的资产和负债，按合并日其在被合并方的账面价值计量。合并方取得的净资产账面价值与支付的合 并对价的账面价值/发行股份面值总额的差额，调整资本公积中的股本溢价，股本溢价不足冲减的则调整留存收益。</w:t>
      </w:r>
    </w:p>
    <w:p>
      <w:pPr>
        <w:pStyle w:val="Style3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为进行企业合并发生的各项直接费用，于发生时计入当期损益。合并日为合并方实际取得对被合并方控制权的日期。</w:t>
      </w:r>
    </w:p>
    <w:p>
      <w:pPr>
        <w:pStyle w:val="Style37"/>
        <w:keepNext w:val="0"/>
        <w:keepLines w:val="0"/>
        <w:widowControl w:val="0"/>
        <w:numPr>
          <w:ilvl w:val="0"/>
          <w:numId w:val="19"/>
        </w:numPr>
        <w:shd w:val="clear" w:color="auto" w:fill="auto"/>
        <w:tabs>
          <w:tab w:pos="860" w:val="left"/>
        </w:tabs>
        <w:bidi w:val="0"/>
        <w:spacing w:before="0" w:after="0" w:line="314" w:lineRule="exact"/>
        <w:ind w:left="0" w:right="0" w:firstLine="420"/>
        <w:jc w:val="left"/>
      </w:pPr>
      <w:bookmarkStart w:id="802" w:name="bookmark802"/>
      <w:bookmarkEnd w:id="802"/>
      <w:r>
        <w:rPr>
          <w:color w:val="000000"/>
          <w:spacing w:val="0"/>
          <w:w w:val="100"/>
          <w:position w:val="0"/>
        </w:rPr>
        <w:t>非同一控制下的企业合并</w:t>
      </w:r>
    </w:p>
    <w:p>
      <w:pPr>
        <w:pStyle w:val="Style37"/>
        <w:keepNext w:val="0"/>
        <w:keepLines w:val="0"/>
        <w:widowControl w:val="0"/>
        <w:shd w:val="clear" w:color="auto" w:fill="auto"/>
        <w:bidi w:val="0"/>
        <w:spacing w:before="0" w:after="400" w:line="314" w:lineRule="exact"/>
        <w:ind w:left="0" w:right="0" w:firstLine="440"/>
        <w:jc w:val="left"/>
      </w:pPr>
      <w:r>
        <w:rPr>
          <w:color w:val="000000"/>
          <w:spacing w:val="0"/>
          <w:w w:val="100"/>
          <w:position w:val="0"/>
        </w:rPr>
        <w:t xml:space="preserve">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团在购买日为取得对被购买方的控制权而支付的现金或非现金资产、发行或承担的负债、发行的权益性证券等的公允价值以 </w:t>
      </w:r>
      <w:r>
        <w:rPr>
          <w:color w:val="000000"/>
          <w:spacing w:val="0"/>
          <w:w w:val="100"/>
          <w:position w:val="0"/>
        </w:rPr>
        <w:t>及在企业合并中发生的各项直接相关费用之和(通过多次交易分步实现的企业合并，其合并成本为每一单项交易的成本之 和)。合并成本大于合并中取得的被购买方可辨认净资产公允价值份额的差额，确认为商誉；合并成本小于合并中取得的被 购买方可辨认净资产公允价值份额的，首先对合并中取得的各项可辨认资产、负债及或有负债的公允价值、以及合并对价的 非现金资产或发行的权益性证券等的公允价值进行复核，经复核后，合并成本仍小于合并中取得的被购买方可辨认净资产公 允价值份额的，将其差额计入合并当期营业外收入。</w:t>
      </w:r>
    </w:p>
    <w:p>
      <w:pPr>
        <w:pStyle w:val="Style41"/>
        <w:keepNext/>
        <w:keepLines/>
        <w:widowControl w:val="0"/>
        <w:shd w:val="clear" w:color="auto" w:fill="auto"/>
        <w:tabs>
          <w:tab w:pos="343" w:val="left"/>
        </w:tabs>
        <w:bidi w:val="0"/>
        <w:spacing w:before="0" w:after="26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6</w:t>
      </w:r>
      <w:bookmarkEnd w:id="805"/>
      <w:r>
        <w:rPr>
          <w:color w:val="000000"/>
          <w:spacing w:val="0"/>
          <w:w w:val="100"/>
          <w:position w:val="0"/>
        </w:rPr>
        <w:t>、</w:t>
        <w:tab/>
        <w:t>合并财务报表的编制方法</w:t>
      </w:r>
      <w:bookmarkEnd w:id="803"/>
      <w:bookmarkEnd w:id="804"/>
      <w:bookmarkEnd w:id="806"/>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合并财务报表的合并范围以控制为基础予以确定。控制是指本集团拥有对被投资方的权力，通过参与被投资方的相关 活动而享有可变回报，并且有能力运用对被投资方的权力影响其回报金额。一旦相关事实和情况的变化导致上述控制定义涉 及的相关要素发生了变化，本集团将进行重新评估。</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本集团将所有控制的子公司纳入合并财务报表范围。</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在编制合并财务报表时，子公司与本公司采用的会计政策或会计期间不一致的，按照本公司的会计政策或会计期间对 子公司财务报表进行必要的调整。</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母公司的份额以及当期净损益、其他综合收益及综合收益总额中属于少数股东权益的份额，分别在合并财务报表“少数股东 权益、少数股东损益、归属于少数股东的其他综合收益及归属于少数股东的综合收益总额”项目列示。</w:t>
      </w:r>
    </w:p>
    <w:p>
      <w:pPr>
        <w:pStyle w:val="Style37"/>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对于同一控制下企业合并取得的子公司，其经营成果和现金流量自合并当期期初纳入</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合并财务报表。编制比较合并财务报表时，对上年财务报表的相关项目进行调整，视同合并后形成的报告主体自最终 控制方开始控制时点起一直存在。</w:t>
      </w:r>
    </w:p>
    <w:p>
      <w:pPr>
        <w:pStyle w:val="Style37"/>
        <w:keepNext w:val="0"/>
        <w:keepLines w:val="0"/>
        <w:widowControl w:val="0"/>
        <w:shd w:val="clear" w:color="auto" w:fill="auto"/>
        <w:bidi w:val="0"/>
        <w:spacing w:before="0" w:after="400" w:line="313" w:lineRule="exact"/>
        <w:ind w:left="0" w:right="0" w:firstLine="460"/>
        <w:jc w:val="both"/>
      </w:pPr>
      <w:r>
        <w:rPr>
          <w:color w:val="000000"/>
          <w:spacing w:val="0"/>
          <w:w w:val="100"/>
          <w:position w:val="0"/>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pStyle w:val="Style41"/>
        <w:keepNext/>
        <w:keepLines/>
        <w:widowControl w:val="0"/>
        <w:shd w:val="clear" w:color="auto" w:fill="auto"/>
        <w:tabs>
          <w:tab w:pos="343"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7</w:t>
      </w:r>
      <w:bookmarkEnd w:id="809"/>
      <w:r>
        <w:rPr>
          <w:color w:val="000000"/>
          <w:spacing w:val="0"/>
          <w:w w:val="100"/>
          <w:position w:val="0"/>
        </w:rPr>
        <w:t>、</w:t>
        <w:tab/>
        <w:t>合营安排分类及共同经营会计处理方法</w:t>
      </w:r>
      <w:bookmarkEnd w:id="807"/>
      <w:bookmarkEnd w:id="808"/>
      <w:bookmarkEnd w:id="810"/>
    </w:p>
    <w:p>
      <w:pPr>
        <w:pStyle w:val="Style37"/>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本集团的合营安排包括共同经营和合营企业。对于共同经营项目，本集团作为共同经营中的合营方确认单独持有的资产 和承担的负债，以及按份额确认持有的资产和承担的负债，根据相关约定单独或按份额确认相关的收入和费用。与共同经营 发生购买、销售不构成业务的资产交易的，仅确认因该交易产生的损益中归属于共同经营其他参与方的部分。</w:t>
      </w:r>
    </w:p>
    <w:p>
      <w:pPr>
        <w:pStyle w:val="Style41"/>
        <w:keepNext/>
        <w:keepLines/>
        <w:widowControl w:val="0"/>
        <w:shd w:val="clear" w:color="auto" w:fill="auto"/>
        <w:tabs>
          <w:tab w:pos="343"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8</w:t>
      </w:r>
      <w:bookmarkEnd w:id="813"/>
      <w:r>
        <w:rPr>
          <w:color w:val="000000"/>
          <w:spacing w:val="0"/>
          <w:w w:val="100"/>
          <w:position w:val="0"/>
        </w:rPr>
        <w:t>、</w:t>
        <w:tab/>
        <w:t>现金及现金等价物的确定标准</w:t>
      </w:r>
      <w:bookmarkEnd w:id="811"/>
      <w:bookmarkEnd w:id="812"/>
      <w:bookmarkEnd w:id="814"/>
    </w:p>
    <w:p>
      <w:pPr>
        <w:pStyle w:val="Style37"/>
        <w:keepNext w:val="0"/>
        <w:keepLines w:val="0"/>
        <w:widowControl w:val="0"/>
        <w:shd w:val="clear" w:color="auto" w:fill="auto"/>
        <w:bidi w:val="0"/>
        <w:spacing w:before="0" w:after="400" w:line="317" w:lineRule="exact"/>
        <w:ind w:left="0" w:right="0" w:firstLine="460"/>
        <w:jc w:val="both"/>
      </w:pPr>
      <w:r>
        <w:rPr>
          <w:color w:val="000000"/>
          <w:spacing w:val="0"/>
          <w:w w:val="100"/>
          <w:position w:val="0"/>
        </w:rPr>
        <w:t>本集团现金流量表之现金指库存现金以及可以随时用于支付的存款。现金流量表之现金等价物指持有期限不超过3个 月、流动性强、易于转换为已知金额现金且价值变动风险很小的投资。</w:t>
      </w:r>
    </w:p>
    <w:p>
      <w:pPr>
        <w:pStyle w:val="Style41"/>
        <w:keepNext/>
        <w:keepLines/>
        <w:widowControl w:val="0"/>
        <w:shd w:val="clear" w:color="auto" w:fill="auto"/>
        <w:tabs>
          <w:tab w:pos="343" w:val="left"/>
        </w:tabs>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9</w:t>
      </w:r>
      <w:bookmarkEnd w:id="817"/>
      <w:r>
        <w:rPr>
          <w:color w:val="000000"/>
          <w:spacing w:val="0"/>
          <w:w w:val="100"/>
          <w:position w:val="0"/>
        </w:rPr>
        <w:t>、</w:t>
        <w:tab/>
        <w:t>外币业务和外币报表折算</w:t>
      </w:r>
      <w:bookmarkEnd w:id="815"/>
      <w:bookmarkEnd w:id="816"/>
      <w:bookmarkEnd w:id="818"/>
    </w:p>
    <w:p>
      <w:pPr>
        <w:pStyle w:val="Style37"/>
        <w:keepNext w:val="0"/>
        <w:keepLines w:val="0"/>
        <w:widowControl w:val="0"/>
        <w:numPr>
          <w:ilvl w:val="0"/>
          <w:numId w:val="21"/>
        </w:numPr>
        <w:shd w:val="clear" w:color="auto" w:fill="auto"/>
        <w:tabs>
          <w:tab w:pos="870" w:val="left"/>
        </w:tabs>
        <w:bidi w:val="0"/>
        <w:spacing w:before="0" w:after="0" w:line="311" w:lineRule="exact"/>
        <w:ind w:left="0" w:right="0" w:firstLine="460"/>
        <w:jc w:val="both"/>
      </w:pPr>
      <w:bookmarkStart w:id="819" w:name="bookmark819"/>
      <w:bookmarkEnd w:id="819"/>
      <w:r>
        <w:rPr>
          <w:color w:val="000000"/>
          <w:spacing w:val="0"/>
          <w:w w:val="100"/>
          <w:position w:val="0"/>
        </w:rPr>
        <w:t>外币交易</w:t>
      </w:r>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本集团外币交易按交易发生日的即期汇率将外币金额折算为人民币金额。于资产负债表日，外币货币性项目采用资产 负债表日的即期汇率折算为人民币，所产生的折算差额除了为购建或生产符合资本化条件的资产而借入的外币专门借款产生 的汇兑差额按资本化的原则处理外，直接计入当期损益。以公允价值计量的外币非货币性项目，采用公允价值确定日的即期 汇率折算为人民币，所产生的折算差额，作为公允价值变动直接计入当期损益。以历史成本计量的外币非货币性项目，仍采 用交易发生日的即期汇率折算，不改变其人民币金额。</w:t>
      </w:r>
    </w:p>
    <w:p>
      <w:pPr>
        <w:pStyle w:val="Style37"/>
        <w:keepNext w:val="0"/>
        <w:keepLines w:val="0"/>
        <w:widowControl w:val="0"/>
        <w:numPr>
          <w:ilvl w:val="0"/>
          <w:numId w:val="21"/>
        </w:numPr>
        <w:shd w:val="clear" w:color="auto" w:fill="auto"/>
        <w:tabs>
          <w:tab w:pos="870" w:val="left"/>
        </w:tabs>
        <w:bidi w:val="0"/>
        <w:spacing w:before="0" w:after="0" w:line="311" w:lineRule="exact"/>
        <w:ind w:left="0" w:right="0" w:firstLine="460"/>
        <w:jc w:val="both"/>
      </w:pPr>
      <w:bookmarkStart w:id="820" w:name="bookmark820"/>
      <w:bookmarkEnd w:id="820"/>
      <w:r>
        <w:rPr>
          <w:color w:val="000000"/>
          <w:spacing w:val="0"/>
          <w:w w:val="100"/>
          <w:position w:val="0"/>
        </w:rPr>
        <w:t>外币财务报表的折算</w:t>
      </w:r>
    </w:p>
    <w:p>
      <w:pPr>
        <w:pStyle w:val="Style37"/>
        <w:keepNext w:val="0"/>
        <w:keepLines w:val="0"/>
        <w:widowControl w:val="0"/>
        <w:shd w:val="clear" w:color="auto" w:fill="auto"/>
        <w:bidi w:val="0"/>
        <w:spacing w:before="0" w:after="400" w:line="311" w:lineRule="exact"/>
        <w:ind w:left="0" w:right="0" w:firstLine="46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外，均按 业务发生时的即期汇率折算；利润表中的收入与费用项目，采用交易发生日的即期汇率折算。上述折算产生的外币报表折算 </w:t>
      </w:r>
      <w:r>
        <w:rPr>
          <w:color w:val="000000"/>
          <w:spacing w:val="0"/>
          <w:w w:val="100"/>
          <w:position w:val="0"/>
        </w:rPr>
        <w:t>差额，在其他综合收益项目中列示。外币现金流量采用现金流量发生日的即期汇率折算。汇率变动对现金的影响额，在现金 流量表中单独列示。</w:t>
      </w:r>
    </w:p>
    <w:p>
      <w:pPr>
        <w:pStyle w:val="Style41"/>
        <w:keepNext/>
        <w:keepLines/>
        <w:widowControl w:val="0"/>
        <w:shd w:val="clear" w:color="auto" w:fill="auto"/>
        <w:bidi w:val="0"/>
        <w:spacing w:before="0" w:after="26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1"/>
      <w:bookmarkEnd w:id="822"/>
      <w:bookmarkEnd w:id="824"/>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本集团成为金融工具合同的一方时确认一项金融资产或金融负债。</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对于以常规方式购买或出售金融资产的，在交易日确认将收到的资产和为此将承担的负债，或者在交易日终止确认已 出售的资产。</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债，相关的交易费用直接计入当期损益；对于其他类别的金融资产和金融负债，相关交易费用计入初始确认金额。当本集团 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收入准则</w:t>
      </w:r>
      <w:r>
        <w:rPr>
          <w:rFonts w:ascii="Times New Roman" w:eastAsia="Times New Roman" w:hAnsi="Times New Roman" w:cs="Times New Roman"/>
          <w:color w:val="000000"/>
          <w:spacing w:val="0"/>
          <w:w w:val="100"/>
          <w:position w:val="0"/>
        </w:rPr>
        <w:t>”）</w:t>
      </w:r>
      <w:r>
        <w:rPr>
          <w:color w:val="000000"/>
          <w:spacing w:val="0"/>
          <w:w w:val="100"/>
          <w:position w:val="0"/>
        </w:rPr>
        <w:t>初始确认未包含重大融资成分或不考虑不超过一年的合同中的融资成 分的应收账款时，按照收入准则定义的交易价格进行初始计量。</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实际利率法是指计算金融资产或金融负债的摊余成本以及将利息收入或利息费用分摊计入各会计期间的方法。</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实际利率，是指将金融资产或金融负债在预计存续期的估计未来现金流量，折现为该金融资产账面余额或该金融负债 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 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金融资产或金融负债的摊余成本是以该金融资产或金融负债的初始确认金额扣除已偿还的本金，加上或减去采用实际 利率法将该初始确认金额与到期日金额之间的差额进行摊销形成的累计摊销额，再扣除累计计提的损失准备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 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120" w:line="312" w:lineRule="exact"/>
        <w:ind w:left="0" w:right="0" w:firstLine="38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37"/>
        <w:keepNext w:val="0"/>
        <w:keepLines w:val="0"/>
        <w:widowControl w:val="0"/>
        <w:shd w:val="clear" w:color="auto" w:fill="auto"/>
        <w:bidi w:val="0"/>
        <w:spacing w:before="0" w:after="0"/>
        <w:ind w:left="0" w:right="0" w:firstLine="460"/>
        <w:jc w:val="both"/>
      </w:pPr>
      <w:bookmarkStart w:id="826" w:name="bookmark826"/>
      <w:r>
        <w:rPr>
          <w:rFonts w:ascii="Times New Roman" w:eastAsia="Times New Roman" w:hAnsi="Times New Roman" w:cs="Times New Roman"/>
          <w:color w:val="000000"/>
          <w:spacing w:val="0"/>
          <w:w w:val="100"/>
          <w:position w:val="0"/>
        </w:rPr>
        <w:t>1</w:t>
      </w:r>
      <w:bookmarkEnd w:id="826"/>
      <w:r>
        <w:rPr>
          <w:color w:val="000000"/>
          <w:spacing w:val="0"/>
          <w:w w:val="100"/>
          <w:position w:val="0"/>
        </w:rPr>
        <w:t>）金融资产分类、确认依据和计量方法</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本集团根据管理金融资产的业务模式和金融资产的合同现金流特征，将金融资产分类为以摊余成本计量的金融资产、 以公允价值计量且其变动计入其他综合收益的金融资产、以公允价值计量且其变动计入当期损益的金融资产。</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本集团将同时符合下列条件的金融资产分类为以摊余成本计量的金融资产：①管理该金融资产的业务模式是以收取合 同现金流量为目标。②该金融资产的合同条款规定，在特定日期产生的现金流量，仅为对本金和以未偿付本金金额为基础的 利息的支付。此类金融资产按照公允价值进行初始计量，相关交易费用计入初始确认金额；以摊余成本进行后续计量。除被 指定为被套期项目的，按照实际利率法摊销初始金额与到期金额之间的差额，其摊销、减值、汇兑损益以及终止确认时产生 的利得或损失，计入当期损益。</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本集团将同时符合下列条件的金融资产分类为以公允价值计量且其变动计入其他综合收益的金融资产：①管理该金融 资产的业务模式既以收取合同现金流量为目标又以出售该金融资产为目标。②该金融资产的合同条款规定，在特定日期产生 的现金流量，仅为对本金和以未偿付本金金额为基础的利息的支付。此类金融资产按照公允价值进行初始计量，相关交易费 用计入初始确认金额。除被指定为被套期项目的，此类金融资产，除信用减值损失或利得、汇兑损益和按照实际利率法计算 的该金融资产利息之外，所产生的其他利得或损失，均计入其他综合收益；金融资产终止确认时，之前计入其他综合收益的 累计利得或损失应当从其他综合收益中转出，计入当期损益。</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本集团按照实际利率法确认利息收入。利息收入根据金融资产账面余额乘以实际利率计算确定，但下列情况除外：① 对于购入或源生的已发生信用减值的金融资产，自初始确认起，按照该金融资产的摊余成本和经信用调整的实际利率计算确 定其利息收入。②对于购入或源生的未发生信用减值、但在后续期间成为已发生信用减值的金融资产，在后续期间，按照该 金融资产的摊余成本和实际利率计算确定其利息收入。</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本集团将非交易性权益工具投资指定为以公允价值计量且其变动计入其他综合收益的金融资产。该指定一经作出，不 得撤销。本集团指定的以公允价值计量且其变动计入其他综合收益的非交易性权益工具投资，按照公允价值进行初始计量， 相关交易费用计入初始确认金额；除了获得股利（属于投资成本收回部分的除外）计入当期损益外，其他相关的利得和损失 （包括汇兑损益）均计入其他综合收益，且后续不得转入当期损益。当其终止确认时，之前计入其他综合收益的累计利得或 损失从其他综合收益中转出，计入留存收益。</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除上述分类为以摊余成本计量的金融资产和分类为以公允价值计量且其变动计入其他综合收益的金融资产之外的金融 </w:t>
      </w:r>
      <w:r>
        <w:rPr>
          <w:color w:val="000000"/>
          <w:spacing w:val="0"/>
          <w:w w:val="100"/>
          <w:position w:val="0"/>
        </w:rPr>
        <w:t>资产，本集团将其分类为以公允价值计量且其变动计入当期损益的金融资产。此类金融资产按照公允价值进行初始计量，相 关交易费用直接计入当期损益。此类金融资产的利得或损失，计入当期损益。</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本集团在非同一控制下的企业合并中确认的或有对价构成金融资产的，该金融资产分类为以公允价值计量且其变动计 入当期损益的金融资产。</w:t>
      </w:r>
    </w:p>
    <w:p>
      <w:pPr>
        <w:pStyle w:val="Style37"/>
        <w:keepNext w:val="0"/>
        <w:keepLines w:val="0"/>
        <w:widowControl w:val="0"/>
        <w:shd w:val="clear" w:color="auto" w:fill="auto"/>
        <w:bidi w:val="0"/>
        <w:spacing w:before="0" w:after="0"/>
        <w:ind w:left="0" w:right="0" w:firstLine="460"/>
        <w:jc w:val="both"/>
      </w:pPr>
      <w:bookmarkStart w:id="827" w:name="bookmark827"/>
      <w:r>
        <w:rPr>
          <w:rFonts w:ascii="Times New Roman" w:eastAsia="Times New Roman" w:hAnsi="Times New Roman" w:cs="Times New Roman"/>
          <w:color w:val="000000"/>
          <w:spacing w:val="0"/>
          <w:w w:val="100"/>
          <w:position w:val="0"/>
        </w:rPr>
        <w:t>2</w:t>
      </w:r>
      <w:bookmarkEnd w:id="827"/>
      <w:r>
        <w:rPr>
          <w:color w:val="000000"/>
          <w:spacing w:val="0"/>
          <w:w w:val="100"/>
          <w:position w:val="0"/>
        </w:rPr>
        <w:t>）金融资产转移的确认依据和计量方法</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本集团将满足下列条件之一的金融资产予以终止确认：①收取该金融资产现金流量的合同权利终止；②金融资产发生 转移，本集团转移了金融资产所有权上几乎所有风险和报酬；③金融资产发生转移，本集团既没有转移也没有保留金融资产 所有权上几乎所有风险和报酬，且未保留对该金融资产控制的。</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若本集团既没有转移也没有保留金融资产所有权上几乎所有风险和报酬，且保留了对该金融资产控制的，则按照其继 续涉入被转移金融资产的程度继续确认该被转移金融资产,并相应确认相关负债。本集团按照下列方式对相关负债进行计量: 被转移金融资产以摊余成本计量的，相关负债的账面价值等于继续涉入被转移金融资产的账面价值减去本集团保留的 权利</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如果本集团因金融资产转移保留了相关权利</w:t>
      </w:r>
      <w:r>
        <w:rPr>
          <w:rFonts w:ascii="Times New Roman" w:eastAsia="Times New Roman" w:hAnsi="Times New Roman" w:cs="Times New Roman"/>
          <w:color w:val="000000"/>
          <w:spacing w:val="0"/>
          <w:w w:val="100"/>
          <w:position w:val="0"/>
        </w:rPr>
        <w:t>）</w:t>
      </w:r>
      <w:r>
        <w:rPr>
          <w:color w:val="000000"/>
          <w:spacing w:val="0"/>
          <w:w w:val="100"/>
          <w:position w:val="0"/>
        </w:rPr>
        <w:t>的摊余成本并加上本集团承担的义务</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如果本集团因金融资产转移承担了 相关义务</w:t>
      </w:r>
      <w:r>
        <w:rPr>
          <w:rFonts w:ascii="Times New Roman" w:eastAsia="Times New Roman" w:hAnsi="Times New Roman" w:cs="Times New Roman"/>
          <w:color w:val="000000"/>
          <w:spacing w:val="0"/>
          <w:w w:val="100"/>
          <w:position w:val="0"/>
        </w:rPr>
        <w:t>）</w:t>
      </w:r>
      <w:r>
        <w:rPr>
          <w:color w:val="000000"/>
          <w:spacing w:val="0"/>
          <w:w w:val="100"/>
          <w:position w:val="0"/>
        </w:rPr>
        <w:t>的摊余成本，相关负债不指定为以公允价值计量且其变动计入当期损益的金融负债。</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被转移金融资产以公允价值计量的，相关负债的账面价值等于继续涉入被转移金融资产的账面价值减去本集团保留的 权利</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如果本集团因金融资产转移保留了相关权利</w:t>
      </w:r>
      <w:r>
        <w:rPr>
          <w:rFonts w:ascii="Times New Roman" w:eastAsia="Times New Roman" w:hAnsi="Times New Roman" w:cs="Times New Roman"/>
          <w:color w:val="000000"/>
          <w:spacing w:val="0"/>
          <w:w w:val="100"/>
          <w:position w:val="0"/>
        </w:rPr>
        <w:t>）</w:t>
      </w:r>
      <w:r>
        <w:rPr>
          <w:color w:val="000000"/>
          <w:spacing w:val="0"/>
          <w:w w:val="100"/>
          <w:position w:val="0"/>
        </w:rPr>
        <w:t>的公允价值并加上本集团承担的义务</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如果本集团因金融资产转移承担了 相关义务</w:t>
      </w:r>
      <w:r>
        <w:rPr>
          <w:rFonts w:ascii="Times New Roman" w:eastAsia="Times New Roman" w:hAnsi="Times New Roman" w:cs="Times New Roman"/>
          <w:color w:val="000000"/>
          <w:spacing w:val="0"/>
          <w:w w:val="100"/>
          <w:position w:val="0"/>
        </w:rPr>
        <w:t>）</w:t>
      </w:r>
      <w:r>
        <w:rPr>
          <w:color w:val="000000"/>
          <w:spacing w:val="0"/>
          <w:w w:val="100"/>
          <w:position w:val="0"/>
        </w:rPr>
        <w:t>的公允价值，该权利和义务的公允价值为按独立基础计量时的公允价值。</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金融资产整体转移满足终止确认条件的，将所转移金融资产的账面价值，与因转移而收到的对价及原直接计入其他综 合收益的公允价值变动累计额中对应终止确认部分的金额之和的差额计入当期损益。若本集团转移的金融资产是指定为以公 允价值计量且其变动计入其他综合收益的非交易性权益工具投资，之前计入其他综合收益的累计利得或损失从其他综合收益 中转出，计入留存收益。</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金融资产部分转移满足终止确认条件的，将转移前金融资产整体的账面价值在终止确认部分和继续确认部分之间按照 转移日各自的相对公允价值进行分摊，并将终止确认部分收到的对价和原计入其他综合收益的公允价值变动累计额中对应终 止确认部分的金额之和与终止确认部分在终止确认日的账面价值之差额计入当期损益。若本集团转移的金融资产是指定为以 公允价值计量且其变动计入其他综合收益的非交易性权益工具投资，之前计入其他综合收益的累计利得或损失从其他综合收 益中转出，计入留存收益。</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金融资产整体转移未满足终止确认条件的，本集团继续确认所转移的金融资产整体，并将收到的对价确认为金融负债。</w:t>
      </w:r>
    </w:p>
    <w:p>
      <w:pPr>
        <w:pStyle w:val="Style37"/>
        <w:keepNext w:val="0"/>
        <w:keepLines w:val="0"/>
        <w:widowControl w:val="0"/>
        <w:shd w:val="clear" w:color="auto" w:fill="auto"/>
        <w:bidi w:val="0"/>
        <w:spacing w:before="0" w:line="312" w:lineRule="exact"/>
        <w:ind w:left="0" w:right="0" w:firstLine="38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37"/>
        <w:keepNext w:val="0"/>
        <w:keepLines w:val="0"/>
        <w:widowControl w:val="0"/>
        <w:shd w:val="clear" w:color="auto" w:fill="auto"/>
        <w:tabs>
          <w:tab w:pos="749" w:val="left"/>
        </w:tabs>
        <w:bidi w:val="0"/>
        <w:spacing w:before="0" w:after="0"/>
        <w:ind w:left="0" w:right="0" w:firstLine="460"/>
        <w:jc w:val="both"/>
      </w:pPr>
      <w:bookmarkStart w:id="829" w:name="bookmark829"/>
      <w:r>
        <w:rPr>
          <w:rFonts w:ascii="Times New Roman" w:eastAsia="Times New Roman" w:hAnsi="Times New Roman" w:cs="Times New Roman"/>
          <w:color w:val="000000"/>
          <w:spacing w:val="0"/>
          <w:w w:val="100"/>
          <w:position w:val="0"/>
        </w:rPr>
        <w:t>1</w:t>
      </w:r>
      <w:bookmarkEnd w:id="829"/>
      <w:r>
        <w:rPr>
          <w:color w:val="000000"/>
          <w:spacing w:val="0"/>
          <w:w w:val="100"/>
          <w:position w:val="0"/>
        </w:rPr>
        <w:t>）</w:t>
        <w:tab/>
        <w:t>金融负债分类、确认依据和计量方法</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本集团的金融负债于初始确认时分类为以公允价值计量且其变动计入当期损益的金融负债和其他金融负债。</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以公允价值计量且其变动计入当期损益的金融负债，包括交易性金融负债和初始确认时指定为以公允价值计量且其变 动计入当期损益的金融负债。交易性金融负债，是指满足下列条件之一的金融负债：承担该金融负债的目的是为了在近期内 回购;属于进行集中管理的可辨认金融工具组合的一部分，且有客观证据表明企业近期采用短期获利方式对该组合进行管理; 属于衍生工具，但是，被指定且为有效套期工具的衍生工具、属于财务担保合同的衍生工具、与在活跃市场中没有报价且其 公允价值不能可靠计量的权益工具投资挂钩并须通过交付该权益工具结算的衍生工具除外。对于此类金融负债，按照公允价 值进行后续计量，所有已实现和未实现的损益均计入当期损益。</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其他金融负债，采用实际利率法，按照摊余成本进行后续计量。除下列各项外，本集团将金融负债分类为以摊余成本 计量的金融负债：①以公允价值计量且其变动计入当期损益的金融负债，包括交易性金融负债（含属于金融负债的衍生工具） 和指定为以公允价值计量且其变动计入当期损益的金融负债。②不符合终止确认条件的金融资产转移或继续涉入被转移金融 资产所形成的金融负债。③不属于以上①或②情形的财务担保合同，以及不属于以上①情形的以低于市场利率贷款的贷款承 诺。</w:t>
      </w:r>
    </w:p>
    <w:p>
      <w:pPr>
        <w:pStyle w:val="Style37"/>
        <w:keepNext w:val="0"/>
        <w:keepLines w:val="0"/>
        <w:widowControl w:val="0"/>
        <w:shd w:val="clear" w:color="auto" w:fill="auto"/>
        <w:tabs>
          <w:tab w:pos="768" w:val="left"/>
        </w:tabs>
        <w:bidi w:val="0"/>
        <w:spacing w:before="0" w:after="0"/>
        <w:ind w:left="0" w:right="0" w:firstLine="460"/>
        <w:jc w:val="both"/>
      </w:pPr>
      <w:bookmarkStart w:id="830" w:name="bookmark830"/>
      <w:r>
        <w:rPr>
          <w:rFonts w:ascii="Times New Roman" w:eastAsia="Times New Roman" w:hAnsi="Times New Roman" w:cs="Times New Roman"/>
          <w:color w:val="000000"/>
          <w:spacing w:val="0"/>
          <w:w w:val="100"/>
          <w:position w:val="0"/>
        </w:rPr>
        <w:t>2</w:t>
      </w:r>
      <w:bookmarkEnd w:id="830"/>
      <w:r>
        <w:rPr>
          <w:color w:val="000000"/>
          <w:spacing w:val="0"/>
          <w:w w:val="100"/>
          <w:position w:val="0"/>
        </w:rPr>
        <w:t>）</w:t>
        <w:tab/>
        <w:t>金融负债终止确认条件</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当金融负债的现时义务全部或部分已经解除时，终止确认该金融负债或义务已解除的部分。本集团与债权人之间签订 协议，以承担新金融负债方式替换现存金融负债，且新金融负债与现存金融负债的合同条款实质上不同的，终止确认现存金 融负债，并同时确认新金融负债。本集团对现存金融负债全部或部分的合同条款作出实质性修改的，终止确认现存金融负债 </w:t>
      </w:r>
      <w:r>
        <w:rPr>
          <w:color w:val="000000"/>
          <w:spacing w:val="0"/>
          <w:w w:val="100"/>
          <w:position w:val="0"/>
        </w:rPr>
        <w:t>或其一部分，同时将修改条款后的金融负债确认为一项新金融负债。终止确认部分的账面价值与支付的对价之间的差额，计 入当期损益。</w:t>
      </w:r>
    </w:p>
    <w:p>
      <w:pPr>
        <w:pStyle w:val="Style37"/>
        <w:keepNext w:val="0"/>
        <w:keepLines w:val="0"/>
        <w:widowControl w:val="0"/>
        <w:shd w:val="clear" w:color="auto" w:fill="auto"/>
        <w:tabs>
          <w:tab w:pos="765" w:val="left"/>
        </w:tabs>
        <w:bidi w:val="0"/>
        <w:spacing w:before="0" w:after="0" w:line="312" w:lineRule="exact"/>
        <w:ind w:left="0" w:right="0" w:firstLine="38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本集团以主要市场的价格计量金融资产和金融负债的公允价值，不存在主要市场的，以最有利市场的价格计量金融资 产和金融负债的公允价值，并且采用当时适用并且有足够可利用数据和其他信息支持的估值技术。公允价值计量所使用的输 入值分为三个层次，即第一层次输入值是计量日能够取得的相同资产或负债在活跃市场上未经调整的报价；第二层次输入值 是除第一层次输入值外相关资产或负债直接或间接可观察的输入值；第三层次输入值是相关资产或负债的不可观察输入值。 本集团优先使用第一层次输入值，最后再使用第三层次输入值。公允价值计量结果所属的层次，由对公允价值计量整体而言 具有重大意义的输入值所属的最低层次决定。</w:t>
      </w:r>
    </w:p>
    <w:p>
      <w:pPr>
        <w:pStyle w:val="Style37"/>
        <w:keepNext w:val="0"/>
        <w:keepLines w:val="0"/>
        <w:widowControl w:val="0"/>
        <w:shd w:val="clear" w:color="auto" w:fill="auto"/>
        <w:tabs>
          <w:tab w:pos="765" w:val="left"/>
        </w:tabs>
        <w:bidi w:val="0"/>
        <w:spacing w:before="0" w:after="0" w:line="312" w:lineRule="exact"/>
        <w:ind w:left="0" w:right="0" w:firstLine="3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金融资产和金融负债的抵销</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本集团的金融资产和金融负债在资产负债表内分别列示，不相互抵销。但同时满足下列条件时，以相互抵销后的净额 在资产负债表内列示：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）本集团计划以净额 结算，或同时变现该金融资产和清偿该金融负债。</w:t>
      </w:r>
    </w:p>
    <w:p>
      <w:pPr>
        <w:pStyle w:val="Style37"/>
        <w:keepNext w:val="0"/>
        <w:keepLines w:val="0"/>
        <w:widowControl w:val="0"/>
        <w:shd w:val="clear" w:color="auto" w:fill="auto"/>
        <w:tabs>
          <w:tab w:pos="765" w:val="left"/>
        </w:tabs>
        <w:bidi w:val="0"/>
        <w:spacing w:before="0" w:after="0" w:line="312" w:lineRule="exact"/>
        <w:ind w:left="0" w:right="0" w:firstLine="38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5</w:t>
      </w:r>
      <w:r>
        <w:rPr>
          <w:color w:val="000000"/>
          <w:spacing w:val="0"/>
          <w:w w:val="100"/>
          <w:position w:val="0"/>
        </w:rPr>
        <w:t>）</w:t>
        <w:tab/>
        <w:t>金融负债与权益工具的区分及相关处理方法</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rPr>
        <w:t>1</w:t>
      </w:r>
      <w:r>
        <w:rPr>
          <w:color w:val="000000"/>
          <w:spacing w:val="0"/>
          <w:w w:val="100"/>
          <w:position w:val="0"/>
        </w:rPr>
        <w:t>）如果本集团不能无条件地避免以交付现金或其他金融资产来履行一 项合同义务，则该合同义务符合金融负债的定义。有些金融工具虽然没有明确地包含交付现金或其他金融资产义务的条款和 条件，但有可能通过其他条款和条件间接地形成合同义务。</w:t>
      </w:r>
      <w:r>
        <w:rPr>
          <w:rFonts w:ascii="Times New Roman" w:eastAsia="Times New Roman" w:hAnsi="Times New Roman" w:cs="Times New Roman"/>
          <w:color w:val="000000"/>
          <w:spacing w:val="0"/>
          <w:w w:val="100"/>
          <w:position w:val="0"/>
        </w:rPr>
        <w:t>2</w:t>
      </w:r>
      <w:r>
        <w:rPr>
          <w:color w:val="000000"/>
          <w:spacing w:val="0"/>
          <w:w w:val="100"/>
          <w:position w:val="0"/>
        </w:rPr>
        <w:t>）如果一项金融工具须用或可用本集团自身权益工具进行结算， 需要考虑用于结算该工具的本集团自身权益工具，是作为现金或其他金融资产的替代品，还是为了使该工具持有方享有在发 行方扣除所有负债后的资产中的剩余权益。如果是前者，该工具是发行方的金融负债；如果是后者，该工具是发行方的权益 工具。在某些情况下，一项金融工具合同规定本集团须用或可用自身权益工具结算该金融工具，其中合同权利或合同义务的 金额等于可获取或需交付的自身权益工具的数量乘以其结算时的公允价值，则无论该合同权利或义务的金额是固定的，还是 完全或部分地基于除本集团自身权益工具的市场价格以外的变量（例如利率、某种商品的价格或某项金融工具的价格）的变 动而变动，该合同分类为金融负债。</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本集团在合并报表中对金融工具（或其组成部分）进行分类时，考虑了集团成员和金融工具持有方之间达成的所有条 款和条件。如果集团作为一个整体由于该工具而承担了交付现金、其他金融资产或者以其他导致该工具成为金融负债的方式 进行结算的义务，则该工具应当分类为金融负债。</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金融工具或其组成部分属于金融负债的，相关利息、股利（或股息）、利得或损失，以及赎回或再融资产生的利得或 损失等，本集团计入当期损益。</w:t>
      </w:r>
    </w:p>
    <w:p>
      <w:pPr>
        <w:pStyle w:val="Style37"/>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金融工具或其组成部分属于权益工具的，其发行（含再融资）、回购、出售或注销时，本集团作为权益的变动处理， 不确认权益工具的公允价值变动。</w:t>
      </w:r>
    </w:p>
    <w:p>
      <w:pPr>
        <w:pStyle w:val="Style41"/>
        <w:keepNext/>
        <w:keepLines/>
        <w:widowControl w:val="0"/>
        <w:shd w:val="clear" w:color="auto" w:fill="auto"/>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1</w:t>
      </w:r>
      <w:r>
        <w:rPr>
          <w:color w:val="000000"/>
          <w:spacing w:val="0"/>
          <w:w w:val="100"/>
          <w:position w:val="0"/>
        </w:rPr>
        <w:t>、金融工具减值</w:t>
      </w:r>
      <w:bookmarkEnd w:id="834"/>
      <w:bookmarkEnd w:id="835"/>
      <w:bookmarkEnd w:id="837"/>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本集团对分类为以摊余成本计量的金融资产、分类为以公允价值计量且其变动计入其他综合收益的金融资产以预期信 用损失为基础确认损失准备。</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本集团对由收入准则规范的交易形成的应收账款、长期应收款按照相当于整个存续期内预期信用损失的金额计量损失 准备。</w:t>
      </w:r>
    </w:p>
    <w:p>
      <w:pPr>
        <w:pStyle w:val="Style37"/>
        <w:keepNext w:val="0"/>
        <w:keepLines w:val="0"/>
        <w:widowControl w:val="0"/>
        <w:shd w:val="clear" w:color="auto" w:fill="auto"/>
        <w:bidi w:val="0"/>
        <w:spacing w:before="0" w:after="140" w:line="313" w:lineRule="exact"/>
        <w:ind w:left="0" w:right="0" w:firstLine="460"/>
        <w:jc w:val="both"/>
      </w:pPr>
      <w:r>
        <w:rPr>
          <w:color w:val="000000"/>
          <w:spacing w:val="0"/>
          <w:w w:val="100"/>
          <w:position w:val="0"/>
        </w:rPr>
        <w:t>对于其他金融工具，除购买或源生的已发生信用减值的金融资产外，本集团在每个资产负债表日评估相关金融工具的 信用风险自初始确认后的变动情况。若该金融工具的信用风险自初始确认后已显著增加，本集团按照相当于该金融工具整个 存续期内预期信用损失的金额计量其损失准备；若该等金融工具信用风险自初始确认后并未显著增加，本集团按照相当于该 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个月内预期信用损失的金额计量其损失准备。信用损失准备的增加或转回金额，除分类为以公允价值计量且 其变动计入其他综合收益的金融资产外，作为减值损失或利得计入当期损益。对于分类为以公允价值计量且其变动计入其他 综合收益的金融资产，本集团在其他综合收益中确认其信用损失准备，并将减值损失或利得计入当期损益，且不减少该金融 资产在资产负债表中列示的账面价值。</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本集团在前一会计期间已经按照相当于金融工具整个存续期内预期信用损失的金额计量了损失准备，但在当期资产负 债表日，该金融工具已不再属于自初始确认后信用风险显著增加的情形的，本集团在当期资产负债表日按照相当于未来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个月内预期信用损失的金额计量该金融工具的损失准备，由此形成的损失准备的转回金额作为减值利得计入当期损益。</w:t>
      </w:r>
    </w:p>
    <w:p>
      <w:pPr>
        <w:pStyle w:val="Style37"/>
        <w:keepNext w:val="0"/>
        <w:keepLines w:val="0"/>
        <w:widowControl w:val="0"/>
        <w:shd w:val="clear" w:color="auto" w:fill="auto"/>
        <w:tabs>
          <w:tab w:pos="905" w:val="left"/>
        </w:tabs>
        <w:bidi w:val="0"/>
        <w:spacing w:before="0" w:after="0" w:line="314" w:lineRule="exact"/>
        <w:ind w:left="0" w:right="0" w:firstLine="46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本集团利用可获得的合理且有依据的前瞻性信息，通过比较金融工具在资产负债表日发生违约的风险与在初始确认日 发生违约的风险，以确定金融工具的信用风险自初始确认后是否已显著增加。</w:t>
      </w:r>
    </w:p>
    <w:p>
      <w:pPr>
        <w:pStyle w:val="Style37"/>
        <w:keepNext w:val="0"/>
        <w:keepLines w:val="0"/>
        <w:widowControl w:val="0"/>
        <w:shd w:val="clear" w:color="auto" w:fill="auto"/>
        <w:bidi w:val="0"/>
        <w:spacing w:before="0" w:line="314" w:lineRule="exact"/>
        <w:ind w:left="0" w:right="0" w:firstLine="460"/>
        <w:jc w:val="both"/>
      </w:pPr>
      <w:r>
        <w:rPr>
          <w:color w:val="000000"/>
          <w:spacing w:val="0"/>
          <w:w w:val="100"/>
          <w:position w:val="0"/>
        </w:rPr>
        <w:t>本集团在评估信用风险是否显著增加时会考虑如下因素：</w:t>
      </w:r>
    </w:p>
    <w:p>
      <w:pPr>
        <w:pStyle w:val="Style37"/>
        <w:keepNext w:val="0"/>
        <w:keepLines w:val="0"/>
        <w:widowControl w:val="0"/>
        <w:shd w:val="clear" w:color="auto" w:fill="auto"/>
        <w:tabs>
          <w:tab w:pos="809" w:val="left"/>
        </w:tabs>
        <w:bidi w:val="0"/>
        <w:spacing w:before="0" w:after="0"/>
        <w:ind w:left="0" w:right="0" w:firstLine="460"/>
        <w:jc w:val="both"/>
      </w:pPr>
      <w:bookmarkStart w:id="839" w:name="bookmark839"/>
      <w:r>
        <w:rPr>
          <w:rFonts w:ascii="Times New Roman" w:eastAsia="Times New Roman" w:hAnsi="Times New Roman" w:cs="Times New Roman"/>
          <w:color w:val="000000"/>
          <w:spacing w:val="0"/>
          <w:w w:val="100"/>
          <w:position w:val="0"/>
        </w:rPr>
        <w:t>1</w:t>
      </w:r>
      <w:bookmarkEnd w:id="839"/>
      <w:r>
        <w:rPr>
          <w:color w:val="000000"/>
          <w:spacing w:val="0"/>
          <w:w w:val="100"/>
          <w:position w:val="0"/>
        </w:rPr>
        <w:t>）</w:t>
        <w:tab/>
        <w:t>金融工具外部信用评级实际或预期是否发生显著变化；</w:t>
      </w:r>
    </w:p>
    <w:p>
      <w:pPr>
        <w:pStyle w:val="Style37"/>
        <w:keepNext w:val="0"/>
        <w:keepLines w:val="0"/>
        <w:widowControl w:val="0"/>
        <w:shd w:val="clear" w:color="auto" w:fill="auto"/>
        <w:tabs>
          <w:tab w:pos="828" w:val="left"/>
        </w:tabs>
        <w:bidi w:val="0"/>
        <w:spacing w:before="0" w:after="0"/>
        <w:ind w:left="0" w:right="0" w:firstLine="460"/>
        <w:jc w:val="both"/>
      </w:pPr>
      <w:bookmarkStart w:id="840" w:name="bookmark840"/>
      <w:r>
        <w:rPr>
          <w:rFonts w:ascii="Times New Roman" w:eastAsia="Times New Roman" w:hAnsi="Times New Roman" w:cs="Times New Roman"/>
          <w:color w:val="000000"/>
          <w:spacing w:val="0"/>
          <w:w w:val="100"/>
          <w:position w:val="0"/>
        </w:rPr>
        <w:t>2</w:t>
      </w:r>
      <w:bookmarkEnd w:id="840"/>
      <w:r>
        <w:rPr>
          <w:color w:val="000000"/>
          <w:spacing w:val="0"/>
          <w:w w:val="100"/>
          <w:position w:val="0"/>
        </w:rPr>
        <w:t>）</w:t>
        <w:tab/>
        <w:t>同一金融工具或具有相同预计存续期的类似金融工具的信用风险的外部市场指标是否发生显著变化；</w:t>
      </w:r>
    </w:p>
    <w:p>
      <w:pPr>
        <w:pStyle w:val="Style37"/>
        <w:keepNext w:val="0"/>
        <w:keepLines w:val="0"/>
        <w:widowControl w:val="0"/>
        <w:shd w:val="clear" w:color="auto" w:fill="auto"/>
        <w:tabs>
          <w:tab w:pos="818" w:val="left"/>
        </w:tabs>
        <w:bidi w:val="0"/>
        <w:spacing w:before="0" w:after="0"/>
        <w:ind w:left="0" w:right="0" w:firstLine="460"/>
        <w:jc w:val="both"/>
      </w:pPr>
      <w:bookmarkStart w:id="841" w:name="bookmark841"/>
      <w:r>
        <w:rPr>
          <w:rFonts w:ascii="Times New Roman" w:eastAsia="Times New Roman" w:hAnsi="Times New Roman" w:cs="Times New Roman"/>
          <w:color w:val="000000"/>
          <w:spacing w:val="0"/>
          <w:w w:val="100"/>
          <w:position w:val="0"/>
        </w:rPr>
        <w:t>3</w:t>
      </w:r>
      <w:bookmarkEnd w:id="841"/>
      <w:r>
        <w:rPr>
          <w:color w:val="000000"/>
          <w:spacing w:val="0"/>
          <w:w w:val="100"/>
          <w:position w:val="0"/>
        </w:rPr>
        <w:t>）</w:t>
        <w:tab/>
        <w:t>对债务人实际或预期的内部信用评级是否下调；</w:t>
      </w:r>
    </w:p>
    <w:p>
      <w:pPr>
        <w:pStyle w:val="Style37"/>
        <w:keepNext w:val="0"/>
        <w:keepLines w:val="0"/>
        <w:widowControl w:val="0"/>
        <w:shd w:val="clear" w:color="auto" w:fill="auto"/>
        <w:bidi w:val="0"/>
        <w:spacing w:before="0" w:after="0" w:line="314" w:lineRule="exact"/>
        <w:ind w:left="0" w:right="0" w:firstLine="460"/>
        <w:jc w:val="both"/>
      </w:pPr>
      <w:bookmarkStart w:id="842" w:name="bookmark842"/>
      <w:r>
        <w:rPr>
          <w:rFonts w:ascii="Times New Roman" w:eastAsia="Times New Roman" w:hAnsi="Times New Roman" w:cs="Times New Roman"/>
          <w:color w:val="000000"/>
          <w:spacing w:val="0"/>
          <w:w w:val="100"/>
          <w:position w:val="0"/>
        </w:rPr>
        <w:t>4</w:t>
      </w:r>
      <w:bookmarkEnd w:id="842"/>
      <w:r>
        <w:rPr>
          <w:color w:val="000000"/>
          <w:spacing w:val="0"/>
          <w:w w:val="100"/>
          <w:position w:val="0"/>
        </w:rPr>
        <w:t>） 预期将导致债务人履行其偿债义务的能力发生显著变化的业务、财务或经济状况是否出现不利变化，如债务人市场 份额明显下降、主要产品价格急剧持续下跌、主要原材料价格明显上涨、营运资金严重短缺、资产质量下降等；</w:t>
      </w:r>
    </w:p>
    <w:p>
      <w:pPr>
        <w:pStyle w:val="Style37"/>
        <w:keepNext w:val="0"/>
        <w:keepLines w:val="0"/>
        <w:widowControl w:val="0"/>
        <w:shd w:val="clear" w:color="auto" w:fill="auto"/>
        <w:tabs>
          <w:tab w:pos="810" w:val="left"/>
        </w:tabs>
        <w:bidi w:val="0"/>
        <w:spacing w:before="0" w:after="0" w:line="314" w:lineRule="exact"/>
        <w:ind w:left="0" w:right="0" w:firstLine="460"/>
        <w:jc w:val="both"/>
      </w:pPr>
      <w:bookmarkStart w:id="843" w:name="bookmark843"/>
      <w:r>
        <w:rPr>
          <w:rFonts w:ascii="Times New Roman" w:eastAsia="Times New Roman" w:hAnsi="Times New Roman" w:cs="Times New Roman"/>
          <w:color w:val="000000"/>
          <w:spacing w:val="0"/>
          <w:w w:val="100"/>
          <w:position w:val="0"/>
        </w:rPr>
        <w:t>5</w:t>
      </w:r>
      <w:bookmarkEnd w:id="843"/>
      <w:r>
        <w:rPr>
          <w:color w:val="000000"/>
          <w:spacing w:val="0"/>
          <w:w w:val="100"/>
          <w:position w:val="0"/>
        </w:rPr>
        <w:t>）</w:t>
        <w:tab/>
        <w:t>债务人经营成果实际或预期是否发生显著变化，如收入、利润等经营指标出现明显不利变化且预期短时间内难以好 转；</w:t>
      </w:r>
    </w:p>
    <w:p>
      <w:pPr>
        <w:pStyle w:val="Style37"/>
        <w:keepNext w:val="0"/>
        <w:keepLines w:val="0"/>
        <w:widowControl w:val="0"/>
        <w:shd w:val="clear" w:color="auto" w:fill="auto"/>
        <w:tabs>
          <w:tab w:pos="805" w:val="left"/>
        </w:tabs>
        <w:bidi w:val="0"/>
        <w:spacing w:before="0" w:line="314" w:lineRule="exact"/>
        <w:ind w:left="0" w:right="0" w:firstLine="460"/>
        <w:jc w:val="both"/>
      </w:pPr>
      <w:bookmarkStart w:id="844" w:name="bookmark844"/>
      <w:r>
        <w:rPr>
          <w:rFonts w:ascii="Times New Roman" w:eastAsia="Times New Roman" w:hAnsi="Times New Roman" w:cs="Times New Roman"/>
          <w:color w:val="000000"/>
          <w:spacing w:val="0"/>
          <w:w w:val="100"/>
          <w:position w:val="0"/>
        </w:rPr>
        <w:t>6</w:t>
      </w:r>
      <w:bookmarkEnd w:id="844"/>
      <w:r>
        <w:rPr>
          <w:color w:val="000000"/>
          <w:spacing w:val="0"/>
          <w:w w:val="100"/>
          <w:position w:val="0"/>
        </w:rPr>
        <w:t>）</w:t>
        <w:tab/>
        <w:t>债务人所处的监管、经济或技术环境是否发生显著不利变化，如技术变革、国家或地方政府拟出台相关政策是否对 债务人产生重大不利影响；</w:t>
      </w:r>
    </w:p>
    <w:p>
      <w:pPr>
        <w:pStyle w:val="Style37"/>
        <w:keepNext w:val="0"/>
        <w:keepLines w:val="0"/>
        <w:widowControl w:val="0"/>
        <w:shd w:val="clear" w:color="auto" w:fill="auto"/>
        <w:tabs>
          <w:tab w:pos="828" w:val="left"/>
        </w:tabs>
        <w:bidi w:val="0"/>
        <w:spacing w:before="0" w:after="0"/>
        <w:ind w:left="0" w:right="0" w:firstLine="460"/>
        <w:jc w:val="both"/>
      </w:pPr>
      <w:bookmarkStart w:id="845" w:name="bookmark845"/>
      <w:r>
        <w:rPr>
          <w:rFonts w:ascii="Times New Roman" w:eastAsia="Times New Roman" w:hAnsi="Times New Roman" w:cs="Times New Roman"/>
          <w:color w:val="000000"/>
          <w:spacing w:val="0"/>
          <w:w w:val="100"/>
          <w:position w:val="0"/>
        </w:rPr>
        <w:t>7</w:t>
      </w:r>
      <w:bookmarkEnd w:id="845"/>
      <w:r>
        <w:rPr>
          <w:color w:val="000000"/>
          <w:spacing w:val="0"/>
          <w:w w:val="100"/>
          <w:position w:val="0"/>
        </w:rPr>
        <w:t>）</w:t>
        <w:tab/>
        <w:t>作为债务抵押的担保物价值或第三方提供的担保或信用增级质量的是否发生显著变化；</w:t>
      </w:r>
    </w:p>
    <w:p>
      <w:pPr>
        <w:pStyle w:val="Style37"/>
        <w:keepNext w:val="0"/>
        <w:keepLines w:val="0"/>
        <w:widowControl w:val="0"/>
        <w:shd w:val="clear" w:color="auto" w:fill="auto"/>
        <w:tabs>
          <w:tab w:pos="810" w:val="left"/>
        </w:tabs>
        <w:bidi w:val="0"/>
        <w:spacing w:before="0" w:line="314" w:lineRule="exact"/>
        <w:ind w:left="0" w:right="0" w:firstLine="460"/>
        <w:jc w:val="both"/>
      </w:pPr>
      <w:bookmarkStart w:id="846" w:name="bookmark846"/>
      <w:r>
        <w:rPr>
          <w:rFonts w:ascii="Times New Roman" w:eastAsia="Times New Roman" w:hAnsi="Times New Roman" w:cs="Times New Roman"/>
          <w:color w:val="000000"/>
          <w:spacing w:val="0"/>
          <w:w w:val="100"/>
          <w:position w:val="0"/>
        </w:rPr>
        <w:t>8</w:t>
      </w:r>
      <w:bookmarkEnd w:id="846"/>
      <w:r>
        <w:rPr>
          <w:color w:val="000000"/>
          <w:spacing w:val="0"/>
          <w:w w:val="100"/>
          <w:position w:val="0"/>
        </w:rPr>
        <w:t>）</w:t>
        <w:tab/>
        <w:t>预期将降低债务人按合同约定期限还款的经济动机的是否发生显著变化，如母公司或其他关联公司能够提供的财务 支持减少，或者信用增级质量的显著变化；</w:t>
      </w:r>
    </w:p>
    <w:p>
      <w:pPr>
        <w:pStyle w:val="Style37"/>
        <w:keepNext w:val="0"/>
        <w:keepLines w:val="0"/>
        <w:widowControl w:val="0"/>
        <w:shd w:val="clear" w:color="auto" w:fill="auto"/>
        <w:tabs>
          <w:tab w:pos="818" w:val="left"/>
        </w:tabs>
        <w:bidi w:val="0"/>
        <w:spacing w:before="0" w:after="0"/>
        <w:ind w:left="0" w:right="0" w:firstLine="460"/>
        <w:jc w:val="both"/>
      </w:pPr>
      <w:bookmarkStart w:id="847" w:name="bookmark847"/>
      <w:r>
        <w:rPr>
          <w:rFonts w:ascii="Times New Roman" w:eastAsia="Times New Roman" w:hAnsi="Times New Roman" w:cs="Times New Roman"/>
          <w:color w:val="000000"/>
          <w:spacing w:val="0"/>
          <w:w w:val="100"/>
          <w:position w:val="0"/>
        </w:rPr>
        <w:t>9</w:t>
      </w:r>
      <w:bookmarkEnd w:id="847"/>
      <w:r>
        <w:rPr>
          <w:color w:val="000000"/>
          <w:spacing w:val="0"/>
          <w:w w:val="100"/>
          <w:position w:val="0"/>
        </w:rPr>
        <w:t>）</w:t>
        <w:tab/>
        <w:t>债务人预期表现和还款行为是否发生显著变化；</w:t>
      </w:r>
    </w:p>
    <w:p>
      <w:pPr>
        <w:pStyle w:val="Style37"/>
        <w:keepNext w:val="0"/>
        <w:keepLines w:val="0"/>
        <w:widowControl w:val="0"/>
        <w:shd w:val="clear" w:color="auto" w:fill="auto"/>
        <w:tabs>
          <w:tab w:pos="900" w:val="left"/>
        </w:tabs>
        <w:bidi w:val="0"/>
        <w:spacing w:before="0" w:after="0"/>
        <w:ind w:left="0" w:right="0" w:firstLine="460"/>
        <w:jc w:val="both"/>
      </w:pPr>
      <w:bookmarkStart w:id="848" w:name="bookmark848"/>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0</w:t>
      </w:r>
      <w:r>
        <w:rPr>
          <w:color w:val="000000"/>
          <w:spacing w:val="0"/>
          <w:w w:val="100"/>
          <w:position w:val="0"/>
        </w:rPr>
        <w:t>）</w:t>
        <w:tab/>
        <w:t>本集团对金融工具信用管理方法是否发生变化。</w:t>
      </w:r>
    </w:p>
    <w:p>
      <w:pPr>
        <w:pStyle w:val="Style37"/>
        <w:keepNext w:val="0"/>
        <w:keepLines w:val="0"/>
        <w:widowControl w:val="0"/>
        <w:shd w:val="clear" w:color="auto" w:fill="auto"/>
        <w:tabs>
          <w:tab w:pos="905" w:val="left"/>
        </w:tabs>
        <w:bidi w:val="0"/>
        <w:spacing w:before="0" w:after="0" w:line="314" w:lineRule="exact"/>
        <w:ind w:left="0" w:right="0" w:firstLine="46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37"/>
        <w:keepNext w:val="0"/>
        <w:keepLines w:val="0"/>
        <w:widowControl w:val="0"/>
        <w:shd w:val="clear" w:color="auto" w:fill="auto"/>
        <w:bidi w:val="0"/>
        <w:spacing w:before="0" w:line="314" w:lineRule="exact"/>
        <w:ind w:left="0" w:right="0" w:firstLine="460"/>
        <w:jc w:val="both"/>
      </w:pPr>
      <w:r>
        <w:rPr>
          <w:color w:val="000000"/>
          <w:spacing w:val="0"/>
          <w:w w:val="100"/>
          <w:position w:val="0"/>
        </w:rPr>
        <w:t>当本集团预期对金融资产未来现金流量具有不利影响的一项或多项事件发生时，该金融资产成为已发生信用减值的金 融资产。金融资产已发生信用减值的证据包括下列可观察信息：</w:t>
      </w:r>
    </w:p>
    <w:p>
      <w:pPr>
        <w:pStyle w:val="Style37"/>
        <w:keepNext w:val="0"/>
        <w:keepLines w:val="0"/>
        <w:widowControl w:val="0"/>
        <w:shd w:val="clear" w:color="auto" w:fill="auto"/>
        <w:tabs>
          <w:tab w:pos="809" w:val="left"/>
        </w:tabs>
        <w:bidi w:val="0"/>
        <w:spacing w:before="0" w:after="0"/>
        <w:ind w:left="0" w:right="0" w:firstLine="460"/>
        <w:jc w:val="both"/>
      </w:pPr>
      <w:bookmarkStart w:id="850" w:name="bookmark850"/>
      <w:r>
        <w:rPr>
          <w:rFonts w:ascii="Times New Roman" w:eastAsia="Times New Roman" w:hAnsi="Times New Roman" w:cs="Times New Roman"/>
          <w:color w:val="000000"/>
          <w:spacing w:val="0"/>
          <w:w w:val="100"/>
          <w:position w:val="0"/>
        </w:rPr>
        <w:t>1</w:t>
      </w:r>
      <w:bookmarkEnd w:id="850"/>
      <w:r>
        <w:rPr>
          <w:color w:val="000000"/>
          <w:spacing w:val="0"/>
          <w:w w:val="100"/>
          <w:position w:val="0"/>
        </w:rPr>
        <w:t>）</w:t>
        <w:tab/>
        <w:t>发行方或债务人发生重大财务困难；</w:t>
      </w:r>
    </w:p>
    <w:p>
      <w:pPr>
        <w:pStyle w:val="Style37"/>
        <w:keepNext w:val="0"/>
        <w:keepLines w:val="0"/>
        <w:widowControl w:val="0"/>
        <w:shd w:val="clear" w:color="auto" w:fill="auto"/>
        <w:tabs>
          <w:tab w:pos="828" w:val="left"/>
        </w:tabs>
        <w:bidi w:val="0"/>
        <w:spacing w:before="0" w:after="0"/>
        <w:ind w:left="0" w:right="0" w:firstLine="460"/>
        <w:jc w:val="both"/>
      </w:pPr>
      <w:bookmarkStart w:id="851" w:name="bookmark851"/>
      <w:r>
        <w:rPr>
          <w:rFonts w:ascii="Times New Roman" w:eastAsia="Times New Roman" w:hAnsi="Times New Roman" w:cs="Times New Roman"/>
          <w:color w:val="000000"/>
          <w:spacing w:val="0"/>
          <w:w w:val="100"/>
          <w:position w:val="0"/>
        </w:rPr>
        <w:t>2</w:t>
      </w:r>
      <w:bookmarkEnd w:id="851"/>
      <w:r>
        <w:rPr>
          <w:color w:val="000000"/>
          <w:spacing w:val="0"/>
          <w:w w:val="100"/>
          <w:position w:val="0"/>
        </w:rPr>
        <w:t>）</w:t>
        <w:tab/>
        <w:t>债务人违反合同，如偿付利息或本金违约或逾期等；</w:t>
      </w:r>
    </w:p>
    <w:p>
      <w:pPr>
        <w:pStyle w:val="Style37"/>
        <w:keepNext w:val="0"/>
        <w:keepLines w:val="0"/>
        <w:widowControl w:val="0"/>
        <w:shd w:val="clear" w:color="auto" w:fill="auto"/>
        <w:tabs>
          <w:tab w:pos="818" w:val="left"/>
        </w:tabs>
        <w:bidi w:val="0"/>
        <w:spacing w:before="0" w:after="0"/>
        <w:ind w:left="0" w:right="0" w:firstLine="460"/>
        <w:jc w:val="both"/>
      </w:pPr>
      <w:bookmarkStart w:id="852" w:name="bookmark852"/>
      <w:r>
        <w:rPr>
          <w:rFonts w:ascii="Times New Roman" w:eastAsia="Times New Roman" w:hAnsi="Times New Roman" w:cs="Times New Roman"/>
          <w:color w:val="000000"/>
          <w:spacing w:val="0"/>
          <w:w w:val="100"/>
          <w:position w:val="0"/>
        </w:rPr>
        <w:t>3</w:t>
      </w:r>
      <w:bookmarkEnd w:id="852"/>
      <w:r>
        <w:rPr>
          <w:color w:val="000000"/>
          <w:spacing w:val="0"/>
          <w:w w:val="100"/>
          <w:position w:val="0"/>
        </w:rPr>
        <w:t>）</w:t>
        <w:tab/>
        <w:t>债权人出于与债务人财务困难有关的经济或合同考虑，给予债务人在任何其他情况下都不会做出的让步；</w:t>
      </w:r>
    </w:p>
    <w:p>
      <w:pPr>
        <w:pStyle w:val="Style37"/>
        <w:keepNext w:val="0"/>
        <w:keepLines w:val="0"/>
        <w:widowControl w:val="0"/>
        <w:shd w:val="clear" w:color="auto" w:fill="auto"/>
        <w:tabs>
          <w:tab w:pos="828" w:val="left"/>
        </w:tabs>
        <w:bidi w:val="0"/>
        <w:spacing w:before="0" w:after="0"/>
        <w:ind w:left="0" w:right="0" w:firstLine="460"/>
        <w:jc w:val="both"/>
      </w:pPr>
      <w:bookmarkStart w:id="853" w:name="bookmark853"/>
      <w:r>
        <w:rPr>
          <w:rFonts w:ascii="Times New Roman" w:eastAsia="Times New Roman" w:hAnsi="Times New Roman" w:cs="Times New Roman"/>
          <w:color w:val="000000"/>
          <w:spacing w:val="0"/>
          <w:w w:val="100"/>
          <w:position w:val="0"/>
        </w:rPr>
        <w:t>4</w:t>
      </w:r>
      <w:bookmarkEnd w:id="853"/>
      <w:r>
        <w:rPr>
          <w:color w:val="000000"/>
          <w:spacing w:val="0"/>
          <w:w w:val="100"/>
          <w:position w:val="0"/>
        </w:rPr>
        <w:t>）</w:t>
        <w:tab/>
        <w:t>债务人很可能破产或进行其他财务重组；</w:t>
      </w:r>
    </w:p>
    <w:p>
      <w:pPr>
        <w:pStyle w:val="Style37"/>
        <w:keepNext w:val="0"/>
        <w:keepLines w:val="0"/>
        <w:widowControl w:val="0"/>
        <w:shd w:val="clear" w:color="auto" w:fill="auto"/>
        <w:tabs>
          <w:tab w:pos="828" w:val="left"/>
        </w:tabs>
        <w:bidi w:val="0"/>
        <w:spacing w:before="0" w:after="0"/>
        <w:ind w:left="0" w:right="0" w:firstLine="460"/>
        <w:jc w:val="both"/>
      </w:pPr>
      <w:bookmarkStart w:id="854" w:name="bookmark854"/>
      <w:r>
        <w:rPr>
          <w:rFonts w:ascii="Times New Roman" w:eastAsia="Times New Roman" w:hAnsi="Times New Roman" w:cs="Times New Roman"/>
          <w:color w:val="000000"/>
          <w:spacing w:val="0"/>
          <w:w w:val="100"/>
          <w:position w:val="0"/>
        </w:rPr>
        <w:t>5</w:t>
      </w:r>
      <w:bookmarkEnd w:id="854"/>
      <w:r>
        <w:rPr>
          <w:color w:val="000000"/>
          <w:spacing w:val="0"/>
          <w:w w:val="100"/>
          <w:position w:val="0"/>
        </w:rPr>
        <w:t>）</w:t>
        <w:tab/>
        <w:t>发行方或债务人财务困难导致该金融资产的活跃市场消失；</w:t>
      </w:r>
    </w:p>
    <w:p>
      <w:pPr>
        <w:pStyle w:val="Style37"/>
        <w:keepNext w:val="0"/>
        <w:keepLines w:val="0"/>
        <w:widowControl w:val="0"/>
        <w:shd w:val="clear" w:color="auto" w:fill="auto"/>
        <w:tabs>
          <w:tab w:pos="828" w:val="left"/>
        </w:tabs>
        <w:bidi w:val="0"/>
        <w:spacing w:before="0" w:after="0"/>
        <w:ind w:left="0" w:right="0" w:firstLine="460"/>
        <w:jc w:val="both"/>
      </w:pPr>
      <w:bookmarkStart w:id="855" w:name="bookmark855"/>
      <w:r>
        <w:rPr>
          <w:rFonts w:ascii="Times New Roman" w:eastAsia="Times New Roman" w:hAnsi="Times New Roman" w:cs="Times New Roman"/>
          <w:color w:val="000000"/>
          <w:spacing w:val="0"/>
          <w:w w:val="100"/>
          <w:position w:val="0"/>
        </w:rPr>
        <w:t>6</w:t>
      </w:r>
      <w:bookmarkEnd w:id="855"/>
      <w:r>
        <w:rPr>
          <w:color w:val="000000"/>
          <w:spacing w:val="0"/>
          <w:w w:val="100"/>
          <w:position w:val="0"/>
        </w:rPr>
        <w:t>）</w:t>
        <w:tab/>
        <w:t>以大幅折扣购买或源生一项金融资产，该折扣反映了发生信用损失的事实。</w:t>
      </w:r>
    </w:p>
    <w:p>
      <w:pPr>
        <w:pStyle w:val="Style37"/>
        <w:keepNext w:val="0"/>
        <w:keepLines w:val="0"/>
        <w:widowControl w:val="0"/>
        <w:shd w:val="clear" w:color="auto" w:fill="auto"/>
        <w:tabs>
          <w:tab w:pos="905" w:val="left"/>
        </w:tabs>
        <w:bidi w:val="0"/>
        <w:spacing w:before="0" w:after="0" w:line="314" w:lineRule="exact"/>
        <w:ind w:left="0" w:right="0" w:firstLine="46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本集团对应收票据、应收账款、其他应收款等在组合基础上采用减值矩阵确定相关金融工具的信用损失。本集团以共 同风险特征为依据，将金融工具分为不同组别。本集团的共同信用风险特征包括：金融工具类型、初始确认日期、剩余合同 期限、债务人所处行业等。本集团基于历史信用损失经验、使用减值矩阵计算应收款项的预期信用损失，相关历史经验根据 资产负债表日应收对象的特定因素、以及对当前状况和未来经济状况预测的评估进行调整。</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本集团按照下列方法确定相关金融工具的预期信用损失：</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对于金融资产，信用损失为本集团应收取的合同现金流量与预期收取的现金流量之间差额的现值。</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本集团依据信用风险特征将应收款项划分为若干组合，在组合基础上计算预期信用损失。对于划分为组合的应收款项， 本集团参考历史信用损失经验，结合当前状况以及对未来经济状况的预测，编制应收账款账期或账龄与整个存续期预期信用 损失率对照表，计算预期信用损失。对于划分为组合的其他应收款，本集团编制其他应收款账期与预期信用损失率对照表， 计算预期信用损失。</w:t>
      </w:r>
    </w:p>
    <w:p>
      <w:pPr>
        <w:pStyle w:val="Style41"/>
        <w:keepNext/>
        <w:keepLines/>
        <w:widowControl w:val="0"/>
        <w:shd w:val="clear" w:color="auto" w:fill="auto"/>
        <w:tabs>
          <w:tab w:pos="460" w:val="left"/>
        </w:tabs>
        <w:bidi w:val="0"/>
        <w:spacing w:before="0" w:after="26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57"/>
      <w:bookmarkEnd w:id="858"/>
      <w:bookmarkEnd w:id="860"/>
    </w:p>
    <w:p>
      <w:pPr>
        <w:pStyle w:val="Style37"/>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本集团存货主要包括库存商品、未完工程、在途物资等。</w:t>
      </w:r>
    </w:p>
    <w:p>
      <w:pPr>
        <w:pStyle w:val="Style37"/>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存货实行永续盘存制。存货在取得时按实际成本计价；领用或发出存货，采用按照项目单独核算的移动加权平均法确 定其实际成本。低值易耗品采用一次转销法进行摊销。</w:t>
      </w:r>
    </w:p>
    <w:p>
      <w:pPr>
        <w:pStyle w:val="Style37"/>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年末存货按成本与可变现净值孰低原则计价，对于存货因遭受毁损、全部或部分陈旧过时或销售价格低于成本等原因，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37"/>
        <w:keepNext w:val="0"/>
        <w:keepLines w:val="0"/>
        <w:widowControl w:val="0"/>
        <w:shd w:val="clear" w:color="auto" w:fill="auto"/>
        <w:bidi w:val="0"/>
        <w:spacing w:before="0" w:after="360" w:line="313" w:lineRule="exact"/>
        <w:ind w:left="0" w:right="0" w:firstLine="460"/>
        <w:jc w:val="left"/>
      </w:pPr>
      <w:r>
        <w:rPr>
          <w:color w:val="000000"/>
          <w:spacing w:val="0"/>
          <w:w w:val="100"/>
          <w:position w:val="0"/>
        </w:rPr>
        <w:t>库存商品、在产品和用于出售的材料等直接用于出售的商品存货，其可变现净值按该存货的估计售价减去估计的销售 费用和相关税费后的金额确定；用于生产而持有的材料存货，其可变现净值按所生产的产成品的估计售价减去至完工时估计 将要发生的成本、估计的销售费用和相关税费后的金额确定。</w:t>
      </w:r>
    </w:p>
    <w:p>
      <w:pPr>
        <w:pStyle w:val="Style41"/>
        <w:keepNext/>
        <w:keepLines/>
        <w:widowControl w:val="0"/>
        <w:shd w:val="clear" w:color="auto" w:fill="auto"/>
        <w:tabs>
          <w:tab w:pos="460" w:val="left"/>
        </w:tabs>
        <w:bidi w:val="0"/>
        <w:spacing w:before="0" w:after="26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61"/>
      <w:bookmarkEnd w:id="862"/>
      <w:bookmarkEnd w:id="864"/>
    </w:p>
    <w:p>
      <w:pPr>
        <w:pStyle w:val="Style37"/>
        <w:keepNext w:val="0"/>
        <w:keepLines w:val="0"/>
        <w:widowControl w:val="0"/>
        <w:shd w:val="clear" w:color="auto" w:fill="auto"/>
        <w:tabs>
          <w:tab w:pos="891" w:val="left"/>
        </w:tabs>
        <w:bidi w:val="0"/>
        <w:spacing w:before="0" w:after="0" w:line="314" w:lineRule="exact"/>
        <w:ind w:left="0" w:right="0" w:firstLine="460"/>
        <w:jc w:val="left"/>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合同资产是指本集团已向客户转让商品或服务而有权收取对价的权利，且该权利取决于时间流逝之外的其他因素。本 集团拥有的无条件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37"/>
        <w:keepNext w:val="0"/>
        <w:keepLines w:val="0"/>
        <w:widowControl w:val="0"/>
        <w:shd w:val="clear" w:color="auto" w:fill="auto"/>
        <w:tabs>
          <w:tab w:pos="891" w:val="left"/>
        </w:tabs>
        <w:bidi w:val="0"/>
        <w:spacing w:before="0" w:after="0" w:line="314" w:lineRule="exact"/>
        <w:ind w:left="0" w:right="0" w:firstLine="46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合同资产预期信用损失的确定方法及会计处理方法</w:t>
      </w:r>
    </w:p>
    <w:p>
      <w:pPr>
        <w:pStyle w:val="Style37"/>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有关合同资产预期信用损失的确定方法，参见五、</w:t>
      </w:r>
      <w:r>
        <w:rPr>
          <w:rFonts w:ascii="Times New Roman" w:eastAsia="Times New Roman" w:hAnsi="Times New Roman" w:cs="Times New Roman"/>
          <w:color w:val="000000"/>
          <w:spacing w:val="0"/>
          <w:w w:val="100"/>
          <w:position w:val="0"/>
        </w:rPr>
        <w:t>11</w:t>
      </w:r>
      <w:r>
        <w:rPr>
          <w:color w:val="000000"/>
          <w:spacing w:val="0"/>
          <w:w w:val="100"/>
          <w:position w:val="0"/>
        </w:rPr>
        <w:t>金融工具减值。</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会计处理方法，本集团在资产负债表日计算合同资产预期信用损失，如果该预期信用损失大于当前合同资产减值准备 的账面金额，本集团将其差额确认为减值损失，借记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rPr>
        <w:t>”</w:t>
      </w:r>
      <w:r>
        <w:rPr>
          <w:color w:val="000000"/>
          <w:spacing w:val="0"/>
          <w:w w:val="100"/>
          <w:position w:val="0"/>
        </w:rPr>
        <w:t>。相反，本集团将差额确认 为减值利得，做相反的会计记录。</w:t>
      </w:r>
    </w:p>
    <w:p>
      <w:pPr>
        <w:pStyle w:val="Style37"/>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rPr>
        <w:t>“</w:t>
      </w:r>
      <w:r>
        <w:rPr>
          <w:color w:val="000000"/>
          <w:spacing w:val="0"/>
          <w:w w:val="100"/>
          <w:position w:val="0"/>
        </w:rPr>
        <w:t>合同资产减 值准备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合同资产七若核销金额大于已计提的损失准备，按其差额借记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keepLines/>
        <w:widowControl w:val="0"/>
        <w:shd w:val="clear" w:color="auto" w:fill="auto"/>
        <w:tabs>
          <w:tab w:pos="460" w:val="left"/>
        </w:tabs>
        <w:bidi w:val="0"/>
        <w:spacing w:before="0" w:after="2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867"/>
      <w:bookmarkEnd w:id="868"/>
      <w:bookmarkEnd w:id="870"/>
    </w:p>
    <w:p>
      <w:pPr>
        <w:pStyle w:val="Style37"/>
        <w:keepNext w:val="0"/>
        <w:keepLines w:val="0"/>
        <w:widowControl w:val="0"/>
        <w:shd w:val="clear" w:color="auto" w:fill="auto"/>
        <w:tabs>
          <w:tab w:pos="891" w:val="left"/>
        </w:tabs>
        <w:bidi w:val="0"/>
        <w:spacing w:before="0" w:after="0" w:line="312" w:lineRule="exact"/>
        <w:ind w:left="0" w:right="0" w:firstLine="46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与合同成本有关的资产金额的确定方法</w:t>
      </w:r>
    </w:p>
    <w:p>
      <w:pPr>
        <w:pStyle w:val="Style3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本集团与合同成本有关的资产包括合同履约成本和合同取得成本。</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合同履约成本，即本集团为履行合同发生的成本，不属于其他企业会计准则规范范围且同时满足下列条件的，作为合 同履约成本确认为一项资产：该成本与一份当前或预期取得的合同直接相关，包括直接人工、直接材料、制造费用（或类似 费用）、明确由客户承担的成本以及仅因该合同而发生的其他成本；该成本增加了本集团未来用于履行履约义务的资源；该 成本预期能够收回。</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合同取得成本，即本集团为取得合同发生的增量成本预期能够收回的，作为合同取得成本确认为一项资产；该资产摊 销期限不超过一年的，在发生时计入当期损益。增量成本，是指本集团不取得合同就不会发生的成本（如销售佣金等）。本 集团为取得合同发生的、除预期能够收回的增量成本之外的其他支出（如无论是否取得合同均会发生的差旅费等），在发生 时计入当期损益，但是，明确由客户承担的除外。</w:t>
      </w:r>
    </w:p>
    <w:p>
      <w:pPr>
        <w:pStyle w:val="Style37"/>
        <w:keepNext w:val="0"/>
        <w:keepLines w:val="0"/>
        <w:widowControl w:val="0"/>
        <w:shd w:val="clear" w:color="auto" w:fill="auto"/>
        <w:tabs>
          <w:tab w:pos="891" w:val="left"/>
        </w:tabs>
        <w:bidi w:val="0"/>
        <w:spacing w:before="0" w:after="0" w:line="312" w:lineRule="exact"/>
        <w:ind w:left="0" w:right="0" w:firstLine="46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与合同成本有关的资产的摊销</w:t>
      </w:r>
    </w:p>
    <w:p>
      <w:pPr>
        <w:pStyle w:val="Style3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本集团与合同成本有关的资产采用与该资产相关的商品收入确认相同的基础进行摊销，计入当期损益。</w:t>
      </w:r>
    </w:p>
    <w:p>
      <w:pPr>
        <w:pStyle w:val="Style37"/>
        <w:keepNext w:val="0"/>
        <w:keepLines w:val="0"/>
        <w:widowControl w:val="0"/>
        <w:shd w:val="clear" w:color="auto" w:fill="auto"/>
        <w:tabs>
          <w:tab w:pos="891" w:val="left"/>
        </w:tabs>
        <w:bidi w:val="0"/>
        <w:spacing w:before="0" w:after="0" w:line="312" w:lineRule="exact"/>
        <w:ind w:left="0" w:right="0" w:firstLine="46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与合同成本有关的资产的减值</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本集团在确定与合同成本有关的资产的减值损失时，首先对按照其他相关企业会计准则确认的、与合同有关的其他资 产确定减值损失;然后根据其账面价值高于本集团因转让与该资产相关的商品预期能够取得的剩余对价以及为转让该相关商 品估计将要发生的成本这两项差额的，超出部分应当计提减值准备，并确认为资产减值损失。</w:t>
      </w:r>
    </w:p>
    <w:p>
      <w:pPr>
        <w:pStyle w:val="Style37"/>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以前期间减值的因素之后发生变化，使得前述差额高于该资产账面价值的，转回原已计提的资产减值准备，并计入当 期损益，但转回后的资产账面价值不应超过假定不计提减值准备情况下该资产在转回日的账面价值。</w:t>
      </w:r>
    </w:p>
    <w:p>
      <w:pPr>
        <w:pStyle w:val="Style41"/>
        <w:keepNext/>
        <w:keepLines/>
        <w:widowControl w:val="0"/>
        <w:shd w:val="clear" w:color="auto" w:fill="auto"/>
        <w:tabs>
          <w:tab w:pos="414" w:val="left"/>
        </w:tabs>
        <w:bidi w:val="0"/>
        <w:spacing w:before="0" w:after="26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874"/>
      <w:bookmarkEnd w:id="875"/>
      <w:bookmarkEnd w:id="877"/>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本集团长期股权投资主要是对子公司的投资、对联营企业的投资和对合营企业的投资。</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本集团对共同控制的判断依据是所有参与方或参与方组合集体控制该安排，并且该安排相关活动的政策必须经过这些 集体控制该安排的参与方一致同意。</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rPr>
        <w:t>20.00%</w:t>
      </w:r>
      <w:r>
        <w:rPr>
          <w:color w:val="000000"/>
          <w:spacing w:val="0"/>
          <w:w w:val="100"/>
          <w:position w:val="0"/>
        </w:rPr>
        <w:t>以上但低于</w:t>
      </w:r>
      <w:r>
        <w:rPr>
          <w:rFonts w:ascii="Times New Roman" w:eastAsia="Times New Roman" w:hAnsi="Times New Roman" w:cs="Times New Roman"/>
          <w:color w:val="000000"/>
          <w:spacing w:val="0"/>
          <w:w w:val="100"/>
          <w:position w:val="0"/>
        </w:rPr>
        <w:t>50.00%</w:t>
      </w:r>
      <w:r>
        <w:rPr>
          <w:color w:val="000000"/>
          <w:spacing w:val="0"/>
          <w:w w:val="100"/>
          <w:position w:val="0"/>
        </w:rPr>
        <w:t>的表决权时，通常认为对被投资单位具有重大 影响。持有被投资单位</w:t>
      </w:r>
      <w:r>
        <w:rPr>
          <w:rFonts w:ascii="Times New Roman" w:eastAsia="Times New Roman" w:hAnsi="Times New Roman" w:cs="Times New Roman"/>
          <w:color w:val="000000"/>
          <w:spacing w:val="0"/>
          <w:w w:val="100"/>
          <w:position w:val="0"/>
        </w:rPr>
        <w:t>20.00%</w:t>
      </w:r>
      <w:r>
        <w:rPr>
          <w:color w:val="000000"/>
          <w:spacing w:val="0"/>
          <w:w w:val="100"/>
          <w:position w:val="0"/>
        </w:rPr>
        <w:t>以下表决权的，还需要综合考虑在被投资单位的董事会或类似权力机构中派有代表、或参与 被投资单位财务和经营政策制定过程、或与被投资单位之间发生重要交易、或向被投资单位派出管理人员、或向被投资单位 提供关键技术资料等事实和情况判断对被投资单位具有重大影响。</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被合并方在最终控制方合并报表中净资产的账面价值的份额作为长期股权投资的初始投资成本。被合并方在合并日的净资产 账面价值为负数的，长期股权投资成本按零确定。通过非同一控制下的企业合并取得的长期股权投资，以合并成本作为初始 投资成本。</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按照投资合同或协议约定的价值作为投资成本；以债务重组、非货币性资产交换等方式取得的长期股权投资，按相关会计准 则的规定确定初始投资成本。</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本集团对子公司投资采用成本法核算，对合营企业及联营企业投资采用权益法核算。</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按照本集团的会计政策及会计期间，并抵销与联营企业及合营企业之间发生的内部交易损益按照持股比例计算归属于投资企 业的部分，对被投资单位的净利润进行调整后确认。</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处置长期股权投资，其账面价值与实际取得价款的差额，计入当期投资收益。采用权益法核算的长期股权投资，原权 益法核算的相关其他综合收益应当在终止采用权益法核算时采用与被投资单位直接处置相关资产或负债相同的基础进行会 计处理，因被投资单位除净损益、其他综合收益和利润分配以外的其他所有者权益变动而确认的所有者权益，应当在终止采 用权益法核算时全部转入当期投资损益。</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因处置部分股权投资等原因丧失了对被投资单位的共同控制或重大影响的，处置后的剩余股权改按金融工具确认和计 量准则的有关规定核算，剩余股权在丧失共同控制或重大影响之日的公允价值与账面价值之间的差额计入当期损益。原股权 投资因采用权益法核算而确认的其他综合收益，在终止采用权益法核算时采用与被投资单位直接处置相关资产或负债相同的 基础处理并按比例结转，因被投资单位除净损益、其他综合收益和利润分配以外的其他所有者权益变动而确认的所有者权益， 应当按比例转入当期投资收益。</w:t>
      </w:r>
    </w:p>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影响的，改按权益法核算，处置股权账面价值和处置对价的差额计入投资收益，并对该剩余股权视同自取得时即采用权益法 核算进行调整；处置后的剩余股权不能对被投资单位实施共同控制或施加重大影响的，改按金融工具确认和计量准则的有关 规定进行会计处理，处置股权账面价值和处置对价的差额计入投资收益，剩余股权在丧失控制之日的公允价值与账面价值间 的差额计入当期损益。</w:t>
      </w:r>
    </w:p>
    <w:p>
      <w:pPr>
        <w:pStyle w:val="Style41"/>
        <w:keepNext/>
        <w:keepLines/>
        <w:widowControl w:val="0"/>
        <w:shd w:val="clear" w:color="auto" w:fill="auto"/>
        <w:tabs>
          <w:tab w:pos="414" w:val="left"/>
        </w:tabs>
        <w:bidi w:val="0"/>
        <w:spacing w:before="0" w:after="26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878"/>
      <w:bookmarkEnd w:id="879"/>
      <w:bookmarkEnd w:id="881"/>
    </w:p>
    <w:p>
      <w:pPr>
        <w:pStyle w:val="Style37"/>
        <w:keepNext w:val="0"/>
        <w:keepLines w:val="0"/>
        <w:widowControl w:val="0"/>
        <w:shd w:val="clear" w:color="auto" w:fill="auto"/>
        <w:bidi w:val="0"/>
        <w:spacing w:before="0" w:after="160" w:line="336" w:lineRule="exact"/>
        <w:ind w:left="0" w:right="0" w:firstLine="0"/>
        <w:jc w:val="left"/>
      </w:pPr>
      <w:r>
        <w:rPr>
          <w:color w:val="000000"/>
          <w:spacing w:val="0"/>
          <w:w w:val="100"/>
          <w:position w:val="0"/>
        </w:rPr>
        <w:t>投资性房地产计量模式 成本法计量</w:t>
      </w:r>
    </w:p>
    <w:p>
      <w:pPr>
        <w:pStyle w:val="Style37"/>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本集团投资性房地产为已出租的房屋建筑物。</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本集团投资性房地产按其成本作为入账价值，外购投资性房地产的成本包括购买价款、相关税费和可直接归属于该资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本集团对投资性房地产采用成本模式进行后续计量，并按照与房屋建筑物一致的政策进行折旧或摊销。</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当投资性房地产的用途改变为自用时，则自改变之日起，将该投资性房地产转换为固定资产或无形资产。自用房地产 的用途改变为赚取租金或资本增值时，则自改变之日起，将固定资产或无形资产转换为投资性房地产。发生转换时，以转换 前的账面价值作为转换后的入账价值。</w:t>
      </w:r>
    </w:p>
    <w:p>
      <w:pPr>
        <w:pStyle w:val="Style37"/>
        <w:keepNext w:val="0"/>
        <w:keepLines w:val="0"/>
        <w:widowControl w:val="0"/>
        <w:shd w:val="clear" w:color="auto" w:fill="auto"/>
        <w:bidi w:val="0"/>
        <w:spacing w:before="0" w:after="120" w:line="308" w:lineRule="exact"/>
        <w:ind w:left="0" w:right="0" w:firstLine="46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p>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本集团投资性房地产采用平均年限方法计提折旧或摊销。各类投资性房地产的预计使用寿命、净残值率及年折旧(摊销) 率如下：</w:t>
      </w:r>
    </w:p>
    <w:tbl>
      <w:tblPr>
        <w:tblOverlap w:val="never"/>
        <w:jc w:val="center"/>
        <w:tblLayout w:type="fixed"/>
      </w:tblPr>
      <w:tblGrid>
        <w:gridCol w:w="1109"/>
        <w:gridCol w:w="2213"/>
        <w:gridCol w:w="1685"/>
        <w:gridCol w:w="1949"/>
        <w:gridCol w:w="1714"/>
      </w:tblGrid>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折旧年限</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年</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r>
              <w:rPr>
                <w:rFonts w:ascii="Times New Roman" w:eastAsia="Times New Roman" w:hAnsi="Times New Roman" w:cs="Times New Roman"/>
                <w:b/>
                <w:bCs/>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r>
    </w:tbl>
    <w:p>
      <w:pPr>
        <w:widowControl w:val="0"/>
        <w:spacing w:after="319" w:line="1" w:lineRule="exact"/>
      </w:pPr>
    </w:p>
    <w:p>
      <w:pPr>
        <w:pStyle w:val="Style41"/>
        <w:keepNext/>
        <w:keepLines/>
        <w:widowControl w:val="0"/>
        <w:shd w:val="clear" w:color="auto" w:fill="auto"/>
        <w:bidi w:val="0"/>
        <w:spacing w:before="0" w:after="26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882"/>
      <w:bookmarkEnd w:id="883"/>
      <w:bookmarkEnd w:id="885"/>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本集团固定资产是指公司所拥有或控制的、使用年限在一年以上的，并在使用过程中保持原有实物形态的资产，包括 房屋建筑物、机器设备、运输设备、办公设备。</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固定资产按其取得时的成本作为入账的价值，其中，外购的固定资产成本包括买价、相关税费，以及为使固定资产达 到预定可使用状态前所发生的可直接归属于该资产的其他支出；自行建造固定资产的成本，由建造该项资产达到预定可使用 状态前所发生的必要支出构成；投资者投入的固定资产，按投资合同或协议约定的价值作为入账价值，但合同或协议约定价 值不公允的按公允价值入账；融资租赁租入的固定资产，按租赁开始日租赁资产公允价值与最低租赁付款额现值两者中较低 者作为入账价值。</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与固定资产有关的后续支出，包括修理支出、更新改造支出等，符合固定资产确认条件的，计入固定资产成本，对于 被替换的部分，终止确认其账面价值；不符合固定资产确认条件的，于发生时计入当期损益。</w:t>
      </w:r>
    </w:p>
    <w:p>
      <w:pPr>
        <w:pStyle w:val="Style37"/>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除已提足折旧仍继续使用的固定资产外，本集团对所有固定资产计提折旧。计提折旧时采用平均年限法，并根据用途 分别计入相关资产的成本或当期费用。本集团固定资产的预计净残值率、分类折旧年限、折旧率如下：</w:t>
      </w:r>
    </w:p>
    <w:tbl>
      <w:tblPr>
        <w:tblOverlap w:val="never"/>
        <w:jc w:val="center"/>
        <w:tblLayout w:type="fixed"/>
      </w:tblPr>
      <w:tblGrid>
        <w:gridCol w:w="1099"/>
        <w:gridCol w:w="1930"/>
        <w:gridCol w:w="1930"/>
        <w:gridCol w:w="1930"/>
        <w:gridCol w:w="1781"/>
      </w:tblGrid>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折旧年限</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年</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r>
              <w:rPr>
                <w:rFonts w:ascii="Times New Roman" w:eastAsia="Times New Roman" w:hAnsi="Times New Roman" w:cs="Times New Roman"/>
                <w:b/>
                <w:bCs/>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18-20</w:t>
            </w:r>
          </w:p>
        </w:tc>
      </w:tr>
      <w:tr>
        <w:trPr>
          <w:trHeight w:val="4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18-20</w:t>
            </w:r>
          </w:p>
        </w:tc>
      </w:tr>
    </w:tbl>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本集团于每年年度终了，对固定资产的预计使用寿命、预计净残值和折旧方法进行复核，如发生改变，则作为会计估 计变更处理。</w:t>
      </w:r>
    </w:p>
    <w:p>
      <w:pPr>
        <w:pStyle w:val="Style37"/>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当固定资产被处置、或者预期通过使用或处置不能产生经济利益时，终止确认该固定资产。固定资产出售、转让、报 废或毁损的处置收入扣除其账面价值和相关税费后的金额计入当期损益。</w:t>
      </w:r>
    </w:p>
    <w:p>
      <w:pPr>
        <w:pStyle w:val="Style41"/>
        <w:keepNext/>
        <w:keepLines/>
        <w:widowControl w:val="0"/>
        <w:shd w:val="clear" w:color="auto" w:fill="auto"/>
        <w:bidi w:val="0"/>
        <w:spacing w:before="0" w:after="26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886"/>
      <w:bookmarkEnd w:id="887"/>
      <w:bookmarkEnd w:id="889"/>
    </w:p>
    <w:p>
      <w:pPr>
        <w:pStyle w:val="Style37"/>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起开始计提折旧，待办理了竣工决算手续后再对固定资产原值差异作调整。</w:t>
      </w:r>
    </w:p>
    <w:p>
      <w:pPr>
        <w:pStyle w:val="Style41"/>
        <w:keepNext/>
        <w:keepLines/>
        <w:widowControl w:val="0"/>
        <w:shd w:val="clear" w:color="auto" w:fill="auto"/>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9</w:t>
      </w:r>
      <w:r>
        <w:rPr>
          <w:color w:val="000000"/>
          <w:spacing w:val="0"/>
          <w:w w:val="100"/>
          <w:position w:val="0"/>
        </w:rPr>
        <w:t>、借款费用</w:t>
      </w:r>
      <w:bookmarkEnd w:id="890"/>
      <w:bookmarkEnd w:id="891"/>
      <w:bookmarkEnd w:id="893"/>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态所必要的购建或生产活动已经开始时,开始资本化;当购建或生产符合资本化条件的资产达到预定可使用或可销售状态时， 停止资本化。其余借款费用在发生当期确认为费用。</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专门借款当期实际发生的利息费用，扣除尚未动用的借款资金存入银行取得的利息收入或进行暂时性投资取得的投资 收益后的金额予以资本化;一般借款根据累计资产支出超过专门借款部分的资产支出加权平均数乘以所占用一般借款的加权 平均利率，确定资本化金额。</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符合资本化条件的资产，是指需要经过相当长时间（通常指1年以上）的购建或者生产活动才能达到预定可使用或者可 销售状态的固定资产、投资性房地产和存货等资产。</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如果符合资本化条件的资产在购建或者生产过程中发生非正常中断、且中断时间连续超过3个月，暂停借款费用的资本 化，直至资产的购建或生产活动重新开始。</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w:t>
      </w:r>
      <w:r>
        <w:rPr>
          <w:color w:val="000000"/>
          <w:spacing w:val="0"/>
          <w:w w:val="100"/>
          <w:position w:val="0"/>
        </w:rPr>
        <w:t>、无形资产本集团无形资产包括土地使用权、软件、专利技术及非专利技术等，按取得时的实际成本计量，其中， 购入的无形资产，按实际支付的价款和相关的其他支出作为实际成本；投资者投入的无形资产，按投资合同或协议约定的价 值确定实际成本，但合同或协议约定价值不公允的，按公允价值确定实际成本；对非同一控制下合并中取得被购买方拥有的 但在其财务报表中未确认的软件无形资产，在对被购买方资产进行初始确认时，按公允价值确认为无形资产。</w:t>
      </w:r>
    </w:p>
    <w:p>
      <w:pPr>
        <w:pStyle w:val="Style37"/>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土地使用权从出让起始日起，按其出让年限平均摊销；软件、专利技术和非专利技术等无形资产按预计使用年限、合 同规定的受益年限和法律规定的有效年限三者中最短者分期平均摊销。摊销金额按其受益对象计入相关资产成本和当期损 益。对使用寿命有限的无形资产的预计使用寿命及摊销方法于每年年度终了进行复核，如发生改变，则作为会计估计变更处 理。</w:t>
      </w:r>
    </w:p>
    <w:p>
      <w:pPr>
        <w:pStyle w:val="Style41"/>
        <w:keepNext/>
        <w:keepLines/>
        <w:widowControl w:val="0"/>
        <w:shd w:val="clear" w:color="auto" w:fill="auto"/>
        <w:tabs>
          <w:tab w:pos="453" w:val="left"/>
        </w:tabs>
        <w:bidi w:val="0"/>
        <w:spacing w:before="0" w:after="28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研究与开发</w:t>
      </w:r>
      <w:bookmarkEnd w:id="894"/>
      <w:bookmarkEnd w:id="895"/>
      <w:bookmarkEnd w:id="897"/>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本集团内部研究开发项目支出根据其性质以及研发活动最终形成无形资产是否具有较大不确定性，分为研究阶段支出 和开发阶段支出。</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自行研究开发的无形资产，其研究阶段的支出，于发生时计入当期损益；其开发阶段的支出，同时满足下列条件的， 确认为无形资产：</w:t>
      </w:r>
    </w:p>
    <w:p>
      <w:pPr>
        <w:pStyle w:val="Style37"/>
        <w:keepNext w:val="0"/>
        <w:keepLines w:val="0"/>
        <w:widowControl w:val="0"/>
        <w:shd w:val="clear" w:color="auto" w:fill="auto"/>
        <w:tabs>
          <w:tab w:pos="875" w:val="left"/>
        </w:tabs>
        <w:bidi w:val="0"/>
        <w:spacing w:before="0" w:after="0" w:line="312" w:lineRule="exact"/>
        <w:ind w:left="0" w:right="0" w:firstLine="460"/>
        <w:jc w:val="left"/>
        <w:rPr>
          <w:sz w:val="22"/>
          <w:szCs w:val="22"/>
        </w:rPr>
      </w:pPr>
      <w:bookmarkStart w:id="898" w:name="bookmark898"/>
      <w:r>
        <w:rPr>
          <w:color w:val="000000"/>
          <w:spacing w:val="0"/>
          <w:w w:val="100"/>
          <w:position w:val="0"/>
          <w:sz w:val="18"/>
          <w:szCs w:val="18"/>
        </w:rPr>
        <w:t>（</w:t>
      </w:r>
      <w:bookmarkEnd w:id="898"/>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完成该无形资产以使其能够使用或出售在技术上具有可行性</w:t>
      </w:r>
      <w:r>
        <w:rPr>
          <w:color w:val="000000"/>
          <w:spacing w:val="0"/>
          <w:w w:val="100"/>
          <w:position w:val="0"/>
          <w:sz w:val="22"/>
          <w:szCs w:val="22"/>
        </w:rPr>
        <w:t>；</w:t>
      </w:r>
    </w:p>
    <w:p>
      <w:pPr>
        <w:pStyle w:val="Style37"/>
        <w:keepNext w:val="0"/>
        <w:keepLines w:val="0"/>
        <w:widowControl w:val="0"/>
        <w:shd w:val="clear" w:color="auto" w:fill="auto"/>
        <w:tabs>
          <w:tab w:pos="875" w:val="left"/>
        </w:tabs>
        <w:bidi w:val="0"/>
        <w:spacing w:before="0" w:after="0" w:line="317" w:lineRule="exact"/>
        <w:ind w:left="0" w:right="0" w:firstLine="46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7"/>
        <w:keepNext w:val="0"/>
        <w:keepLines w:val="0"/>
        <w:widowControl w:val="0"/>
        <w:shd w:val="clear" w:color="auto" w:fill="auto"/>
        <w:tabs>
          <w:tab w:pos="875" w:val="left"/>
        </w:tabs>
        <w:bidi w:val="0"/>
        <w:spacing w:before="0" w:after="0" w:line="317" w:lineRule="exact"/>
        <w:ind w:left="0" w:right="0" w:firstLine="46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运用该无形资产生产的产品存在市场或无形资产自身存在市场；</w:t>
      </w:r>
    </w:p>
    <w:p>
      <w:pPr>
        <w:pStyle w:val="Style37"/>
        <w:keepNext w:val="0"/>
        <w:keepLines w:val="0"/>
        <w:widowControl w:val="0"/>
        <w:shd w:val="clear" w:color="auto" w:fill="auto"/>
        <w:tabs>
          <w:tab w:pos="875" w:val="left"/>
        </w:tabs>
        <w:bidi w:val="0"/>
        <w:spacing w:before="0" w:after="0" w:line="317" w:lineRule="exact"/>
        <w:ind w:left="0" w:right="0" w:firstLine="46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有足够的技术、财务资源和其他资源支持，以完成该无形资产的开发，并有能力使用或出售该无形资产；</w:t>
      </w:r>
    </w:p>
    <w:p>
      <w:pPr>
        <w:pStyle w:val="Style37"/>
        <w:keepNext w:val="0"/>
        <w:keepLines w:val="0"/>
        <w:widowControl w:val="0"/>
        <w:shd w:val="clear" w:color="auto" w:fill="auto"/>
        <w:tabs>
          <w:tab w:pos="875" w:val="left"/>
        </w:tabs>
        <w:bidi w:val="0"/>
        <w:spacing w:before="0" w:after="0" w:line="317" w:lineRule="exact"/>
        <w:ind w:left="0" w:right="0" w:firstLine="46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7"/>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pStyle w:val="Style41"/>
        <w:keepNext/>
        <w:keepLines/>
        <w:widowControl w:val="0"/>
        <w:shd w:val="clear" w:color="auto" w:fill="auto"/>
        <w:tabs>
          <w:tab w:pos="453" w:val="left"/>
        </w:tabs>
        <w:bidi w:val="0"/>
        <w:spacing w:before="0" w:after="28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03"/>
      <w:bookmarkEnd w:id="904"/>
      <w:bookmarkEnd w:id="906"/>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本集团于每一资产负债表日对长期股权投资、采用成本模式计量的投资性房地产、固定资产、在建工程、使用寿命有 限的无形资产等项目进行检查，当存在下列迹象时，表明资产可能发生了减值，本集团将估计其可收回金额，进行减值测试。</w:t>
      </w:r>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可收回金额根据资产的公允价值减去处置费用后的净额与资产预计未来现金流量的现值两者之间较高者确定。本集团 以单项资产为基础估计其可收回金额；难以对单项资产的可收回金额进行估计的，以该资产所属的资产组为基础确定资产组 的可收回金额。资产组的认定，以资产组产生的主要现金流入是否独立于其他资产或者资产组的现金流入为依据。</w:t>
      </w:r>
    </w:p>
    <w:p>
      <w:pPr>
        <w:pStyle w:val="Style37"/>
        <w:keepNext w:val="0"/>
        <w:keepLines w:val="0"/>
        <w:widowControl w:val="0"/>
        <w:shd w:val="clear" w:color="auto" w:fill="auto"/>
        <w:bidi w:val="0"/>
        <w:spacing w:before="0" w:after="280" w:line="311" w:lineRule="exact"/>
        <w:ind w:left="0" w:right="0" w:firstLine="460"/>
        <w:jc w:val="both"/>
      </w:pPr>
      <w:r>
        <w:rPr>
          <w:color w:val="000000"/>
          <w:spacing w:val="0"/>
          <w:w w:val="100"/>
          <w:position w:val="0"/>
        </w:rPr>
        <w:t>当资产或者资产组的可收回金额低于其账面价值时，本集团将其账面价值减记至可收回金额，减记的金额计入当期损 益，同时计提相应的资产减值准备。</w:t>
      </w:r>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出现减值的迹象如下：</w:t>
      </w:r>
    </w:p>
    <w:p>
      <w:pPr>
        <w:pStyle w:val="Style37"/>
        <w:keepNext w:val="0"/>
        <w:keepLines w:val="0"/>
        <w:widowControl w:val="0"/>
        <w:shd w:val="clear" w:color="auto" w:fill="auto"/>
        <w:tabs>
          <w:tab w:pos="905" w:val="left"/>
        </w:tabs>
        <w:bidi w:val="0"/>
        <w:spacing w:before="0" w:after="0" w:line="316" w:lineRule="exact"/>
        <w:ind w:left="0" w:right="0" w:firstLine="460"/>
        <w:jc w:val="both"/>
      </w:pPr>
      <w:bookmarkStart w:id="907" w:name="bookmark907"/>
      <w:r>
        <w:rPr>
          <w:color w:val="000000"/>
          <w:spacing w:val="0"/>
          <w:w w:val="100"/>
          <w:position w:val="0"/>
        </w:rPr>
        <w:t>（</w:t>
      </w:r>
      <w:bookmarkEnd w:id="907"/>
      <w:r>
        <w:rPr>
          <w:color w:val="000000"/>
          <w:spacing w:val="0"/>
          <w:w w:val="100"/>
          <w:position w:val="0"/>
        </w:rPr>
        <w:t>1）</w:t>
        <w:tab/>
        <w:t>资产的市价当期大幅度下跌，其跌幅明显高于因时间的推移或者正常使用而预计的下跌。</w:t>
      </w:r>
    </w:p>
    <w:p>
      <w:pPr>
        <w:pStyle w:val="Style37"/>
        <w:keepNext w:val="0"/>
        <w:keepLines w:val="0"/>
        <w:widowControl w:val="0"/>
        <w:shd w:val="clear" w:color="auto" w:fill="auto"/>
        <w:tabs>
          <w:tab w:pos="987" w:val="left"/>
        </w:tabs>
        <w:bidi w:val="0"/>
        <w:spacing w:before="0" w:after="0" w:line="324" w:lineRule="exact"/>
        <w:ind w:left="0" w:right="0" w:firstLine="460"/>
        <w:jc w:val="both"/>
      </w:pPr>
      <w:bookmarkStart w:id="908" w:name="bookmark908"/>
      <w:r>
        <w:rPr>
          <w:color w:val="000000"/>
          <w:spacing w:val="0"/>
          <w:w w:val="100"/>
          <w:position w:val="0"/>
        </w:rPr>
        <w:t>（</w:t>
      </w:r>
      <w:bookmarkEnd w:id="908"/>
      <w:r>
        <w:rPr>
          <w:color w:val="000000"/>
          <w:spacing w:val="0"/>
          <w:w w:val="100"/>
          <w:position w:val="0"/>
        </w:rPr>
        <w:t>2）</w:t>
        <w:tab/>
        <w:t>企业经营所处的经济、技术或者法律等环境以及资产所处的市场在当期或者将在近期发生重大变化，从而对企业 产生不利影响。</w:t>
      </w:r>
    </w:p>
    <w:p>
      <w:pPr>
        <w:pStyle w:val="Style37"/>
        <w:keepNext w:val="0"/>
        <w:keepLines w:val="0"/>
        <w:widowControl w:val="0"/>
        <w:shd w:val="clear" w:color="auto" w:fill="auto"/>
        <w:tabs>
          <w:tab w:pos="982" w:val="left"/>
        </w:tabs>
        <w:bidi w:val="0"/>
        <w:spacing w:before="0" w:after="0" w:line="324" w:lineRule="exact"/>
        <w:ind w:left="0" w:right="0" w:firstLine="460"/>
        <w:jc w:val="both"/>
      </w:pPr>
      <w:bookmarkStart w:id="909" w:name="bookmark909"/>
      <w:r>
        <w:rPr>
          <w:color w:val="000000"/>
          <w:spacing w:val="0"/>
          <w:w w:val="100"/>
          <w:position w:val="0"/>
        </w:rPr>
        <w:t>（</w:t>
      </w:r>
      <w:bookmarkEnd w:id="909"/>
      <w:r>
        <w:rPr>
          <w:color w:val="000000"/>
          <w:spacing w:val="0"/>
          <w:w w:val="100"/>
          <w:position w:val="0"/>
        </w:rPr>
        <w:t>3）</w:t>
        <w:tab/>
        <w:t>市场利率或者其他市场投资报酬率在当期已经提高，从而影响企业计算资产预计未来现金流量现值的折现率，导 致资产可收回金额大幅度降低。</w:t>
      </w:r>
    </w:p>
    <w:p>
      <w:pPr>
        <w:pStyle w:val="Style37"/>
        <w:keepNext w:val="0"/>
        <w:keepLines w:val="0"/>
        <w:widowControl w:val="0"/>
        <w:shd w:val="clear" w:color="auto" w:fill="auto"/>
        <w:tabs>
          <w:tab w:pos="905" w:val="left"/>
        </w:tabs>
        <w:bidi w:val="0"/>
        <w:spacing w:before="0" w:after="0" w:line="316" w:lineRule="exact"/>
        <w:ind w:left="0" w:right="0" w:firstLine="460"/>
        <w:jc w:val="both"/>
      </w:pPr>
      <w:bookmarkStart w:id="910" w:name="bookmark910"/>
      <w:r>
        <w:rPr>
          <w:color w:val="000000"/>
          <w:spacing w:val="0"/>
          <w:w w:val="100"/>
          <w:position w:val="0"/>
        </w:rPr>
        <w:t>（</w:t>
      </w:r>
      <w:bookmarkEnd w:id="910"/>
      <w:r>
        <w:rPr>
          <w:color w:val="000000"/>
          <w:spacing w:val="0"/>
          <w:w w:val="100"/>
          <w:position w:val="0"/>
        </w:rPr>
        <w:t>4）</w:t>
        <w:tab/>
        <w:t>有证据表明资产已经陈旧过时或者其实体已经损坏。</w:t>
      </w:r>
    </w:p>
    <w:p>
      <w:pPr>
        <w:pStyle w:val="Style37"/>
        <w:keepNext w:val="0"/>
        <w:keepLines w:val="0"/>
        <w:widowControl w:val="0"/>
        <w:shd w:val="clear" w:color="auto" w:fill="auto"/>
        <w:tabs>
          <w:tab w:pos="905" w:val="left"/>
        </w:tabs>
        <w:bidi w:val="0"/>
        <w:spacing w:before="0" w:after="0" w:line="316" w:lineRule="exact"/>
        <w:ind w:left="0" w:right="0" w:firstLine="460"/>
        <w:jc w:val="both"/>
      </w:pPr>
      <w:bookmarkStart w:id="911" w:name="bookmark911"/>
      <w:r>
        <w:rPr>
          <w:color w:val="000000"/>
          <w:spacing w:val="0"/>
          <w:w w:val="100"/>
          <w:position w:val="0"/>
        </w:rPr>
        <w:t>（</w:t>
      </w:r>
      <w:bookmarkEnd w:id="911"/>
      <w:r>
        <w:rPr>
          <w:color w:val="000000"/>
          <w:spacing w:val="0"/>
          <w:w w:val="100"/>
          <w:position w:val="0"/>
        </w:rPr>
        <w:t>5）</w:t>
        <w:tab/>
        <w:t>资产已经或者将被闲置、终止使用或者计划提前处置。</w:t>
      </w:r>
    </w:p>
    <w:p>
      <w:pPr>
        <w:pStyle w:val="Style37"/>
        <w:keepNext w:val="0"/>
        <w:keepLines w:val="0"/>
        <w:widowControl w:val="0"/>
        <w:shd w:val="clear" w:color="auto" w:fill="auto"/>
        <w:tabs>
          <w:tab w:pos="982" w:val="left"/>
        </w:tabs>
        <w:bidi w:val="0"/>
        <w:spacing w:before="0" w:after="0" w:line="316" w:lineRule="exact"/>
        <w:ind w:left="0" w:right="0" w:firstLine="460"/>
        <w:jc w:val="both"/>
      </w:pPr>
      <w:bookmarkStart w:id="912" w:name="bookmark912"/>
      <w:r>
        <w:rPr>
          <w:color w:val="000000"/>
          <w:spacing w:val="0"/>
          <w:w w:val="100"/>
          <w:position w:val="0"/>
        </w:rPr>
        <w:t>（</w:t>
      </w:r>
      <w:bookmarkEnd w:id="912"/>
      <w:r>
        <w:rPr>
          <w:color w:val="000000"/>
          <w:spacing w:val="0"/>
          <w:w w:val="100"/>
          <w:position w:val="0"/>
        </w:rPr>
        <w:t>6）</w:t>
        <w:tab/>
        <w:t>企业内部报告的证据表明资产的经济绩效已经低于或者将低于预期，如资产所创造的净现金流量或者实现的营业 利润（或者亏损）远远低于（或者高于）预计金额等。</w:t>
      </w:r>
    </w:p>
    <w:p>
      <w:pPr>
        <w:pStyle w:val="Style37"/>
        <w:keepNext w:val="0"/>
        <w:keepLines w:val="0"/>
        <w:widowControl w:val="0"/>
        <w:shd w:val="clear" w:color="auto" w:fill="auto"/>
        <w:tabs>
          <w:tab w:pos="905" w:val="left"/>
        </w:tabs>
        <w:bidi w:val="0"/>
        <w:spacing w:before="0" w:after="0" w:line="316" w:lineRule="exact"/>
        <w:ind w:left="0" w:right="0" w:firstLine="460"/>
        <w:jc w:val="both"/>
      </w:pPr>
      <w:bookmarkStart w:id="913" w:name="bookmark913"/>
      <w:r>
        <w:rPr>
          <w:color w:val="000000"/>
          <w:spacing w:val="0"/>
          <w:w w:val="100"/>
          <w:position w:val="0"/>
        </w:rPr>
        <w:t>（</w:t>
      </w:r>
      <w:bookmarkEnd w:id="913"/>
      <w:r>
        <w:rPr>
          <w:color w:val="000000"/>
          <w:spacing w:val="0"/>
          <w:w w:val="100"/>
          <w:position w:val="0"/>
        </w:rPr>
        <w:t>7）</w:t>
        <w:tab/>
        <w:t>其他表明资产可能已经发生减值的迹象。</w:t>
      </w:r>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商誉至少在每年年度终了进行减值测试。对商誉进行减值测试时，结合与其相关的资产组或者资产组组合进行。即， 自购买日起将商誉的账面价值按照合理的方法分摊到能够从企业合并的协同效应中受益的资产组或资产组组合，如包含分摊 的商誉的资产组或资产组组合的可收回金额低于其账面价值的，确认相应的减值损失。减值损失金额首先抵减分摊到该资产 组或资产组组合的商誉的账面价值，再根据资产组或资产组组合中除商誉以外的其他各项资产的账面价值所占比重，按比例 抵减其他各项资产的账面价值。</w:t>
      </w:r>
    </w:p>
    <w:p>
      <w:pPr>
        <w:pStyle w:val="Style37"/>
        <w:keepNext w:val="0"/>
        <w:keepLines w:val="0"/>
        <w:widowControl w:val="0"/>
        <w:shd w:val="clear" w:color="auto" w:fill="auto"/>
        <w:bidi w:val="0"/>
        <w:spacing w:before="0" w:after="400" w:line="316" w:lineRule="exact"/>
        <w:ind w:left="0" w:right="0" w:firstLine="460"/>
        <w:jc w:val="both"/>
      </w:pPr>
      <w:r>
        <w:rPr>
          <w:color w:val="000000"/>
          <w:spacing w:val="0"/>
          <w:w w:val="100"/>
          <w:position w:val="0"/>
        </w:rPr>
        <w:t>上述资产减值损失一经确认，在以后会计期间不再转回。</w:t>
      </w:r>
    </w:p>
    <w:p>
      <w:pPr>
        <w:pStyle w:val="Style41"/>
        <w:keepNext/>
        <w:keepLines/>
        <w:widowControl w:val="0"/>
        <w:shd w:val="clear" w:color="auto" w:fill="auto"/>
        <w:tabs>
          <w:tab w:pos="483" w:val="left"/>
        </w:tabs>
        <w:bidi w:val="0"/>
        <w:spacing w:before="0" w:after="2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14"/>
      <w:bookmarkEnd w:id="915"/>
      <w:bookmarkEnd w:id="917"/>
    </w:p>
    <w:p>
      <w:pPr>
        <w:pStyle w:val="Style37"/>
        <w:keepNext w:val="0"/>
        <w:keepLines w:val="0"/>
        <w:widowControl w:val="0"/>
        <w:shd w:val="clear" w:color="auto" w:fill="auto"/>
        <w:bidi w:val="0"/>
        <w:spacing w:before="0" w:after="400" w:line="307" w:lineRule="exact"/>
        <w:ind w:left="0" w:right="0" w:firstLine="460"/>
        <w:jc w:val="both"/>
      </w:pPr>
      <w:r>
        <w:rPr>
          <w:color w:val="000000"/>
          <w:spacing w:val="0"/>
          <w:w w:val="100"/>
          <w:position w:val="0"/>
        </w:rPr>
        <w:t>本集团长期待摊费用是指已经支出，但应由当期及以后各期承担的摊销期限在1年以上（不含1年）的各项费用，该等费 用在受益期内平均摊销。如果长期待摊费用项目不能使以后会计期间受益，则将尚未摊销的该项目的摊余价值全部转入当期 损益。</w:t>
      </w:r>
    </w:p>
    <w:p>
      <w:pPr>
        <w:pStyle w:val="Style41"/>
        <w:keepNext/>
        <w:keepLines/>
        <w:widowControl w:val="0"/>
        <w:shd w:val="clear" w:color="auto" w:fill="auto"/>
        <w:tabs>
          <w:tab w:pos="483"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918"/>
      <w:bookmarkEnd w:id="919"/>
      <w:bookmarkEnd w:id="921"/>
    </w:p>
    <w:p>
      <w:pPr>
        <w:pStyle w:val="Style37"/>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合同负债是指本集团已收或应收客户对价而应向客户转让商品或服务的义务。同一合同下的合同资产和合同负债以净 额列示。</w:t>
      </w:r>
    </w:p>
    <w:p>
      <w:pPr>
        <w:pStyle w:val="Style41"/>
        <w:keepNext/>
        <w:keepLines/>
        <w:widowControl w:val="0"/>
        <w:shd w:val="clear" w:color="auto" w:fill="auto"/>
        <w:tabs>
          <w:tab w:pos="483"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922"/>
      <w:bookmarkEnd w:id="923"/>
      <w:bookmarkEnd w:id="925"/>
    </w:p>
    <w:p>
      <w:pPr>
        <w:pStyle w:val="Style37"/>
        <w:keepNext w:val="0"/>
        <w:keepLines w:val="0"/>
        <w:widowControl w:val="0"/>
        <w:shd w:val="clear" w:color="auto" w:fill="auto"/>
        <w:bidi w:val="0"/>
        <w:spacing w:before="0" w:after="400" w:line="316" w:lineRule="exact"/>
        <w:ind w:left="0" w:right="0" w:firstLine="380"/>
        <w:jc w:val="left"/>
      </w:pPr>
      <w:r>
        <w:rPr>
          <w:color w:val="000000"/>
          <w:spacing w:val="0"/>
          <w:w w:val="100"/>
          <w:position w:val="0"/>
        </w:rPr>
        <w:t>本集团职工薪酬主要包括短期薪酬、离职后福利和辞退福利。</w:t>
      </w:r>
    </w:p>
    <w:p>
      <w:pPr>
        <w:pStyle w:val="Style41"/>
        <w:keepNext/>
        <w:keepLines/>
        <w:widowControl w:val="0"/>
        <w:shd w:val="clear" w:color="auto" w:fill="auto"/>
        <w:tabs>
          <w:tab w:pos="493"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6"/>
      <w:bookmarkEnd w:id="927"/>
      <w:bookmarkEnd w:id="929"/>
    </w:p>
    <w:p>
      <w:pPr>
        <w:pStyle w:val="Style37"/>
        <w:keepNext w:val="0"/>
        <w:keepLines w:val="0"/>
        <w:widowControl w:val="0"/>
        <w:shd w:val="clear" w:color="auto" w:fill="auto"/>
        <w:bidi w:val="0"/>
        <w:spacing w:before="0" w:after="400" w:line="310" w:lineRule="exact"/>
        <w:ind w:left="0" w:right="0" w:firstLine="460"/>
        <w:jc w:val="both"/>
      </w:pPr>
      <w:r>
        <w:rPr>
          <w:color w:val="000000"/>
          <w:spacing w:val="0"/>
          <w:w w:val="100"/>
          <w:position w:val="0"/>
        </w:rPr>
        <w:t>短期薪酬主要包括工资、奖金、津贴和补贴、职工福利费、社会保险费及住房公积金、工会经费和职工教育经费等与 获得职工提供的服务相关的支出，在职工提供服务的会计期间，将实际发生的短期薪酬确认为负债，并按照受益对象计入当 期损益或相关资产成本。</w:t>
      </w:r>
    </w:p>
    <w:p>
      <w:pPr>
        <w:pStyle w:val="Style41"/>
        <w:keepNext/>
        <w:keepLines/>
        <w:widowControl w:val="0"/>
        <w:shd w:val="clear" w:color="auto" w:fill="auto"/>
        <w:tabs>
          <w:tab w:pos="493"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0"/>
      <w:bookmarkEnd w:id="931"/>
      <w:bookmarkEnd w:id="933"/>
    </w:p>
    <w:p>
      <w:pPr>
        <w:pStyle w:val="Style37"/>
        <w:keepNext w:val="0"/>
        <w:keepLines w:val="0"/>
        <w:widowControl w:val="0"/>
        <w:shd w:val="clear" w:color="auto" w:fill="auto"/>
        <w:bidi w:val="0"/>
        <w:spacing w:before="0" w:after="340" w:line="314" w:lineRule="exact"/>
        <w:ind w:left="0" w:right="0" w:firstLine="460"/>
        <w:jc w:val="left"/>
      </w:pPr>
      <w:r>
        <w:rPr>
          <w:color w:val="000000"/>
          <w:spacing w:val="0"/>
          <w:w w:val="100"/>
          <w:position w:val="0"/>
        </w:rPr>
        <w:t>离职后福利主要包括基本养老保险、失业保险、补充养老保险等，按照公司承担的风险和义务，分类为设定提存计划。 对于设定提存计划根据在资产负债日为换取职工在会计期间提供的服务而单独通过主体缴存的提存金额确认为负债，并按照 受益对象计入当期损益或相关资产成本。</w:t>
      </w:r>
    </w:p>
    <w:p>
      <w:pPr>
        <w:pStyle w:val="Style41"/>
        <w:keepNext/>
        <w:keepLines/>
        <w:widowControl w:val="0"/>
        <w:shd w:val="clear" w:color="auto" w:fill="auto"/>
        <w:bidi w:val="0"/>
        <w:spacing w:before="0" w:after="28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34"/>
      <w:bookmarkEnd w:id="935"/>
      <w:bookmarkEnd w:id="937"/>
    </w:p>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辞退福利是指如在职工劳动合同到期之前决定解除与职工的劳动关系，或为鼓励职工自愿接受裁减而提出给予补偿的 建议，如果本集团已经制定正式的解除劳动关系计划或提出自愿裁减建议，并即将实施，同时本集团不能单方面撤回解除劳 动关系计划或裁减建议的，确认因解除与职工劳动关系给予补偿产生的预计负债，计入当期损益。</w:t>
      </w:r>
    </w:p>
    <w:p>
      <w:pPr>
        <w:pStyle w:val="Style41"/>
        <w:keepNext/>
        <w:keepLines/>
        <w:widowControl w:val="0"/>
        <w:shd w:val="clear" w:color="auto" w:fill="auto"/>
        <w:tabs>
          <w:tab w:pos="468" w:val="left"/>
        </w:tabs>
        <w:bidi w:val="0"/>
        <w:spacing w:before="0" w:after="2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38"/>
      <w:bookmarkEnd w:id="939"/>
      <w:bookmarkEnd w:id="941"/>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当与对外担保、商业承兑汇票贴现、未决诉讼或仲裁、产品质量保证等或有事项相关的业务同时符合以下条件时，本 集团将其确认为负债：该义务是本集团承担的现时义务；该义务的履行很可能导致经济利益流出企业；该义务的金额能够可 靠地计量。</w:t>
      </w:r>
    </w:p>
    <w:p>
      <w:pPr>
        <w:pStyle w:val="Style37"/>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和货币时间价值等因素。货币时间价值影响重大的，通过对相关未来现金流出进行折现后确定最佳估计数。每个资产负债表 日对预计负债的账面价值进行复核，如有改变则对账面价值进行调整以反映当前最佳估计数。</w:t>
      </w:r>
    </w:p>
    <w:p>
      <w:pPr>
        <w:pStyle w:val="Style41"/>
        <w:keepNext/>
        <w:keepLines/>
        <w:widowControl w:val="0"/>
        <w:shd w:val="clear" w:color="auto" w:fill="auto"/>
        <w:tabs>
          <w:tab w:pos="468"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42"/>
      <w:bookmarkEnd w:id="943"/>
      <w:bookmarkEnd w:id="945"/>
    </w:p>
    <w:p>
      <w:pPr>
        <w:pStyle w:val="Style3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股份支付，分为以权益结算的股份支付和以现金结算的股份支付。</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用以换取职工提供服务的以权益结算的股份支付，以授予职工权益工具在授予日的公允价值计量。该公允价值的金额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直线法计算计入相关成本或费用，相应增加资本公积。</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以现金结算的股份支付，按照本集团承担的以股份或其他权益工具为基础确定的负债的公允价值计量。如授予后立即 可行权，在授予日以承担负债的公允价值计入相关成本或费用，相应增加负债；如需完成等待期内的服务或达到规定业绩条 件以后才可行权，在等待期的每个资产负债表日，以对可行权情况的最佳估计为基础，按照本集团承担负债的公允价值金额, 将当期取得的服务计入成本或费用，相应调整负债。</w:t>
      </w:r>
    </w:p>
    <w:p>
      <w:pPr>
        <w:pStyle w:val="Style3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在相关负债结算前的每个资产负债表日以及结算日，对负债的公允价值重新计量，其变动计入当期损益。</w:t>
      </w:r>
    </w:p>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pStyle w:val="Style41"/>
        <w:keepNext/>
        <w:keepLines/>
        <w:widowControl w:val="0"/>
        <w:shd w:val="clear" w:color="auto" w:fill="auto"/>
        <w:tabs>
          <w:tab w:pos="468" w:val="left"/>
        </w:tabs>
        <w:bidi w:val="0"/>
        <w:spacing w:before="0" w:after="2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46"/>
      <w:bookmarkEnd w:id="947"/>
      <w:bookmarkEnd w:id="949"/>
    </w:p>
    <w:p>
      <w:pPr>
        <w:pStyle w:val="Style3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本集团的营业收入主要包括系统集成收入、软件开发及技术服务收入，收入确认原则如下：</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本集团在履行了合同中的履约义务，即在客户取得相关商品或服务控制权时，按照分摊至该项履约义务的交易价格确 认收入。履约义务，是指合同中本集团向客户转让可明确区分商品或服务的承诺。交易价格，是指本集团因向客户转让商品 或服务而预期有权收取的对价金额，但不包含代第三方收取的款项以及本集团预期将退还给客户的款项。</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 在本集团履约的同时即取得并消耗本集团履约所带来的经济利益；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客户能够控制本集团履约过程中在建的商品；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 集团履约过程中所产出的商品具有不可替代用途，且本集团在整个合同期间内有权就累计至今已完成的履约部分收取款项。 否则，本集团在客户取得相关商品或服务控制权的时点确认收入。</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收入确认的具体处理方法：</w:t>
      </w:r>
    </w:p>
    <w:p>
      <w:pPr>
        <w:pStyle w:val="Style37"/>
        <w:keepNext w:val="0"/>
        <w:keepLines w:val="0"/>
        <w:widowControl w:val="0"/>
        <w:shd w:val="clear" w:color="auto" w:fill="auto"/>
        <w:tabs>
          <w:tab w:pos="890" w:val="left"/>
        </w:tabs>
        <w:bidi w:val="0"/>
        <w:spacing w:before="0" w:after="0" w:line="313" w:lineRule="exact"/>
        <w:ind w:left="0" w:right="0" w:firstLine="46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系统集成收入</w:t>
      </w:r>
    </w:p>
    <w:p>
      <w:pPr>
        <w:pStyle w:val="Style37"/>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本集团在客户取得相关商品或服务控制权时点确认收入，即在发货完成后并取得客户的收货证明时确认收入。</w:t>
      </w:r>
    </w:p>
    <w:p>
      <w:pPr>
        <w:pStyle w:val="Style37"/>
        <w:keepNext w:val="0"/>
        <w:keepLines w:val="0"/>
        <w:widowControl w:val="0"/>
        <w:shd w:val="clear" w:color="auto" w:fill="auto"/>
        <w:tabs>
          <w:tab w:pos="890" w:val="left"/>
        </w:tabs>
        <w:bidi w:val="0"/>
        <w:spacing w:before="0" w:after="280" w:line="313" w:lineRule="exact"/>
        <w:ind w:left="0" w:right="0" w:firstLine="460"/>
        <w:jc w:val="left"/>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软件开发及技术服务收入</w:t>
      </w:r>
    </w:p>
    <w:p>
      <w:pPr>
        <w:pStyle w:val="Style37"/>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如果属于在某一时间段内履行的履约义务，本集团按照履约进度，在一段时间内确认收入。确定履约进度的方法系完 工百分比法，完工百分比按照实际成本支出与预算成本支出的比例来确定。否则，本集团在客户取得相关商品或服务控制权 的时点确认收入。对于软件产品的销售，以客户验收确认，作为销售收入的实现。</w:t>
      </w:r>
    </w:p>
    <w:p>
      <w:pPr>
        <w:pStyle w:val="Style41"/>
        <w:keepNext/>
        <w:keepLines/>
        <w:widowControl w:val="0"/>
        <w:shd w:val="clear" w:color="auto" w:fill="auto"/>
        <w:tabs>
          <w:tab w:pos="431"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52"/>
      <w:bookmarkEnd w:id="953"/>
      <w:bookmarkEnd w:id="955"/>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政府补助包括与资产相关的政府补助及与收益相关的政府补助。其中，与资产相关的政府补助，是指本公司取得的、 用于购建或以其他方式形成长期资产的政府补助；与收益相关的政府补助，是指除与资产相关的政府补助之外的政府补助。 如果政府文件中未明确规定补助对象，本公司按照上述区分原则进行判断，难以区分的，整体归类为与收益相关的政府补助。</w:t>
      </w:r>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政府补助为货币性资产的，按照实际收到的金额计量，对于按照固定的定额标准拨付的补助，或对年末有确凿证据表 明能够符合财政扶持政策规定的相关条件且预计能够收到财政扶持资金时，按照应收的金额计量；政府补助为非货币性资 产的，按照公允价值计量，公允价值不能可靠取得的，按照名义金额（1元）计量。</w:t>
      </w:r>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与资产相关的政府补助，冲减相关资产的账面价值或确认为递延收益，确认为递延收益的与资产相关的政府补助，在相 关资产使用寿命内按照合理、系统的方法分期计入损益。</w:t>
      </w:r>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37"/>
        <w:keepNext w:val="0"/>
        <w:keepLines w:val="0"/>
        <w:widowControl w:val="0"/>
        <w:shd w:val="clear" w:color="auto" w:fill="auto"/>
        <w:bidi w:val="0"/>
        <w:spacing w:before="0" w:after="400" w:line="310" w:lineRule="exact"/>
        <w:ind w:left="0" w:right="0" w:firstLine="460"/>
        <w:jc w:val="both"/>
      </w:pPr>
      <w:r>
        <w:rPr>
          <w:color w:val="000000"/>
          <w:spacing w:val="0"/>
          <w:w w:val="100"/>
          <w:position w:val="0"/>
        </w:rPr>
        <w:t>与收益相关的政府补助，用于补偿以后期间的相关成本费用或损失的，确认为递延收益，并在确认相关成本费用或损 失的期间计入当期损益或冲减相关成本。与日常活动相关的政府补助，按照经济业务实质，计入其他收益或冲减相关成本费 用。与日常活动无关的政府补助，计入营业外收支。</w:t>
      </w:r>
    </w:p>
    <w:p>
      <w:pPr>
        <w:pStyle w:val="Style41"/>
        <w:keepNext/>
        <w:keepLines/>
        <w:widowControl w:val="0"/>
        <w:shd w:val="clear" w:color="auto" w:fill="auto"/>
        <w:tabs>
          <w:tab w:pos="431"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6"/>
      <w:bookmarkEnd w:id="957"/>
      <w:bookmarkEnd w:id="959"/>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本集团递延所得税资产和递延所得税负债根据资产和负债的计税基础与其账面价值的差额（暂时性差异）计算确认。对 于按照税法规定能够于以后年度抵减应纳税所得额的可抵扣亏损和税款抵减，视同暂时性差异确认相应的递延所得税资产。 于资产负债表日，递延所得税资产和递延所得税负债，按照预期收回该资产或清偿该负债期间的适用税率计量。</w:t>
      </w:r>
    </w:p>
    <w:p>
      <w:pPr>
        <w:pStyle w:val="Style37"/>
        <w:keepNext w:val="0"/>
        <w:keepLines w:val="0"/>
        <w:widowControl w:val="0"/>
        <w:shd w:val="clear" w:color="auto" w:fill="auto"/>
        <w:bidi w:val="0"/>
        <w:spacing w:before="0" w:after="400" w:line="313" w:lineRule="exact"/>
        <w:ind w:left="0" w:right="0" w:firstLine="460"/>
        <w:jc w:val="both"/>
      </w:pPr>
      <w:r>
        <w:rPr>
          <w:color w:val="000000"/>
          <w:spacing w:val="0"/>
          <w:w w:val="100"/>
          <w:position w:val="0"/>
        </w:rPr>
        <w:t>本集团以很可能取得用来抵扣可抵扣暂时性差异的应纳税所得额为限，确认由可抵扣暂时性差异产生的递延所得税资 产。对已确认的递延所得税资产，当预计到未来期间很可能无法获得足够的应纳税所得额用以抵扣递延所得税资产时，应当 减记递延所得税资产的账面价值。在很可能获得足够的应纳税所得额时，减记的金额予以转回。</w:t>
      </w:r>
    </w:p>
    <w:p>
      <w:pPr>
        <w:pStyle w:val="Style41"/>
        <w:keepNext/>
        <w:keepLines/>
        <w:widowControl w:val="0"/>
        <w:shd w:val="clear" w:color="auto" w:fill="auto"/>
        <w:tabs>
          <w:tab w:pos="431"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60"/>
      <w:bookmarkEnd w:id="961"/>
      <w:bookmarkEnd w:id="963"/>
    </w:p>
    <w:p>
      <w:pPr>
        <w:pStyle w:val="Style3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本集团的租赁业务包括经营租赁。</w:t>
      </w:r>
    </w:p>
    <w:p>
      <w:pPr>
        <w:pStyle w:val="Style37"/>
        <w:keepNext w:val="0"/>
        <w:keepLines w:val="0"/>
        <w:widowControl w:val="0"/>
        <w:shd w:val="clear" w:color="auto" w:fill="auto"/>
        <w:bidi w:val="0"/>
        <w:spacing w:before="0" w:after="400" w:line="307" w:lineRule="exact"/>
        <w:ind w:left="0" w:right="0" w:firstLine="460"/>
        <w:jc w:val="both"/>
      </w:pPr>
      <w:r>
        <w:rPr>
          <w:color w:val="000000"/>
          <w:spacing w:val="0"/>
          <w:w w:val="100"/>
          <w:position w:val="0"/>
        </w:rPr>
        <w:t>经营租赁是指除融资租赁以外的其他租赁。本集团作为承租方的租金在租赁期内的各个期间按直线法计入相关资产成 本或当期损益，本集团作为出租方的租金在租赁期内的各个期间按直线法确认为收入。</w:t>
      </w:r>
    </w:p>
    <w:p>
      <w:pPr>
        <w:pStyle w:val="Style41"/>
        <w:keepNext/>
        <w:keepLines/>
        <w:widowControl w:val="0"/>
        <w:shd w:val="clear" w:color="auto" w:fill="auto"/>
        <w:tabs>
          <w:tab w:pos="431"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持有待售</w:t>
      </w:r>
      <w:bookmarkEnd w:id="964"/>
      <w:bookmarkEnd w:id="965"/>
      <w:bookmarkEnd w:id="967"/>
    </w:p>
    <w:p>
      <w:pPr>
        <w:pStyle w:val="Style37"/>
        <w:keepNext w:val="0"/>
        <w:keepLines w:val="0"/>
        <w:widowControl w:val="0"/>
        <w:shd w:val="clear" w:color="auto" w:fill="auto"/>
        <w:tabs>
          <w:tab w:pos="931" w:val="left"/>
        </w:tabs>
        <w:bidi w:val="0"/>
        <w:spacing w:before="0" w:after="0" w:line="313" w:lineRule="exact"/>
        <w:ind w:left="0" w:right="0" w:firstLine="46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本集团将同时符合下列条件的非流动资产或处置组划分为持有待售：</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）根据类似交易中出售此类资产或处置组 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）出售极可能发生，即已经就一项出售计划作出决议且获得确定的购买承诺，预计 出售将在一年内完成。有关规定要求相关权力机构或者监管部门批准后方可出售的需要获得相关批准。本集团将非流动资产 或处置组首次划分为持有待售类别前，按照相关会计准则规定计量非流动资产或处置组中各项资产和负债的账面价值。初始 计量或在资产负债表日重新计量持有待售的非流动资产或处置组时，其账面价值高于公允价值减去出售费用后的净额的，将 账面价值减记至公允价值减去出售费用后的净额，减记的金额确认为资产减值损失，计入当期损益，同时计提持有待售资产 减值准备。</w:t>
      </w:r>
    </w:p>
    <w:p>
      <w:pPr>
        <w:pStyle w:val="Style37"/>
        <w:keepNext w:val="0"/>
        <w:keepLines w:val="0"/>
        <w:widowControl w:val="0"/>
        <w:shd w:val="clear" w:color="auto" w:fill="auto"/>
        <w:tabs>
          <w:tab w:pos="393" w:val="left"/>
        </w:tabs>
        <w:bidi w:val="0"/>
        <w:spacing w:before="0" w:after="0" w:line="313" w:lineRule="exact"/>
        <w:ind w:left="0" w:right="0" w:firstLine="46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本集团专为转售而取得的非流动资产或处置组，在取得日满足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 xml:space="preserve">的规定条件，且短期（通 </w:t>
      </w:r>
      <w:r>
        <w:rPr>
          <w:color w:val="000000"/>
          <w:spacing w:val="0"/>
          <w:w w:val="100"/>
          <w:position w:val="0"/>
        </w:rPr>
        <w:t>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个月）内很可能满足持有待售类别的其他划分条件的，在取得日将其划分为持有待售类别。在初始计量时，比较假定 其不划分为持有待售类别情况下的初始计量金额和公允价值减去出售费用后的净额，以两者孰低计量。除企业合并中取得的 非流动资产或处置组外，由非流动资产或处置组以公允价值减去出售费用后的净额作为初始计量金额而产生的差额，计入当 期损益。</w:t>
      </w:r>
    </w:p>
    <w:p>
      <w:pPr>
        <w:pStyle w:val="Style37"/>
        <w:keepNext w:val="0"/>
        <w:keepLines w:val="0"/>
        <w:widowControl w:val="0"/>
        <w:shd w:val="clear" w:color="auto" w:fill="auto"/>
        <w:tabs>
          <w:tab w:pos="931" w:val="left"/>
        </w:tabs>
        <w:bidi w:val="0"/>
        <w:spacing w:before="0" w:after="0" w:line="315" w:lineRule="exact"/>
        <w:ind w:left="0" w:right="0" w:firstLine="46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w:t>
        <w:tab/>
        <w:t>本集团因出售对子公司的投资等原因导致丧失对子公司控制权的，无论出售后本集团是否保留部分权益性投资， 在拟出售的对子公司投资满足持有待售类别划分条件时，在母公司个别财务报表中将对子公司投资整体划分为持有待售类 别，在合并财务报表中将子公司所有资产和负债划分为持有待售类别。</w:t>
      </w:r>
    </w:p>
    <w:p>
      <w:pPr>
        <w:pStyle w:val="Style37"/>
        <w:keepNext w:val="0"/>
        <w:keepLines w:val="0"/>
        <w:widowControl w:val="0"/>
        <w:shd w:val="clear" w:color="auto" w:fill="auto"/>
        <w:tabs>
          <w:tab w:pos="931" w:val="left"/>
        </w:tabs>
        <w:bidi w:val="0"/>
        <w:spacing w:before="0" w:after="0" w:line="315" w:lineRule="exact"/>
        <w:ind w:left="0" w:right="0" w:firstLine="46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w:t>
        <w:tab/>
        <w:t>后续资产负债表日持有待售的非流动资产公允价值减去出售费用后的净额增加的，以前减记的金额应当予以恢复, 并在划分为持有待售类别后确认的资产减值损失金额内转回，转回金额计入当期损益。划分为持有待售类别前确认的资产减 值损失不得转回。</w:t>
      </w:r>
    </w:p>
    <w:p>
      <w:pPr>
        <w:pStyle w:val="Style37"/>
        <w:keepNext w:val="0"/>
        <w:keepLines w:val="0"/>
        <w:widowControl w:val="0"/>
        <w:shd w:val="clear" w:color="auto" w:fill="auto"/>
        <w:bidi w:val="0"/>
        <w:spacing w:before="0" w:after="0" w:line="315" w:lineRule="exact"/>
        <w:ind w:left="0" w:right="0" w:firstLine="46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5</w:t>
      </w:r>
      <w:r>
        <w:rPr>
          <w:color w:val="000000"/>
          <w:spacing w:val="0"/>
          <w:w w:val="100"/>
          <w:position w:val="0"/>
        </w:rPr>
        <w:t>） 对于持有待售的处置组确认的资产减值损失金额，先抵减处置组中商誉的账面价值，再根据各项非流动资产账面 价值所占比重，按比例抵减其账面价值。</w:t>
      </w:r>
    </w:p>
    <w:p>
      <w:pPr>
        <w:pStyle w:val="Style37"/>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后续资产负债表日持有待售的处置组公允价值减去出售费用后的净额增加的，以前减记的金额应当予以恢复，并在划 分为持有待售类别后适用相关计量规定的非流动资产确认的资产减值损失金额内转回，转回金额计入当期损益。已抵减的商 誉账面价值，以及非流动资产在划分为持有待售类别前确认的资产减值损失不得转回。持有待售的处置组确认的资产减值损 失后续转回金额，根据处置组中除商誉外，各项非流动资产账面价值所占比重，按比例增加其账面价值。</w:t>
      </w:r>
    </w:p>
    <w:p>
      <w:pPr>
        <w:pStyle w:val="Style37"/>
        <w:keepNext w:val="0"/>
        <w:keepLines w:val="0"/>
        <w:widowControl w:val="0"/>
        <w:shd w:val="clear" w:color="auto" w:fill="auto"/>
        <w:bidi w:val="0"/>
        <w:spacing w:before="0" w:after="0" w:line="315" w:lineRule="exact"/>
        <w:ind w:left="0" w:right="0" w:firstLine="46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6</w:t>
      </w:r>
      <w:r>
        <w:rPr>
          <w:color w:val="000000"/>
          <w:spacing w:val="0"/>
          <w:w w:val="100"/>
          <w:position w:val="0"/>
        </w:rPr>
        <w:t>） 持有待售的非流动资产或处置组中的非流动资产不计提折旧或摊销，持有待售的处置组中负债的利息和其他费用 继续予以确认。</w:t>
      </w:r>
    </w:p>
    <w:p>
      <w:pPr>
        <w:pStyle w:val="Style37"/>
        <w:keepNext w:val="0"/>
        <w:keepLines w:val="0"/>
        <w:widowControl w:val="0"/>
        <w:shd w:val="clear" w:color="auto" w:fill="auto"/>
        <w:tabs>
          <w:tab w:pos="931" w:val="left"/>
        </w:tabs>
        <w:bidi w:val="0"/>
        <w:spacing w:before="0" w:after="0" w:line="315" w:lineRule="exact"/>
        <w:ind w:left="0" w:right="0" w:firstLine="46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7</w:t>
      </w:r>
      <w:r>
        <w:rPr>
          <w:color w:val="000000"/>
          <w:spacing w:val="0"/>
          <w:w w:val="100"/>
          <w:position w:val="0"/>
        </w:rPr>
        <w:t>）</w:t>
        <w:tab/>
        <w:t>持有待售的非流动资产或处置组因不再满足持有待售类别的划分条件，而不再继续划分为持有待售类别或非流动 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）划分为持有待售类别前的账面价值，按照假定不划分为持 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37"/>
        <w:keepNext w:val="0"/>
        <w:keepLines w:val="0"/>
        <w:widowControl w:val="0"/>
        <w:shd w:val="clear" w:color="auto" w:fill="auto"/>
        <w:tabs>
          <w:tab w:pos="853" w:val="left"/>
        </w:tabs>
        <w:bidi w:val="0"/>
        <w:spacing w:before="0" w:after="380" w:line="315" w:lineRule="exact"/>
        <w:ind w:left="0" w:right="0" w:firstLine="46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8</w:t>
      </w:r>
      <w:r>
        <w:rPr>
          <w:color w:val="000000"/>
          <w:spacing w:val="0"/>
          <w:w w:val="100"/>
          <w:position w:val="0"/>
        </w:rPr>
        <w:t>）</w:t>
        <w:tab/>
        <w:t>终止确认持有待售的非流动资产或处置组时，将尚未确认的利得或损失计入当期损益。</w:t>
      </w:r>
    </w:p>
    <w:p>
      <w:pPr>
        <w:pStyle w:val="Style41"/>
        <w:keepNext/>
        <w:keepLines/>
        <w:widowControl w:val="0"/>
        <w:shd w:val="clear" w:color="auto" w:fill="auto"/>
        <w:tabs>
          <w:tab w:pos="431" w:val="left"/>
        </w:tabs>
        <w:bidi w:val="0"/>
        <w:spacing w:before="0" w:after="28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3</w:t>
      </w:r>
      <w:r>
        <w:rPr>
          <w:color w:val="000000"/>
          <w:spacing w:val="0"/>
          <w:w w:val="100"/>
          <w:position w:val="0"/>
        </w:rPr>
        <w:t>、</w:t>
        <w:tab/>
        <w:t>终止经营</w:t>
      </w:r>
      <w:bookmarkEnd w:id="976"/>
      <w:bookmarkEnd w:id="977"/>
      <w:bookmarkEnd w:id="979"/>
    </w:p>
    <w:p>
      <w:pPr>
        <w:pStyle w:val="Style37"/>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终止经营，是指本集团满足下列条件之一的、能够单独区分的组成部分，且该组成部分已经处置或划分为持有待售类 别：（</w:t>
      </w:r>
      <w:r>
        <w:rPr>
          <w:rFonts w:ascii="Times New Roman" w:eastAsia="Times New Roman" w:hAnsi="Times New Roman" w:cs="Times New Roman"/>
          <w:color w:val="000000"/>
          <w:spacing w:val="0"/>
          <w:w w:val="100"/>
          <w:position w:val="0"/>
        </w:rPr>
        <w:t>1</w:t>
      </w:r>
      <w:r>
        <w:rPr>
          <w:color w:val="000000"/>
          <w:spacing w:val="0"/>
          <w:w w:val="100"/>
          <w:position w:val="0"/>
        </w:rPr>
        <w:t>）该组成部分代表一项独立的主要业务或一个单独的主要经营地区；（</w:t>
      </w:r>
      <w:r>
        <w:rPr>
          <w:rFonts w:ascii="Times New Roman" w:eastAsia="Times New Roman" w:hAnsi="Times New Roman" w:cs="Times New Roman"/>
          <w:color w:val="000000"/>
          <w:spacing w:val="0"/>
          <w:w w:val="100"/>
          <w:position w:val="0"/>
        </w:rPr>
        <w:t>2</w:t>
      </w:r>
      <w:r>
        <w:rPr>
          <w:color w:val="000000"/>
          <w:spacing w:val="0"/>
          <w:w w:val="100"/>
          <w:position w:val="0"/>
        </w:rPr>
        <w:t>）该组成部分是拟对一项独立的主要业务或 一个单独的主要经营地区进行处置的一项相关联计划的一部分；（</w:t>
      </w:r>
      <w:r>
        <w:rPr>
          <w:rFonts w:ascii="Times New Roman" w:eastAsia="Times New Roman" w:hAnsi="Times New Roman" w:cs="Times New Roman"/>
          <w:color w:val="000000"/>
          <w:spacing w:val="0"/>
          <w:w w:val="100"/>
          <w:position w:val="0"/>
        </w:rPr>
        <w:t>3</w:t>
      </w:r>
      <w:r>
        <w:rPr>
          <w:color w:val="000000"/>
          <w:spacing w:val="0"/>
          <w:w w:val="100"/>
          <w:position w:val="0"/>
        </w:rPr>
        <w:t>）该组成部分是专为转售而取得的子公司。</w:t>
      </w:r>
    </w:p>
    <w:p>
      <w:pPr>
        <w:pStyle w:val="Style41"/>
        <w:keepNext/>
        <w:keepLines/>
        <w:widowControl w:val="0"/>
        <w:shd w:val="clear" w:color="auto" w:fill="auto"/>
        <w:tabs>
          <w:tab w:pos="431" w:val="left"/>
        </w:tabs>
        <w:bidi w:val="0"/>
        <w:spacing w:before="0" w:after="28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4</w:t>
      </w:r>
      <w:r>
        <w:rPr>
          <w:color w:val="000000"/>
          <w:spacing w:val="0"/>
          <w:w w:val="100"/>
          <w:position w:val="0"/>
        </w:rPr>
        <w:t>、</w:t>
        <w:tab/>
        <w:t>重大会计判断和估计</w:t>
      </w:r>
      <w:bookmarkEnd w:id="980"/>
      <w:bookmarkEnd w:id="981"/>
      <w:bookmarkEnd w:id="983"/>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编制合并财务报表要求管理层作出判断、估计和假设，这些判断、估计和假设会影响收入、费用、资产和负债的列报 金额及其披露，以及资产负债表日或有负债的披露。然而，这些假设和估计的不确定性所导致的结果可能造成对未来受影响 的资产或负债的账面金额进行重大调整。</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以下为于资产负债表日有关未来的关键假设以及估计不确定性的其他关键来源，可能会导致未来会计期间资产和负债 账面金额重大调整。</w:t>
      </w:r>
    </w:p>
    <w:p>
      <w:pPr>
        <w:pStyle w:val="Style37"/>
        <w:keepNext w:val="0"/>
        <w:keepLines w:val="0"/>
        <w:widowControl w:val="0"/>
        <w:shd w:val="clear" w:color="auto" w:fill="auto"/>
        <w:tabs>
          <w:tab w:pos="853" w:val="left"/>
        </w:tabs>
        <w:bidi w:val="0"/>
        <w:spacing w:before="0" w:after="0" w:line="308" w:lineRule="exact"/>
        <w:ind w:left="0" w:right="0" w:firstLine="46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应收账款的预期信用损失准备</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本集团采用减值矩阵确定应收账款的预期信用损失准备。本集团将具有类似风险特征的各类应收账款确定相应的损失 准备的比例。减值矩阵基于本集团历史逾期比例考虑无须付出不必要的额外成本或努力即可获得的合理且有依据的前瞻性信 息确定。</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该预期信用损失准备的金额将随本集团的估计而发生变化。本集团的应收账款的预期信用损失准备的具体情况详见附 注七、</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37"/>
        <w:keepNext w:val="0"/>
        <w:keepLines w:val="0"/>
        <w:widowControl w:val="0"/>
        <w:shd w:val="clear" w:color="auto" w:fill="auto"/>
        <w:tabs>
          <w:tab w:pos="853" w:val="left"/>
        </w:tabs>
        <w:bidi w:val="0"/>
        <w:spacing w:before="0" w:after="0" w:line="308" w:lineRule="exact"/>
        <w:ind w:left="0" w:right="0" w:firstLine="46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 xml:space="preserve">本集团根据存货会计政策，按照成本与可变现净值孰低计量，对成本高于可变现净值及陈旧和滞销的存货，计提存货 跌价准备。存货的可变现净值是指存货的估计售价减去估计的销售费用以及相关税费后的金额。管理层对存货的可变现净值 </w:t>
      </w:r>
      <w:r>
        <w:rPr>
          <w:color w:val="000000"/>
          <w:spacing w:val="0"/>
          <w:w w:val="100"/>
          <w:position w:val="0"/>
        </w:rPr>
        <w:t>计算涉及到对估计售价、估计的销售费用以及相关税费的估计。本集团于每个资产负债表日对单个存货是否陈旧和滞销、可 变现净值是否低于存货成本进行重新估计。如重新估计结果与现有估计存在差异，该差异将会影响估计改变期间的存货账面 价值。</w:t>
      </w:r>
    </w:p>
    <w:p>
      <w:pPr>
        <w:pStyle w:val="Style37"/>
        <w:keepNext w:val="0"/>
        <w:keepLines w:val="0"/>
        <w:widowControl w:val="0"/>
        <w:shd w:val="clear" w:color="auto" w:fill="auto"/>
        <w:bidi w:val="0"/>
        <w:spacing w:before="0" w:after="0" w:line="311" w:lineRule="exact"/>
        <w:ind w:left="0" w:right="0" w:firstLine="46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）商誉减值准备的会计估计</w:t>
      </w:r>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本集团每年对商誉进行减值测试。包含商誉的资产组和资产组组合的可收回金额为其预计未来现金流量的现值，其计 算需要采用会计估计。</w:t>
      </w:r>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如果管理层对资产组和资产组组合未来现金流量计算中采用的毛利率或收入增长率等进行修订，修订后的毛利率或收 入增长率低于目前采用的毛利率或收入增长率，本集团可能需对商誉增加计提减值准备。</w:t>
      </w:r>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如果管理层对应用于现金流量折现的税前折现率进行重新修订，修订后的税前折现率高于目前采用的税前折现率，本 集团可能需对商誉增加计提减值准备。</w:t>
      </w:r>
    </w:p>
    <w:p>
      <w:pPr>
        <w:pStyle w:val="Style3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如果实际毛利率、收入增长率或税前折现率高于或低于管理层的估计，本公司不能转回原已计提的商誉减值损失。</w:t>
      </w:r>
    </w:p>
    <w:p>
      <w:pPr>
        <w:pStyle w:val="Style41"/>
        <w:keepNext/>
        <w:keepLines/>
        <w:widowControl w:val="0"/>
        <w:shd w:val="clear" w:color="auto" w:fill="auto"/>
        <w:bidi w:val="0"/>
        <w:spacing w:before="0" w:after="380" w:line="24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5</w:t>
      </w:r>
      <w:r>
        <w:rPr>
          <w:color w:val="000000"/>
          <w:spacing w:val="0"/>
          <w:w w:val="100"/>
          <w:position w:val="0"/>
        </w:rPr>
        <w:t>、重要会计政策和会计估计变更</w:t>
      </w:r>
      <w:bookmarkEnd w:id="987"/>
      <w:bookmarkEnd w:id="988"/>
      <w:bookmarkEnd w:id="990"/>
    </w:p>
    <w:p>
      <w:pPr>
        <w:pStyle w:val="Style41"/>
        <w:keepNext/>
        <w:keepLines/>
        <w:widowControl w:val="0"/>
        <w:shd w:val="clear" w:color="auto" w:fill="auto"/>
        <w:bidi w:val="0"/>
        <w:spacing w:before="0" w:after="280" w:line="240" w:lineRule="auto"/>
        <w:ind w:left="0" w:right="0" w:firstLine="0"/>
        <w:jc w:val="both"/>
      </w:pPr>
      <w:bookmarkStart w:id="987" w:name="bookmark987"/>
      <w:bookmarkStart w:id="988" w:name="bookmark988"/>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7"/>
      <w:bookmarkEnd w:id="988"/>
      <w:bookmarkEnd w:id="992"/>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新收入准则：</w:t>
      </w:r>
    </w:p>
    <w:p>
      <w:pPr>
        <w:pStyle w:val="Style37"/>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本集团于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，修 订前的收入准则简称</w:t>
      </w:r>
      <w:r>
        <w:rPr>
          <w:rFonts w:ascii="Times New Roman" w:eastAsia="Times New Roman" w:hAnsi="Times New Roman" w:cs="Times New Roman"/>
          <w:color w:val="000000"/>
          <w:spacing w:val="0"/>
          <w:w w:val="100"/>
          <w:position w:val="0"/>
        </w:rPr>
        <w:t>“</w:t>
      </w:r>
      <w:r>
        <w:rPr>
          <w:color w:val="000000"/>
          <w:spacing w:val="0"/>
          <w:w w:val="100"/>
          <w:position w:val="0"/>
        </w:rPr>
        <w:t>原收入准则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80" w:line="318" w:lineRule="exact"/>
        <w:ind w:left="0" w:right="0" w:firstLine="460"/>
        <w:jc w:val="both"/>
      </w:pPr>
      <w:r>
        <w:rPr>
          <w:color w:val="000000"/>
          <w:spacing w:val="0"/>
          <w:w w:val="100"/>
          <w:position w:val="0"/>
        </w:rPr>
        <w:t>新收入准则引入了收入确认计量的</w:t>
      </w:r>
      <w:r>
        <w:rPr>
          <w:rFonts w:ascii="Times New Roman" w:eastAsia="Times New Roman" w:hAnsi="Times New Roman" w:cs="Times New Roman"/>
          <w:color w:val="000000"/>
          <w:spacing w:val="0"/>
          <w:w w:val="100"/>
          <w:position w:val="0"/>
        </w:rPr>
        <w:t>5</w:t>
      </w:r>
      <w:r>
        <w:rPr>
          <w:color w:val="000000"/>
          <w:spacing w:val="0"/>
          <w:w w:val="100"/>
          <w:position w:val="0"/>
        </w:rPr>
        <w:t>步法，并针对特定交易（或事项）增加了更多的指引。本集团详细的收入确认和计 量的会计政策详见四、</w:t>
      </w:r>
      <w:r>
        <w:rPr>
          <w:rFonts w:ascii="Times New Roman" w:eastAsia="Times New Roman" w:hAnsi="Times New Roman" w:cs="Times New Roman"/>
          <w:color w:val="000000"/>
          <w:spacing w:val="0"/>
          <w:w w:val="100"/>
          <w:position w:val="0"/>
        </w:rPr>
        <w:t>28</w:t>
      </w:r>
      <w:r>
        <w:rPr>
          <w:color w:val="000000"/>
          <w:spacing w:val="0"/>
          <w:w w:val="100"/>
          <w:position w:val="0"/>
        </w:rPr>
        <w:t>。新收入准则要求首次执行该准则的累计影响数调整首次执行当期期初（即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 益及财务报表其他相关项目金额，对可比期间信息不予调整。在执行新收入准则时，本集团仅对首次执行日尚未完成的合同 的累计影响数进行调整。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新收入准则对本集团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日合并资产负债表的影响如下，未受影响的报表项目未包含在内:</w:t>
      </w:r>
    </w:p>
    <w:tbl>
      <w:tblPr>
        <w:tblOverlap w:val="never"/>
        <w:jc w:val="center"/>
        <w:tblLayout w:type="fixed"/>
      </w:tblPr>
      <w:tblGrid>
        <w:gridCol w:w="2242"/>
        <w:gridCol w:w="2126"/>
        <w:gridCol w:w="2270"/>
        <w:gridCol w:w="2102"/>
      </w:tblGrid>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新收入准则调整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3,304,302,973.61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-1,404,040,733.12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1,900,262,240.49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1,888,738,998.44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892,568,308.46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2,781,307,306.90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1,187,173,243.20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1,187,173,243.20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45,457,123.85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426,452.33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45,883,576.18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113,224,462.03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-3,547,471.51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109,676,990.52</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844,954,400.03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-844,954,400.03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1,628,261,177.33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1,628,261,177.33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141,067,817.29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-25,200,365.70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115,867,451.59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27,977,512.43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-157,767.38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27,819,745.05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1,885,845,382.35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-83,463,583.36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1,802,381,798.99</w:t>
            </w:r>
          </w:p>
        </w:tc>
      </w:tr>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102,972,264.46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-1,905,261.50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101,067,002.96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注：根据新收入准则，本集团履约过程中所产出的商品具有不可替代用途，且本集团在整个合同期间内有权就累计至</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今已完成的履约部分收取款项的，属于在某一时间段内履行的履约义务，本集团按照履约进度，在一段时间内确认收入。否 则，本集团在客户取得相关商品或服务控制权的时点确认收入。基于此，对于系统集成业务，在客户取得相关商品或服务控 制权时点确认收入；对于软件开发及技术服务业务，如果属于在某一时间段内履行的履约义务，本集团按照履约进度，在一 段时间内确认收入。确定履约进度的方法系完工百分比法，完工百分比按照实际成本支出与预算成本支出的比例来确定。否 则，本集团在客户取得相关商品或服务控制权的时点确认收入。</w:t>
      </w:r>
    </w:p>
    <w:p>
      <w:pPr>
        <w:pStyle w:val="Style37"/>
        <w:keepNext w:val="0"/>
        <w:keepLines w:val="0"/>
        <w:widowControl w:val="0"/>
        <w:shd w:val="clear" w:color="auto" w:fill="auto"/>
        <w:bidi w:val="0"/>
        <w:spacing w:before="0" w:after="380" w:line="313" w:lineRule="exact"/>
        <w:ind w:left="0" w:right="0" w:firstLine="46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日，按照上述收入确认原则及具体方法，本集团调减留存收益人民币</w:t>
      </w:r>
      <w:r>
        <w:rPr>
          <w:rFonts w:ascii="Times New Roman" w:eastAsia="Times New Roman" w:hAnsi="Times New Roman" w:cs="Times New Roman"/>
          <w:color w:val="000000"/>
          <w:spacing w:val="0"/>
          <w:w w:val="100"/>
          <w:position w:val="0"/>
        </w:rPr>
        <w:t>83,621,350.74</w:t>
      </w:r>
      <w:r>
        <w:rPr>
          <w:color w:val="000000"/>
          <w:spacing w:val="0"/>
          <w:w w:val="100"/>
          <w:position w:val="0"/>
        </w:rPr>
        <w:t>元。</w:t>
      </w:r>
    </w:p>
    <w:p>
      <w:pPr>
        <w:pStyle w:val="Style41"/>
        <w:keepNext/>
        <w:keepLines/>
        <w:widowControl w:val="0"/>
        <w:shd w:val="clear" w:color="auto" w:fill="auto"/>
        <w:tabs>
          <w:tab w:pos="493" w:val="left"/>
        </w:tabs>
        <w:bidi w:val="0"/>
        <w:spacing w:before="0" w:after="380" w:line="240" w:lineRule="auto"/>
        <w:ind w:left="0" w:right="0" w:firstLine="0"/>
        <w:jc w:val="both"/>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93"/>
      <w:bookmarkEnd w:id="994"/>
      <w:bookmarkEnd w:id="996"/>
    </w:p>
    <w:p>
      <w:pPr>
        <w:pStyle w:val="Style37"/>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60" w:line="240" w:lineRule="auto"/>
        <w:ind w:left="0" w:right="0" w:firstLine="0"/>
        <w:jc w:val="both"/>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00"/>
      <w:bookmarkEnd w:id="997"/>
      <w:bookmarkEnd w:id="998"/>
    </w:p>
    <w:p>
      <w:pPr>
        <w:pStyle w:val="Style37"/>
        <w:keepNext w:val="0"/>
        <w:keepLines w:val="0"/>
        <w:widowControl w:val="0"/>
        <w:shd w:val="clear" w:color="auto" w:fill="auto"/>
        <w:bidi w:val="0"/>
        <w:spacing w:before="0" w:after="60" w:line="313" w:lineRule="exact"/>
        <w:ind w:left="0" w:right="0" w:firstLine="0"/>
        <w:jc w:val="both"/>
      </w:pPr>
      <w:r>
        <w:rPr>
          <w:color w:val="000000"/>
          <w:spacing w:val="0"/>
          <w:w w:val="100"/>
          <w:position w:val="0"/>
        </w:rPr>
        <w:t>适用</w:t>
      </w:r>
    </w:p>
    <w:p>
      <w:pPr>
        <w:pStyle w:val="Style37"/>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是否需要调整年初资产负债表科目</w:t>
      </w:r>
    </w:p>
    <w:p>
      <w:pPr>
        <w:pStyle w:val="Style3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7"/>
        <w:keepNext w:val="0"/>
        <w:keepLines w:val="0"/>
        <w:widowControl w:val="0"/>
        <w:shd w:val="clear" w:color="auto" w:fill="auto"/>
        <w:bidi w:val="0"/>
        <w:spacing w:before="0" w:after="140" w:line="313" w:lineRule="exact"/>
        <w:ind w:left="0" w:right="0" w:firstLine="0"/>
        <w:jc w:val="center"/>
      </w:pPr>
      <w:r>
        <w:rPr>
          <w:color w:val="000000"/>
          <w:spacing w:val="0"/>
          <w:w w:val="100"/>
          <w:position w:val="0"/>
        </w:rPr>
        <w:t>合并资产负债表</w:t>
      </w:r>
    </w:p>
    <w:p>
      <w:pPr>
        <w:pStyle w:val="Style3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410"/>
        <w:gridCol w:w="2266"/>
        <w:gridCol w:w="220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1,448,892,189.10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1,448,892,189.10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796,579,126.35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796,579,126.35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41,291,473.89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41,291,473.89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3,304,302,973.61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1,900,262,240.49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-1,404,040,733.12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132,064,994.88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132,064,994.88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120,149,088.66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120,149,088.66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1,888,738,998.44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2,781,307,306.90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892,568,308.46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1,187,173,243.20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1,187,173,243.20</w:t>
            </w:r>
          </w:p>
        </w:tc>
      </w:tr>
    </w:tbl>
    <w:p>
      <w:pPr>
        <w:spacing w:lineRule="exact" w:line="1"/>
        <w:rPr>
          <w:sz w:val="2"/>
          <w:szCs w:val="2"/>
        </w:rPr>
      </w:pPr>
      <w:r>
        <w:br w:type="page"/>
      </w:r>
    </w:p>
    <w:tbl>
      <w:tblPr>
        <w:tblOverlap w:val="never"/>
        <w:jc w:val="center"/>
        <w:tblLayout w:type="fixed"/>
      </w:tblPr>
      <w:tblGrid>
        <w:gridCol w:w="2698"/>
        <w:gridCol w:w="2410"/>
        <w:gridCol w:w="2266"/>
        <w:gridCol w:w="22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45,457,123.85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45,883,576.18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426,452.33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7,777,475,968.78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8,453,603,239.65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676,127,270.87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477,177,638.66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477,177,638.66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113,274,212.00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113,274,212.00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14,001,627.67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14,001,627.67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490,712,621.32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490,712,621.32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107,253,813.87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107,253,813.87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41,971,906.35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41,971,906.35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1,603,805,544.73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1,603,805,544.73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16,604,234.36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16,604,234.36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113,224,462.03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109,676,990.52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-3,547,471.51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2,978,026,060.99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2,974,478,589.48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-3,547,471.51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10,755,502,029.77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11,428,081,829.13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672,579,799.36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952,479,511.83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952,479,511.83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691,631,714.41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691,631,714.41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2,039,020,530.75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2,039,020,530.75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2410"/>
        <w:gridCol w:w="2266"/>
        <w:gridCol w:w="22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844,954,400.03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-844,954,400.03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1,628,261,177.33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1,628,261,177.33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408,387,553.32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408,387,553.32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141,067,817.29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115,867,451.59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-25,200,365.70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228,863,269.22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228,863,269.22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45,059,375.00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45,059,375.00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5,351,464,171.85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6,109,570,583.45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758,106,411.60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6,195,238.00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6,195,238.00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25,775,271.29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25,775,271.29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27,407,105.90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27,407,105.90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22,336,189.11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22,336,189.11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81,713,804.30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81,713,804.30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5,433,177,976.15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6,191,284,387.75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758,106,411.60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970,381,273.00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970,381,273.00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2410"/>
        <w:gridCol w:w="2266"/>
        <w:gridCol w:w="22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2,315,977,578.13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2,315,977,578.13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44,097,750.00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63,267,793.25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63,267,793.25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27,977,512.43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27,819,745.05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-157,767.38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1,885,845,382.35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1,802,381,798.99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-83,463,583.36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5,219,351,789.16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5,135,730,438.42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-83,621,350.74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102,972,264.46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101,067,002.96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-1,905,261.50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5,322,324,053.62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5,236,797,441.38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-85,526,612.24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10,755,502,029.77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11,428,081,829.13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672,579,799.36</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widowControl w:val="0"/>
        <w:spacing w:after="99" w:line="1" w:lineRule="exact"/>
      </w:pP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410"/>
        <w:gridCol w:w="2266"/>
        <w:gridCol w:w="220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27,221,398.95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27,221,398.95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244,388,652.68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244,388,652.68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24,102,783.00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24,102,783.00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12,794,714.50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11,061,197.25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-1,733,517.25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7,920,636.67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7,920,636.67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87,101,016.58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87,101,016.58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81,580,590.96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110,033,249.71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28,452,658.75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5,905,983.17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6,332,435.50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426,452.33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491,015,776.51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518,161,370.34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27,145,593.83</w:t>
            </w:r>
          </w:p>
        </w:tc>
      </w:tr>
    </w:tbl>
    <w:p>
      <w:pPr>
        <w:spacing w:lineRule="exact" w:line="1"/>
        <w:rPr>
          <w:sz w:val="2"/>
          <w:szCs w:val="2"/>
        </w:rPr>
      </w:pPr>
      <w:r>
        <w:br w:type="page"/>
      </w:r>
    </w:p>
    <w:tbl>
      <w:tblPr>
        <w:tblOverlap w:val="never"/>
        <w:jc w:val="center"/>
        <w:tblLayout w:type="fixed"/>
      </w:tblPr>
      <w:tblGrid>
        <w:gridCol w:w="2698"/>
        <w:gridCol w:w="2410"/>
        <w:gridCol w:w="2266"/>
        <w:gridCol w:w="22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26,400,000.00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2,765,414,836.47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2,765,140,379.26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-274,457.21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50,584,777.00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50,584,777.00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148,553.75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148,553.75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197,174.50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197,174.50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2,842,809,556.72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2,842,535,099.51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-274,457.21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3,333,825,333.23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3,360,696,469.85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26,871,136.62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33,657,469.91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33,657,469.91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67,408,967.29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-67,408,967.29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96,132,234.90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96,132,234.90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7,395,010.36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7,395,010.36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175,652.34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175,652.34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80,966,214.47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80,966,214.47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2410"/>
        <w:gridCol w:w="2266"/>
        <w:gridCol w:w="220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189,603,314.37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218,326,581.98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28,723,267.61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21,381,871.13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21,381,871.13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21,381,871.13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21,381,871.13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210,985,185.50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239,708,453.11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28,723,267.61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970,381,273.00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970,381,273.00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2,145,529,525.00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2,145,529,525.00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44,097,750.00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44,097,750.00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-21,227,420.32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-21,227,420.32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27,977,512.43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27,819,745.05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-157,767.38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44,277,007.62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42,582,644.01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-1,694,363.61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3,122,840,147.73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3,120,988,016.74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-1,852,130.99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3,333,825,333.23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3,360,696,469.85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26,871,136.62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长期股权投资调整系因为公司本年处置北京神州邦邦技术服务有限公司</w:t>
      </w:r>
      <w:r>
        <w:rPr>
          <w:rFonts w:ascii="Times New Roman" w:eastAsia="Times New Roman" w:hAnsi="Times New Roman" w:cs="Times New Roman"/>
          <w:color w:val="000000"/>
          <w:spacing w:val="0"/>
          <w:w w:val="100"/>
          <w:position w:val="0"/>
        </w:rPr>
        <w:t>20%</w:t>
      </w:r>
      <w:r>
        <w:rPr>
          <w:color w:val="000000"/>
          <w:spacing w:val="0"/>
          <w:w w:val="100"/>
          <w:position w:val="0"/>
        </w:rPr>
        <w:t>的股权，神州邦邦技术服务有限公司由子 公司变为联营企业，对剩余股权视同自取得时即采用权益法核算进行调整，调减长期股权投资及未分配利润</w:t>
      </w:r>
      <w:r>
        <w:rPr>
          <w:rFonts w:ascii="Times New Roman" w:eastAsia="Times New Roman" w:hAnsi="Times New Roman" w:cs="Times New Roman"/>
          <w:color w:val="000000"/>
          <w:spacing w:val="0"/>
          <w:w w:val="100"/>
          <w:position w:val="0"/>
        </w:rPr>
        <w:t>274,457.21</w:t>
      </w:r>
      <w:r>
        <w:rPr>
          <w:color w:val="000000"/>
          <w:spacing w:val="0"/>
          <w:w w:val="100"/>
          <w:position w:val="0"/>
        </w:rPr>
        <w:t>元。</w:t>
      </w:r>
      <w:r>
        <w:br w:type="page"/>
      </w:r>
    </w:p>
    <w:p>
      <w:pPr>
        <w:pStyle w:val="Style41"/>
        <w:keepNext/>
        <w:keepLines/>
        <w:widowControl w:val="0"/>
        <w:shd w:val="clear" w:color="auto" w:fill="auto"/>
        <w:tabs>
          <w:tab w:pos="633" w:val="left"/>
        </w:tabs>
        <w:bidi w:val="0"/>
        <w:spacing w:before="0" w:line="240" w:lineRule="auto"/>
        <w:ind w:left="0" w:right="0" w:firstLine="14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shd w:val="clear" w:color="auto" w:fill="FFFFFF"/>
        </w:rPr>
        <w:t>（</w:t>
      </w:r>
      <w:bookmarkEnd w:id="100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01"/>
      <w:bookmarkEnd w:id="1002"/>
      <w:bookmarkEnd w:id="1004"/>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sz w:val="24"/>
          <w:szCs w:val="24"/>
        </w:rPr>
        <w:t>六</w:t>
      </w:r>
      <w:bookmarkEnd w:id="1007"/>
      <w:r>
        <w:rPr>
          <w:color w:val="000000"/>
          <w:spacing w:val="0"/>
          <w:w w:val="100"/>
          <w:position w:val="0"/>
          <w:sz w:val="24"/>
          <w:szCs w:val="24"/>
        </w:rPr>
        <w:t>、税项</w:t>
      </w:r>
      <w:bookmarkEnd w:id="1005"/>
      <w:bookmarkEnd w:id="1006"/>
      <w:bookmarkEnd w:id="1008"/>
    </w:p>
    <w:p>
      <w:pPr>
        <w:pStyle w:val="Style41"/>
        <w:keepNext/>
        <w:keepLines/>
        <w:widowControl w:val="0"/>
        <w:shd w:val="clear" w:color="auto" w:fill="auto"/>
        <w:bidi w:val="0"/>
        <w:spacing w:before="0" w:after="320" w:line="240" w:lineRule="auto"/>
        <w:ind w:left="0" w:right="0" w:firstLine="0"/>
        <w:jc w:val="left"/>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9"/>
      <w:bookmarkEnd w:id="1010"/>
      <w:bookmarkEnd w:id="1011"/>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应纳税增值额</w:t>
            </w:r>
            <w:r>
              <w:rPr>
                <w:rFonts w:ascii="Times New Roman" w:eastAsia="Times New Roman" w:hAnsi="Times New Roman" w:cs="Times New Roman"/>
                <w:color w:val="000000"/>
                <w:spacing w:val="0"/>
                <w:w w:val="100"/>
                <w:position w:val="0"/>
              </w:rPr>
              <w:t>（</w:t>
            </w:r>
            <w:r>
              <w:rPr>
                <w:color w:val="000000"/>
                <w:spacing w:val="0"/>
                <w:w w:val="100"/>
                <w:position w:val="0"/>
              </w:rPr>
              <w:t>一般纳税人应纳税额按应 纳税销售额乘以适用税率扣除当期允许 抵扣的进项税后的余额计算；小规模纳 税人按应税收入乘以适用税率计算</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、免征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pStyle w:val="Style26"/>
        <w:keepNext w:val="0"/>
        <w:keepLines w:val="0"/>
        <w:widowControl w:val="0"/>
        <w:shd w:val="clear" w:color="auto" w:fill="auto"/>
        <w:bidi w:val="0"/>
        <w:spacing w:before="0" w:after="0" w:line="305"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：根据财政部、国家税务总局、海关总署联合发布的《关于深化增值税改革有关政策的公告》（财政部税务总局海 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日起，纳税人发生增值税应税销售行为或者进口货物，将税率</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 xml:space="preserve">变更为 </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37"/>
        <w:keepNext w:val="0"/>
        <w:keepLines w:val="0"/>
        <w:widowControl w:val="0"/>
        <w:shd w:val="clear" w:color="auto" w:fill="auto"/>
        <w:bidi w:val="0"/>
        <w:spacing w:before="0" w:after="0" w:line="324"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：神州数码系统集成服务有限公司之子公司</w:t>
      </w:r>
      <w:r>
        <w:rPr>
          <w:rFonts w:ascii="Times New Roman" w:eastAsia="Times New Roman" w:hAnsi="Times New Roman" w:cs="Times New Roman"/>
          <w:color w:val="000000"/>
          <w:spacing w:val="0"/>
          <w:w w:val="100"/>
          <w:position w:val="0"/>
        </w:rPr>
        <w:t>Digital China Software （BVI） Ltd.</w:t>
      </w:r>
      <w:r>
        <w:rPr>
          <w:color w:val="000000"/>
          <w:spacing w:val="0"/>
          <w:w w:val="100"/>
          <w:position w:val="0"/>
        </w:rPr>
        <w:t>为注册在英属维尔京群岛的离岸企业。 按照当地税务法例，非当地经营所得利润以及资本利得，不缴纳利得税。</w:t>
      </w:r>
    </w:p>
    <w:p>
      <w:pPr>
        <w:pStyle w:val="Style64"/>
        <w:keepNext w:val="0"/>
        <w:keepLines w:val="0"/>
        <w:widowControl w:val="0"/>
        <w:shd w:val="clear" w:color="auto" w:fill="auto"/>
        <w:bidi w:val="0"/>
        <w:spacing w:before="0" w:after="0" w:line="324" w:lineRule="exact"/>
        <w:ind w:left="0" w:right="0" w:firstLine="460"/>
        <w:jc w:val="left"/>
      </w:pPr>
      <w:r>
        <w:rPr>
          <w:color w:val="000000"/>
          <w:spacing w:val="0"/>
          <w:w w:val="100"/>
          <w:position w:val="0"/>
        </w:rPr>
        <w:t>Digital China Software （BVI） Ltd.</w:t>
      </w:r>
      <w:r>
        <w:rPr>
          <w:rFonts w:ascii="SimSun" w:eastAsia="SimSun" w:hAnsi="SimSun" w:cs="SimSun"/>
          <w:color w:val="000000"/>
          <w:spacing w:val="0"/>
          <w:w w:val="100"/>
          <w:position w:val="0"/>
        </w:rPr>
        <w:t xml:space="preserve">之子公司 </w:t>
      </w:r>
      <w:r>
        <w:rPr>
          <w:color w:val="000000"/>
          <w:spacing w:val="0"/>
          <w:w w:val="100"/>
          <w:position w:val="0"/>
        </w:rPr>
        <w:t xml:space="preserve">D igital China Advanced Systems Limited </w:t>
      </w:r>
      <w:r>
        <w:rPr>
          <w:rFonts w:ascii="SimSun" w:eastAsia="SimSun" w:hAnsi="SimSun" w:cs="SimSun"/>
          <w:color w:val="000000"/>
          <w:spacing w:val="0"/>
          <w:w w:val="100"/>
          <w:position w:val="0"/>
        </w:rPr>
        <w:t>申请海外收入税务优惠，不缴纳利得 税。</w:t>
      </w:r>
    </w:p>
    <w:p>
      <w:pPr>
        <w:pStyle w:val="Style64"/>
        <w:keepNext w:val="0"/>
        <w:keepLines w:val="0"/>
        <w:widowControl w:val="0"/>
        <w:shd w:val="clear" w:color="auto" w:fill="auto"/>
        <w:bidi w:val="0"/>
        <w:spacing w:before="0" w:after="0" w:line="314" w:lineRule="exact"/>
        <w:ind w:left="0" w:right="0" w:firstLine="460"/>
        <w:jc w:val="left"/>
      </w:pPr>
      <w:r>
        <w:rPr>
          <w:color w:val="000000"/>
          <w:spacing w:val="0"/>
          <w:w w:val="100"/>
          <w:position w:val="0"/>
        </w:rPr>
        <w:t>Digital China Software （BVI） Ltd.</w:t>
      </w:r>
      <w:r>
        <w:rPr>
          <w:rFonts w:ascii="SimSun" w:eastAsia="SimSun" w:hAnsi="SimSun" w:cs="SimSun"/>
          <w:color w:val="000000"/>
          <w:spacing w:val="0"/>
          <w:w w:val="100"/>
          <w:position w:val="0"/>
        </w:rPr>
        <w:t>之子公司</w:t>
      </w:r>
      <w:r>
        <w:rPr>
          <w:color w:val="000000"/>
          <w:spacing w:val="0"/>
          <w:w w:val="100"/>
          <w:position w:val="0"/>
        </w:rPr>
        <w:t>Digital China Financial Service Holding Limited</w:t>
      </w:r>
      <w:r>
        <w:rPr>
          <w:rFonts w:ascii="SimSun" w:eastAsia="SimSun" w:hAnsi="SimSun" w:cs="SimSun"/>
          <w:color w:val="000000"/>
          <w:spacing w:val="0"/>
          <w:w w:val="100"/>
          <w:position w:val="0"/>
        </w:rPr>
        <w:t xml:space="preserve">&gt; </w:t>
      </w:r>
      <w:r>
        <w:rPr>
          <w:color w:val="000000"/>
          <w:spacing w:val="0"/>
          <w:w w:val="100"/>
          <w:position w:val="0"/>
        </w:rPr>
        <w:t>Digital China Advanced Systems Limited</w:t>
      </w:r>
      <w:r>
        <w:rPr>
          <w:rFonts w:ascii="SimSun" w:eastAsia="SimSun" w:hAnsi="SimSun" w:cs="SimSun"/>
          <w:color w:val="000000"/>
          <w:spacing w:val="0"/>
          <w:w w:val="100"/>
          <w:position w:val="0"/>
        </w:rPr>
        <w:t>之子公司</w:t>
      </w:r>
      <w:r>
        <w:rPr>
          <w:color w:val="000000"/>
          <w:spacing w:val="0"/>
          <w:w w:val="100"/>
          <w:position w:val="0"/>
        </w:rPr>
        <w:t>Digital China Information Technology Co. Limited</w:t>
      </w:r>
      <w:r>
        <w:rPr>
          <w:rFonts w:ascii="SimSun" w:eastAsia="SimSun" w:hAnsi="SimSun" w:cs="SimSun"/>
          <w:color w:val="000000"/>
          <w:spacing w:val="0"/>
          <w:w w:val="100"/>
          <w:position w:val="0"/>
        </w:rPr>
        <w:t>为香港居民企业，其所得税适用香港税务法例。按 照香港税务法例，其适用利得税税率为</w:t>
      </w:r>
      <w:r>
        <w:rPr>
          <w:color w:val="000000"/>
          <w:spacing w:val="0"/>
          <w:w w:val="100"/>
          <w:position w:val="0"/>
        </w:rPr>
        <w:t>16.5%</w:t>
      </w:r>
      <w:r>
        <w:rPr>
          <w:rFonts w:ascii="SimSun" w:eastAsia="SimSun" w:hAnsi="SimSun" w:cs="SimSun"/>
          <w:color w:val="000000"/>
          <w:spacing w:val="0"/>
          <w:w w:val="100"/>
          <w:position w:val="0"/>
        </w:rPr>
        <w:t>。</w:t>
      </w:r>
    </w:p>
    <w:p>
      <w:pPr>
        <w:pStyle w:val="Style37"/>
        <w:keepNext w:val="0"/>
        <w:keepLines w:val="0"/>
        <w:widowControl w:val="0"/>
        <w:shd w:val="clear" w:color="auto" w:fill="auto"/>
        <w:bidi w:val="0"/>
        <w:spacing w:before="0" w:line="324" w:lineRule="exact"/>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北京云核网络技术有限公司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湖南中农信达信息科技有限公司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神州国信（北京）量子科技有限公司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北京神州数码方圆科技有限公司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江苏神州数码国信信息技术有限公司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北京神州通慧科技有限公司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北京神州数码锐行快捷信息技术服务有限公司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神州龙安（青海）信息技术服务有限公司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神州龙安（江苏）信息技术服务有限公司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南京瑞擎科技有限公司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神州土地（北京）信息技术有限公司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神州数码信息系统（扬州）有限公司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杨凌安全农产品溯源标识管理有限公司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新疆神州三宝信息技术有限公司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贵州中农信达信息技术有限公司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南京神州金信电子科技有限公司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中能国电（北京）新能源投资有限公司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神州龙安（金华）信息技术服务有限公司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神州龙安（成都）信息技术服务有限公司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神州龙安（内蒙古）信息技术服务有限公司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神州龙安（河北）信息服务有限公司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神州龙安（山西）信息技术服务有限公司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香河旗硕智能科技有限公司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西安远景信息技术有限公司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12.5% </w:t>
            </w:r>
            <w:r>
              <w:rPr>
                <w:color w:val="000000"/>
                <w:spacing w:val="0"/>
                <w:w w:val="100"/>
                <w:position w:val="0"/>
              </w:rPr>
              <w:t>（按法定税率</w:t>
            </w:r>
            <w:r>
              <w:rPr>
                <w:rFonts w:ascii="Times New Roman" w:eastAsia="Times New Roman" w:hAnsi="Times New Roman" w:cs="Times New Roman"/>
                <w:color w:val="000000"/>
                <w:spacing w:val="0"/>
                <w:w w:val="100"/>
                <w:position w:val="0"/>
              </w:rPr>
              <w:t>25%</w:t>
            </w:r>
            <w:r>
              <w:rPr>
                <w:color w:val="000000"/>
                <w:spacing w:val="0"/>
                <w:w w:val="100"/>
                <w:position w:val="0"/>
              </w:rPr>
              <w:t>减半征收）</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神州远景（西安）科技发展有限公司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免征所得税</w:t>
            </w:r>
          </w:p>
        </w:tc>
      </w:tr>
    </w:tbl>
    <w:p>
      <w:pPr>
        <w:pStyle w:val="Style26"/>
        <w:keepNext w:val="0"/>
        <w:keepLines w:val="0"/>
        <w:widowControl w:val="0"/>
        <w:shd w:val="clear" w:color="auto" w:fill="auto"/>
        <w:bidi w:val="0"/>
        <w:spacing w:before="0" w:after="0" w:line="240" w:lineRule="auto"/>
        <w:ind w:left="437" w:right="0" w:firstLine="0"/>
        <w:jc w:val="left"/>
      </w:pPr>
      <w:r>
        <w:rPr>
          <w:color w:val="000000"/>
          <w:spacing w:val="0"/>
          <w:w w:val="100"/>
          <w:position w:val="0"/>
        </w:rPr>
        <w:t>注：本公司及除上表中的其他中国大陆子公司适用所得税税率25%。</w:t>
      </w:r>
    </w:p>
    <w:p>
      <w:pPr>
        <w:widowControl w:val="0"/>
        <w:spacing w:after="359" w:line="1" w:lineRule="exact"/>
      </w:pPr>
    </w:p>
    <w:p>
      <w:pPr>
        <w:pStyle w:val="Style41"/>
        <w:keepNext/>
        <w:keepLines/>
        <w:widowControl w:val="0"/>
        <w:shd w:val="clear" w:color="auto" w:fill="auto"/>
        <w:bidi w:val="0"/>
        <w:spacing w:before="0" w:after="280" w:line="240" w:lineRule="auto"/>
        <w:ind w:left="0" w:right="0" w:firstLine="0"/>
        <w:jc w:val="left"/>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12"/>
      <w:bookmarkEnd w:id="1013"/>
      <w:bookmarkEnd w:id="1014"/>
    </w:p>
    <w:p>
      <w:pPr>
        <w:pStyle w:val="Style37"/>
        <w:keepNext w:val="0"/>
        <w:keepLines w:val="0"/>
        <w:widowControl w:val="0"/>
        <w:shd w:val="clear" w:color="auto" w:fill="auto"/>
        <w:bidi w:val="0"/>
        <w:spacing w:before="0" w:after="0" w:line="313"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）企业所得税</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本公司之子公司神州数码系统集成服务有限公司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月取得高新技术企业认证</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月通过 高新技术企业复审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月通过高新技术企业重新认定。根据《中华人民共和国企业所得税法》规定，自获得高新技术企 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神州数码信息系统有限公司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月取得高新技术企业认证</w:t>
      </w:r>
      <w:r>
        <w:rPr>
          <w:color w:val="000000"/>
          <w:spacing w:val="0"/>
          <w:w w:val="100"/>
          <w:position w:val="0"/>
        </w:rPr>
        <w:t>，</w:t>
      </w:r>
      <w:r>
        <w:rPr>
          <w:color w:val="000000"/>
          <w:spacing w:val="0"/>
          <w:w w:val="100"/>
          <w:position w:val="0"/>
        </w:rPr>
        <w:t>根据《中华人民共和国企业所得税法》规定，自获得高 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神州数码融信软件有限公司于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月取得高新技术企业认证。根据《中华人民共和国企业所得税法》规定，自获 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。神州 </w:t>
      </w:r>
      <w:r>
        <w:rPr>
          <w:color w:val="000000"/>
          <w:spacing w:val="0"/>
          <w:w w:val="100"/>
          <w:position w:val="0"/>
        </w:rPr>
        <w:t>数码融信软件有限公司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年度及</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年度符合国家规划布局内的重点软件企业申报条件，适用所得税税率为 </w:t>
      </w:r>
      <w:r>
        <w:rPr>
          <w:rFonts w:ascii="Times New Roman" w:eastAsia="Times New Roman" w:hAnsi="Times New Roman" w:cs="Times New Roman"/>
          <w:color w:val="000000"/>
          <w:spacing w:val="0"/>
          <w:w w:val="100"/>
          <w:position w:val="0"/>
        </w:rPr>
        <w:t>10%</w:t>
      </w:r>
      <w:r>
        <w:rPr>
          <w:color w:val="000000"/>
          <w:spacing w:val="0"/>
          <w:w w:val="100"/>
          <w:position w:val="0"/>
        </w:rPr>
        <w:t>;神州数码融信软件有限公司认为其</w:t>
      </w:r>
      <w:r>
        <w:rPr>
          <w:rFonts w:ascii="Times New Roman" w:eastAsia="Times New Roman" w:hAnsi="Times New Roman" w:cs="Times New Roman"/>
          <w:color w:val="000000"/>
          <w:spacing w:val="0"/>
          <w:w w:val="100"/>
          <w:position w:val="0"/>
        </w:rPr>
        <w:t>2020</w:t>
      </w:r>
      <w:r>
        <w:rPr>
          <w:color w:val="000000"/>
          <w:spacing w:val="0"/>
          <w:w w:val="100"/>
          <w:position w:val="0"/>
        </w:rPr>
        <w:t>年度继续符合重点软件企业申报条件，</w:t>
      </w:r>
      <w:r>
        <w:rPr>
          <w:rFonts w:ascii="Times New Roman" w:eastAsia="Times New Roman" w:hAnsi="Times New Roman" w:cs="Times New Roman"/>
          <w:color w:val="000000"/>
          <w:spacing w:val="0"/>
          <w:w w:val="100"/>
          <w:position w:val="0"/>
        </w:rPr>
        <w:t>2020</w:t>
      </w:r>
      <w:r>
        <w:rPr>
          <w:color w:val="000000"/>
          <w:spacing w:val="0"/>
          <w:w w:val="100"/>
          <w:position w:val="0"/>
        </w:rPr>
        <w:t>年按</w:t>
      </w:r>
      <w:r>
        <w:rPr>
          <w:rFonts w:ascii="Times New Roman" w:eastAsia="Times New Roman" w:hAnsi="Times New Roman" w:cs="Times New Roman"/>
          <w:color w:val="000000"/>
          <w:spacing w:val="0"/>
          <w:w w:val="100"/>
          <w:position w:val="0"/>
        </w:rPr>
        <w:t>10%</w:t>
      </w:r>
      <w:r>
        <w:rPr>
          <w:color w:val="000000"/>
          <w:spacing w:val="0"/>
          <w:w w:val="100"/>
          <w:position w:val="0"/>
        </w:rPr>
        <w:t>所得税税率计算应纳所得 税额。</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北京云核网络技术有限公司于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月取得高新技术企业认证。根据《中华人民共和国企业所得税法》规定，自获 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中农信达于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月取得高新技术企业认证。根据《中华人民共和国企业所得税法》规定，自获得高新技术企业认 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湖南中农信达信息科技有限公司于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月取得高新技术企业认证。根据《中华人民共和国企业所得税法》规定， 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北京旗硕基业科技股份有限公司于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月取得高新技术企业认证。根据《中华人民共和国企业所得税法》规定， 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神州国信（北京）量子科技有限公司于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月取得高新技术企业认证。根据《中华人民共和国企业所得税法》规 定，自获得高新技术企业认定后三年内，将享受按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年适用所得税税率为 </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杨凌农业云服务有限公司于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月取得高新技术企业认证。根据《中华人民共和国企业所得税法》规定，自获得 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华苏科技自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月通过高新技术企业复审并取得高新技术企业证书（证书编号</w:t>
      </w:r>
      <w:r>
        <w:rPr>
          <w:rFonts w:ascii="Times New Roman" w:eastAsia="Times New Roman" w:hAnsi="Times New Roman" w:cs="Times New Roman"/>
          <w:color w:val="000000"/>
          <w:spacing w:val="0"/>
          <w:w w:val="100"/>
          <w:position w:val="0"/>
        </w:rPr>
        <w:t>GR201832000423</w:t>
      </w:r>
      <w:r>
        <w:rPr>
          <w:color w:val="000000"/>
          <w:spacing w:val="0"/>
          <w:w w:val="100"/>
          <w:position w:val="0"/>
        </w:rPr>
        <w:t>）</w:t>
      </w:r>
      <w:r>
        <w:rPr>
          <w:color w:val="000000"/>
          <w:spacing w:val="0"/>
          <w:w w:val="100"/>
          <w:position w:val="0"/>
        </w:rPr>
        <w:t>。根据《中华人 民共和国企业所得税法》规定，自获得高新技术企业认定后三年内，将享受按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 华苏科技认为</w:t>
      </w:r>
      <w:r>
        <w:rPr>
          <w:rFonts w:ascii="Times New Roman" w:eastAsia="Times New Roman" w:hAnsi="Times New Roman" w:cs="Times New Roman"/>
          <w:color w:val="000000"/>
          <w:spacing w:val="0"/>
          <w:w w:val="100"/>
          <w:position w:val="0"/>
        </w:rPr>
        <w:t>2020</w:t>
      </w:r>
      <w:r>
        <w:rPr>
          <w:color w:val="000000"/>
          <w:spacing w:val="0"/>
          <w:w w:val="100"/>
          <w:position w:val="0"/>
        </w:rPr>
        <w:t>年度符合国家规划布局内的重点软件企业申报条件且已申请备案，故</w:t>
      </w:r>
      <w:r>
        <w:rPr>
          <w:rFonts w:ascii="Times New Roman" w:eastAsia="Times New Roman" w:hAnsi="Times New Roman" w:cs="Times New Roman"/>
          <w:color w:val="000000"/>
          <w:spacing w:val="0"/>
          <w:w w:val="100"/>
          <w:position w:val="0"/>
        </w:rPr>
        <w:t>2020</w:t>
      </w:r>
      <w:r>
        <w:rPr>
          <w:color w:val="000000"/>
          <w:spacing w:val="0"/>
          <w:w w:val="100"/>
          <w:position w:val="0"/>
        </w:rPr>
        <w:t>年按</w:t>
      </w:r>
      <w:r>
        <w:rPr>
          <w:rFonts w:ascii="Times New Roman" w:eastAsia="Times New Roman" w:hAnsi="Times New Roman" w:cs="Times New Roman"/>
          <w:color w:val="000000"/>
          <w:spacing w:val="0"/>
          <w:w w:val="100"/>
          <w:position w:val="0"/>
        </w:rPr>
        <w:t>10%</w:t>
      </w:r>
      <w:r>
        <w:rPr>
          <w:color w:val="000000"/>
          <w:spacing w:val="0"/>
          <w:w w:val="100"/>
          <w:position w:val="0"/>
        </w:rPr>
        <w:t>所得税税率计算应纳所 得税额。</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西安远景信息技术有限公司于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月取得高新技术企业认证。根据《中华人民共和国企业所得税法》规定，自获 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的税率征收企业所得税的税收优惠政策。同时，根据《财政部税务总局关于集 成电路设计和软件产业企业所得税政策的公告》（财政部税务总局公告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号）规定，西安远景信息技术有限公司符 合《进一步鼓励软件产业和集成电路产业发展的若干政策》和《软件企业评估标准》的有关规定，于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日评估为 软件企业（证书编号：陕</w:t>
      </w:r>
      <w:r>
        <w:rPr>
          <w:rFonts w:ascii="Times New Roman" w:eastAsia="Times New Roman" w:hAnsi="Times New Roman" w:cs="Times New Roman"/>
          <w:color w:val="000000"/>
          <w:spacing w:val="0"/>
          <w:w w:val="100"/>
          <w:position w:val="0"/>
        </w:rPr>
        <w:t>RQ-2019-0134</w:t>
      </w:r>
      <w:r>
        <w:rPr>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 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r>
        <w:rPr>
          <w:rFonts w:ascii="Times New Roman" w:eastAsia="Times New Roman" w:hAnsi="Times New Roman" w:cs="Times New Roman"/>
          <w:color w:val="000000"/>
          <w:spacing w:val="0"/>
          <w:w w:val="100"/>
          <w:position w:val="0"/>
        </w:rPr>
        <w:t>2020</w:t>
      </w:r>
      <w:r>
        <w:rPr>
          <w:color w:val="000000"/>
          <w:spacing w:val="0"/>
          <w:w w:val="100"/>
          <w:position w:val="0"/>
        </w:rPr>
        <w:t>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的法定税率减半征收企业所得税，适用所得 税税率为</w:t>
      </w:r>
      <w:r>
        <w:rPr>
          <w:rFonts w:ascii="Times New Roman" w:eastAsia="Times New Roman" w:hAnsi="Times New Roman" w:cs="Times New Roman"/>
          <w:color w:val="000000"/>
          <w:spacing w:val="0"/>
          <w:w w:val="100"/>
          <w:position w:val="0"/>
        </w:rPr>
        <w:t>12.5%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神州远景（西安）科技发展有限公司于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日评估为软件企业（证书编号：陕</w:t>
      </w:r>
      <w:r>
        <w:rPr>
          <w:rFonts w:ascii="Times New Roman" w:eastAsia="Times New Roman" w:hAnsi="Times New Roman" w:cs="Times New Roman"/>
          <w:color w:val="000000"/>
          <w:spacing w:val="0"/>
          <w:w w:val="100"/>
          <w:position w:val="0"/>
        </w:rPr>
        <w:t>RQ-2020-0149</w:t>
      </w:r>
      <w:r>
        <w:rPr>
          <w:color w:val="000000"/>
          <w:spacing w:val="0"/>
          <w:w w:val="100"/>
          <w:position w:val="0"/>
        </w:rPr>
        <w:t>）</w:t>
      </w:r>
      <w:r>
        <w:rPr>
          <w:color w:val="000000"/>
          <w:spacing w:val="0"/>
          <w:w w:val="100"/>
          <w:position w:val="0"/>
        </w:rPr>
        <w:t>，根据《财政 部税务总局关于集成电路设计和软件产业企业所得税政策的公告》（财政部税务总局公告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号）规定，西安远景信 息技术有限公司符合《进一步鼓励软件产业和集成电路产业发展的若干政策》和《软件企业评估标准》的有关规定，在</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 业所得税。</w:t>
      </w:r>
      <w:r>
        <w:rPr>
          <w:rFonts w:ascii="Times New Roman" w:eastAsia="Times New Roman" w:hAnsi="Times New Roman" w:cs="Times New Roman"/>
          <w:color w:val="000000"/>
          <w:spacing w:val="0"/>
          <w:w w:val="100"/>
          <w:position w:val="0"/>
        </w:rPr>
        <w:t>2020</w:t>
      </w:r>
      <w:r>
        <w:rPr>
          <w:color w:val="000000"/>
          <w:spacing w:val="0"/>
          <w:w w:val="100"/>
          <w:position w:val="0"/>
        </w:rPr>
        <w:t>年免征企业所得税。</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号）规定，对小型微利企业年 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的税率缴纳企业所得税；对年应纳税所得额超过 </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的税率缴纳企业所得税。神州国信（北京）量子科技 有限公司、神州远景（西安）科技发展有限公司、西安远景信息技术有限公司、北京神州数码方圆科技有限公司、南京华苏 软件有限公司、江苏神州数码国信信息技术有限公司、北京神州通慧科技有限公司、北京神州数码锐行快捷信息技术服务有 限公司、神州龙安（青海）信息技术服务有限公司、神州龙安（江苏）信息技术服务有限公司、南京瑞擎科技有限公司、神 州土地（北京）信息技术有限公司、神州数码信息系统（扬州）有限公司、深圳神州数码信息技术服务有限公司、杨凌安全 农产品溯源标识管理有限公司、新疆神州三宝信息技术有限公司、贵州中农信达信息技术有限公司、南京神州金信电子科技 有限公司、中能国电（北京）新能源投资有限公司、神州龙安（金华）信息技术服务有限公司、神州龙安（成都）信息技术 服务有限公司、神州龙安（内蒙古）信息技术服务有限公司、神州龙安（河北）信息服务有限公司、神州龙安（山西）信息 技术服务有限公司、香河旗硕智能科技有限公司，本年适用上述规定，可根据本年应纳税所得额实际情况，自行适用相应减 免优惠政策。</w:t>
      </w:r>
    </w:p>
    <w:p>
      <w:pPr>
        <w:pStyle w:val="Style3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）增值税</w:t>
      </w:r>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号）规定，本公司之子公司神州数 码系统集成服务有限公司、神州数码信息系统有限公司、神州数码融信软件有限公司、北京神州数码锐行快捷信息技术服务 有限公司、北京神州数字科技有限公司、中农信达、神州土地（北京）信息技术有限公司、北京旗硕基业科技股份有限公司、 北京云核网络技术有限公司、杨凌农业云服务有限公司自</w:t>
      </w:r>
      <w:r>
        <w:rPr>
          <w:rFonts w:ascii="Times New Roman" w:eastAsia="Times New Roman" w:hAnsi="Times New Roman" w:cs="Times New Roman"/>
          <w:color w:val="000000"/>
          <w:spacing w:val="0"/>
          <w:w w:val="100"/>
          <w:position w:val="0"/>
        </w:rPr>
        <w:t>2011</w:t>
      </w:r>
      <w:r>
        <w:rPr>
          <w:color w:val="000000"/>
          <w:spacing w:val="0"/>
          <w:w w:val="100"/>
          <w:position w:val="0"/>
        </w:rPr>
        <w:t>年销售其自行开发生产的软件产品，按法定税率征收增值税后， 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号）规定，本公司之子公 司神州数码系统集成服务有限公司、神州数码信息系统有限公司、江苏神州数码国信信息技术有限公司、神州数码融信软件 有限公司、杨凌农业云服务有限公司、神州国信（北京）量子科技有限公司、北京神州数字科技有限公司、北京云核网络技 术有限公司、中农信达、神州土地（北京）信息技术有限公司的技术转让、技术开发和与之相关的技术咨询、技术服务收入 免征增值税。</w:t>
      </w:r>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根据《财政部、国家税务总局关于深化增值税改革有关政策的公告》（财政部税务总局海关总署公告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 规定，本公司之子公司神州数码融信软件有限公司、神州国信（北京）量子科技有限公司、中农信达、上海神州数码信息技 术服务有限公司、江苏神州数码国信信息技术有限公司、杨凌农业云服务有限公司、神州远景</w:t>
      </w:r>
      <w:r>
        <w:rPr>
          <w:rFonts w:ascii="Times New Roman" w:eastAsia="Times New Roman" w:hAnsi="Times New Roman" w:cs="Times New Roman"/>
          <w:color w:val="000000"/>
          <w:spacing w:val="0"/>
          <w:w w:val="100"/>
          <w:position w:val="0"/>
        </w:rPr>
        <w:t>（</w:t>
      </w:r>
      <w:r>
        <w:rPr>
          <w:color w:val="000000"/>
          <w:spacing w:val="0"/>
          <w:w w:val="100"/>
          <w:position w:val="0"/>
        </w:rPr>
        <w:t>西安</w:t>
      </w:r>
      <w:r>
        <w:rPr>
          <w:rFonts w:ascii="Times New Roman" w:eastAsia="Times New Roman" w:hAnsi="Times New Roman" w:cs="Times New Roman"/>
          <w:color w:val="000000"/>
          <w:spacing w:val="0"/>
          <w:w w:val="100"/>
          <w:position w:val="0"/>
        </w:rPr>
        <w:t>）</w:t>
      </w:r>
      <w:r>
        <w:rPr>
          <w:color w:val="000000"/>
          <w:spacing w:val="0"/>
          <w:w w:val="100"/>
          <w:position w:val="0"/>
        </w:rPr>
        <w:t>科技发展有限公司、西 安远景信息技术有限公司、南京华苏科技有限公司、南京华苏软件科技有限公司、南京瑞擎科技有限公司、湖南中农信达信 息科技有限公司按照当期可抵扣进项税额加计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w:t>
      </w:r>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根据《财政部、税务总局关于支持个体工商户复工复业增值税政策的公告》（财政部税务总局公告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号）规 定，本公司之子公司杨凌安全农产品溯源标识管理有限公司适用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 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380" w:line="316" w:lineRule="exact"/>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年度，本集团共计收到增值税软件退税</w:t>
      </w:r>
      <w:r>
        <w:rPr>
          <w:rFonts w:ascii="Times New Roman" w:eastAsia="Times New Roman" w:hAnsi="Times New Roman" w:cs="Times New Roman"/>
          <w:color w:val="000000"/>
          <w:spacing w:val="0"/>
          <w:w w:val="100"/>
          <w:position w:val="0"/>
        </w:rPr>
        <w:t>11,406,836.61</w:t>
      </w:r>
      <w:r>
        <w:rPr>
          <w:color w:val="000000"/>
          <w:spacing w:val="0"/>
          <w:w w:val="100"/>
          <w:position w:val="0"/>
        </w:rPr>
        <w:t>元，占本年度归属于母公司股东的净利润</w:t>
      </w:r>
      <w:r>
        <w:rPr>
          <w:rFonts w:ascii="Times New Roman" w:eastAsia="Times New Roman" w:hAnsi="Times New Roman" w:cs="Times New Roman"/>
          <w:color w:val="000000"/>
          <w:spacing w:val="0"/>
          <w:w w:val="100"/>
          <w:position w:val="0"/>
        </w:rPr>
        <w:t>2.40%</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sz w:val="24"/>
          <w:szCs w:val="24"/>
        </w:rPr>
        <w:t>七</w:t>
      </w:r>
      <w:bookmarkEnd w:id="1017"/>
      <w:r>
        <w:rPr>
          <w:color w:val="000000"/>
          <w:spacing w:val="0"/>
          <w:w w:val="100"/>
          <w:position w:val="0"/>
          <w:sz w:val="24"/>
          <w:szCs w:val="24"/>
        </w:rPr>
        <w:t>、合并财务报表项目注释</w:t>
      </w:r>
      <w:bookmarkEnd w:id="1015"/>
      <w:bookmarkEnd w:id="1016"/>
      <w:bookmarkEnd w:id="1018"/>
    </w:p>
    <w:p>
      <w:pPr>
        <w:pStyle w:val="Style41"/>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9"/>
      <w:bookmarkEnd w:id="1020"/>
      <w:bookmarkEnd w:id="1021"/>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1,789,836,593.55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1,350,168,474.15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151,476,574.49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98,723,714.95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1,941,313,168.04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1,448,892,189.10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6,781,830.76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81,575,848.84</w:t>
            </w:r>
          </w:p>
        </w:tc>
      </w:tr>
    </w:tbl>
    <w:p>
      <w:pPr>
        <w:pStyle w:val="Style26"/>
        <w:keepNext w:val="0"/>
        <w:keepLines w:val="0"/>
        <w:widowControl w:val="0"/>
        <w:shd w:val="clear" w:color="auto" w:fill="auto"/>
        <w:bidi w:val="0"/>
        <w:spacing w:before="0" w:after="80" w:line="240" w:lineRule="auto"/>
        <w:ind w:left="427"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：年末银行存款包括定期存款</w:t>
      </w:r>
      <w:r>
        <w:rPr>
          <w:rFonts w:ascii="Times New Roman" w:eastAsia="Times New Roman" w:hAnsi="Times New Roman" w:cs="Times New Roman"/>
          <w:color w:val="000000"/>
          <w:spacing w:val="0"/>
          <w:w w:val="100"/>
          <w:position w:val="0"/>
        </w:rPr>
        <w:t>10,000,000.00</w:t>
      </w:r>
      <w:r>
        <w:rPr>
          <w:color w:val="000000"/>
          <w:spacing w:val="0"/>
          <w:w w:val="100"/>
          <w:position w:val="0"/>
        </w:rPr>
        <w:t>元，存款期限自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427"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：年末其他货币资金包括国内信用证付款保证金</w:t>
      </w:r>
      <w:r>
        <w:rPr>
          <w:rFonts w:ascii="Times New Roman" w:eastAsia="Times New Roman" w:hAnsi="Times New Roman" w:cs="Times New Roman"/>
          <w:color w:val="000000"/>
          <w:spacing w:val="0"/>
          <w:w w:val="100"/>
          <w:position w:val="0"/>
        </w:rPr>
        <w:t>139,980,697.36</w:t>
      </w:r>
      <w:r>
        <w:rPr>
          <w:color w:val="000000"/>
          <w:spacing w:val="0"/>
          <w:w w:val="100"/>
          <w:position w:val="0"/>
        </w:rPr>
        <w:t>元、保函保证金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,398,513.6</w:t>
      </w:r>
      <w:r>
        <w:rPr>
          <w:rFonts w:ascii="Times New Roman" w:eastAsia="Times New Roman" w:hAnsi="Times New Roman" w:cs="Times New Roman"/>
          <w:color w:val="000000"/>
          <w:spacing w:val="0"/>
          <w:w w:val="100"/>
          <w:position w:val="0"/>
        </w:rPr>
        <w:t>0</w:t>
      </w:r>
      <w:r>
        <w:rPr>
          <w:color w:val="000000"/>
          <w:spacing w:val="0"/>
          <w:w w:val="100"/>
          <w:position w:val="0"/>
        </w:rPr>
        <w:t>元、因尚未完成服务冻</w:t>
      </w:r>
    </w:p>
    <w:p>
      <w:pPr>
        <w:pStyle w:val="Style6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结共管户资金</w:t>
      </w:r>
      <w:r>
        <w:rPr>
          <w:color w:val="000000"/>
          <w:spacing w:val="0"/>
          <w:w w:val="100"/>
          <w:position w:val="0"/>
        </w:rPr>
        <w:t>2,016,797.90</w:t>
      </w:r>
      <w:r>
        <w:rPr>
          <w:rFonts w:ascii="SimSun" w:eastAsia="SimSun" w:hAnsi="SimSun" w:cs="SimSun"/>
          <w:color w:val="000000"/>
          <w:spacing w:val="0"/>
          <w:w w:val="100"/>
          <w:position w:val="0"/>
        </w:rPr>
        <w:t>元、因未决诉讼被冻结的资金</w:t>
      </w:r>
      <w:r>
        <w:rPr>
          <w:color w:val="000000"/>
          <w:spacing w:val="0"/>
          <w:w w:val="100"/>
          <w:position w:val="0"/>
        </w:rPr>
        <w:t>7,080,565.63</w:t>
      </w:r>
      <w:r>
        <w:rPr>
          <w:rFonts w:ascii="SimSun" w:eastAsia="SimSun" w:hAnsi="SimSun" w:cs="SimSun"/>
          <w:color w:val="000000"/>
          <w:spacing w:val="0"/>
          <w:w w:val="100"/>
          <w:position w:val="0"/>
        </w:rPr>
        <w:t>元。</w:t>
      </w:r>
    </w:p>
    <w:p>
      <w:pPr>
        <w:pStyle w:val="Style3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上述尚未到期的国内信用证付款保证金、保函保证金、共管户资金及诉讼冻结款、诉讼担保抵押资金共计</w:t>
      </w:r>
      <w:r>
        <w:rPr>
          <w:rFonts w:ascii="Times New Roman" w:eastAsia="Times New Roman" w:hAnsi="Times New Roman" w:cs="Times New Roman"/>
          <w:color w:val="000000"/>
          <w:spacing w:val="0"/>
          <w:w w:val="100"/>
          <w:position w:val="0"/>
        </w:rPr>
        <w:t xml:space="preserve">151,476,574.49 </w:t>
      </w:r>
      <w:r>
        <w:rPr>
          <w:color w:val="000000"/>
          <w:spacing w:val="0"/>
          <w:w w:val="100"/>
          <w:position w:val="0"/>
        </w:rPr>
        <w:t>元，由于款项使用受到限制，因此不作为现金流量表中的现金及现金等价物。</w:t>
      </w:r>
    </w:p>
    <w:p>
      <w:pPr>
        <w:pStyle w:val="Style37"/>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：存放在境外的款项不存在汇回受到限制的情形。</w:t>
      </w:r>
    </w:p>
    <w:p>
      <w:pPr>
        <w:pStyle w:val="Style41"/>
        <w:keepNext/>
        <w:keepLines/>
        <w:widowControl w:val="0"/>
        <w:shd w:val="clear" w:color="auto" w:fill="auto"/>
        <w:bidi w:val="0"/>
        <w:spacing w:before="0" w:after="240" w:line="240" w:lineRule="auto"/>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22"/>
      <w:bookmarkEnd w:id="1023"/>
      <w:bookmarkEnd w:id="1024"/>
    </w:p>
    <w:p>
      <w:pPr>
        <w:pStyle w:val="Style37"/>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750,007,662.48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796,579,126.35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750,007,662.48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796,579,126.35</w:t>
            </w:r>
          </w:p>
        </w:tc>
      </w:tr>
    </w:tbl>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注：年末理财产品包括：（</w:t>
      </w:r>
      <w:r>
        <w:rPr>
          <w:rFonts w:ascii="Times New Roman" w:eastAsia="Times New Roman" w:hAnsi="Times New Roman" w:cs="Times New Roman"/>
          <w:color w:val="000000"/>
          <w:spacing w:val="0"/>
          <w:w w:val="100"/>
          <w:position w:val="0"/>
        </w:rPr>
        <w:t>1</w:t>
      </w:r>
      <w:r>
        <w:rPr>
          <w:color w:val="000000"/>
          <w:spacing w:val="0"/>
          <w:w w:val="100"/>
          <w:position w:val="0"/>
        </w:rPr>
        <w:t>）华夏银行步步增盈安心版理财产品本金</w:t>
      </w:r>
      <w:r>
        <w:rPr>
          <w:rFonts w:ascii="Times New Roman" w:eastAsia="Times New Roman" w:hAnsi="Times New Roman" w:cs="Times New Roman"/>
          <w:color w:val="000000"/>
          <w:spacing w:val="0"/>
          <w:w w:val="100"/>
          <w:position w:val="0"/>
        </w:rPr>
        <w:t>39,600.00</w:t>
      </w:r>
      <w:r>
        <w:rPr>
          <w:color w:val="000000"/>
          <w:spacing w:val="0"/>
          <w:w w:val="100"/>
          <w:position w:val="0"/>
        </w:rPr>
        <w:t>万元，理财起始日为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月，无固定到期日，公允价值变动损益</w:t>
      </w:r>
      <w:r>
        <w:rPr>
          <w:rFonts w:ascii="Times New Roman" w:eastAsia="Times New Roman" w:hAnsi="Times New Roman" w:cs="Times New Roman"/>
          <w:color w:val="000000"/>
          <w:spacing w:val="0"/>
          <w:w w:val="100"/>
          <w:position w:val="0"/>
        </w:rPr>
        <w:t>512,000.00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）中信理财之共赢稳健天天利无固定期限人民币理财产品本 金</w:t>
      </w:r>
      <w:r>
        <w:rPr>
          <w:rFonts w:ascii="Times New Roman" w:eastAsia="Times New Roman" w:hAnsi="Times New Roman" w:cs="Times New Roman"/>
          <w:color w:val="000000"/>
          <w:spacing w:val="0"/>
          <w:w w:val="100"/>
          <w:position w:val="0"/>
        </w:rPr>
        <w:t>3,320.00</w:t>
      </w:r>
      <w:r>
        <w:rPr>
          <w:color w:val="000000"/>
          <w:spacing w:val="0"/>
          <w:w w:val="100"/>
          <w:position w:val="0"/>
        </w:rPr>
        <w:t>万元，理财起始日为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月，无固定到期日，公允价值变动损益</w:t>
      </w:r>
      <w:r>
        <w:rPr>
          <w:rFonts w:ascii="Times New Roman" w:eastAsia="Times New Roman" w:hAnsi="Times New Roman" w:cs="Times New Roman"/>
          <w:color w:val="000000"/>
          <w:spacing w:val="0"/>
          <w:w w:val="100"/>
          <w:position w:val="0"/>
        </w:rPr>
        <w:t>35,068.49</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）工商银行工银理财</w:t>
      </w:r>
      <w:r>
        <w:rPr>
          <w:rFonts w:ascii="Times New Roman" w:eastAsia="Times New Roman" w:hAnsi="Times New Roman" w:cs="Times New Roman"/>
          <w:color w:val="000000"/>
          <w:spacing w:val="0"/>
          <w:w w:val="100"/>
          <w:position w:val="0"/>
        </w:rPr>
        <w:t>•</w:t>
      </w:r>
      <w:r>
        <w:rPr>
          <w:color w:val="000000"/>
          <w:spacing w:val="0"/>
          <w:w w:val="100"/>
          <w:position w:val="0"/>
        </w:rPr>
        <w:t>法人</w:t>
      </w:r>
      <w:r>
        <w:rPr>
          <w:rFonts w:ascii="Times New Roman" w:eastAsia="Times New Roman" w:hAnsi="Times New Roman" w:cs="Times New Roman"/>
          <w:color w:val="000000"/>
          <w:spacing w:val="0"/>
          <w:w w:val="100"/>
          <w:position w:val="0"/>
        </w:rPr>
        <w:t>“</w:t>
      </w:r>
      <w:r>
        <w:rPr>
          <w:color w:val="000000"/>
          <w:spacing w:val="0"/>
          <w:w w:val="100"/>
          <w:position w:val="0"/>
        </w:rPr>
        <w:t>添 利宝</w:t>
      </w:r>
      <w:r>
        <w:rPr>
          <w:rFonts w:ascii="Times New Roman" w:eastAsia="Times New Roman" w:hAnsi="Times New Roman" w:cs="Times New Roman"/>
          <w:color w:val="000000"/>
          <w:spacing w:val="0"/>
          <w:w w:val="100"/>
          <w:position w:val="0"/>
        </w:rPr>
        <w:t>”</w:t>
      </w:r>
      <w:r>
        <w:rPr>
          <w:color w:val="000000"/>
          <w:spacing w:val="0"/>
          <w:w w:val="100"/>
          <w:position w:val="0"/>
        </w:rPr>
        <w:t>净值型理财产品理财计划本金</w:t>
      </w:r>
      <w:r>
        <w:rPr>
          <w:rFonts w:ascii="Times New Roman" w:eastAsia="Times New Roman" w:hAnsi="Times New Roman" w:cs="Times New Roman"/>
          <w:color w:val="000000"/>
          <w:spacing w:val="0"/>
          <w:w w:val="100"/>
          <w:position w:val="0"/>
        </w:rPr>
        <w:t>3,100.00</w:t>
      </w:r>
      <w:r>
        <w:rPr>
          <w:color w:val="000000"/>
          <w:spacing w:val="0"/>
          <w:w w:val="100"/>
          <w:position w:val="0"/>
        </w:rPr>
        <w:t>万元，理财起始日为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月，无固定到期日，公允价值变动损益零元；（</w:t>
      </w:r>
      <w:r>
        <w:rPr>
          <w:rFonts w:ascii="Times New Roman" w:eastAsia="Times New Roman" w:hAnsi="Times New Roman" w:cs="Times New Roman"/>
          <w:color w:val="000000"/>
          <w:spacing w:val="0"/>
          <w:w w:val="100"/>
          <w:position w:val="0"/>
        </w:rPr>
        <w:t>4</w:t>
      </w:r>
      <w:r>
        <w:rPr>
          <w:color w:val="000000"/>
          <w:spacing w:val="0"/>
          <w:w w:val="100"/>
          <w:position w:val="0"/>
        </w:rPr>
        <w:t>） 西南证券收益凭证汇沣（</w:t>
      </w:r>
      <w:r>
        <w:rPr>
          <w:rFonts w:ascii="Times New Roman" w:eastAsia="Times New Roman" w:hAnsi="Times New Roman" w:cs="Times New Roman"/>
          <w:color w:val="000000"/>
          <w:spacing w:val="0"/>
          <w:w w:val="100"/>
          <w:position w:val="0"/>
        </w:rPr>
        <w:t>6</w:t>
      </w:r>
      <w:r>
        <w:rPr>
          <w:color w:val="000000"/>
          <w:spacing w:val="0"/>
          <w:w w:val="100"/>
          <w:position w:val="0"/>
        </w:rPr>
        <w:t>月期）</w:t>
      </w:r>
      <w:r>
        <w:rPr>
          <w:rFonts w:ascii="Times New Roman" w:eastAsia="Times New Roman" w:hAnsi="Times New Roman" w:cs="Times New Roman"/>
          <w:color w:val="000000"/>
          <w:spacing w:val="0"/>
          <w:w w:val="100"/>
          <w:position w:val="0"/>
        </w:rPr>
        <w:t>2020008</w:t>
      </w:r>
      <w:r>
        <w:rPr>
          <w:color w:val="000000"/>
          <w:spacing w:val="0"/>
          <w:w w:val="100"/>
          <w:position w:val="0"/>
        </w:rPr>
        <w:t>期理财产品本金</w:t>
      </w:r>
      <w:r>
        <w:rPr>
          <w:rFonts w:ascii="Times New Roman" w:eastAsia="Times New Roman" w:hAnsi="Times New Roman" w:cs="Times New Roman"/>
          <w:color w:val="000000"/>
          <w:spacing w:val="0"/>
          <w:w w:val="100"/>
          <w:position w:val="0"/>
        </w:rPr>
        <w:t>5,000.00</w:t>
      </w:r>
      <w:r>
        <w:rPr>
          <w:color w:val="000000"/>
          <w:spacing w:val="0"/>
          <w:w w:val="100"/>
          <w:position w:val="0"/>
        </w:rPr>
        <w:t>万元，理财起始日为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 允价值变动损益</w:t>
      </w:r>
      <w:r>
        <w:rPr>
          <w:rFonts w:ascii="Times New Roman" w:eastAsia="Times New Roman" w:hAnsi="Times New Roman" w:cs="Times New Roman"/>
          <w:color w:val="000000"/>
          <w:spacing w:val="0"/>
          <w:w w:val="100"/>
          <w:position w:val="0"/>
        </w:rPr>
        <w:t>78,082.19</w:t>
      </w:r>
      <w:r>
        <w:rPr>
          <w:color w:val="000000"/>
          <w:spacing w:val="0"/>
          <w:w w:val="100"/>
          <w:position w:val="0"/>
        </w:rPr>
        <w:t>元；（</w:t>
      </w:r>
      <w:r>
        <w:rPr>
          <w:rFonts w:ascii="Times New Roman" w:eastAsia="Times New Roman" w:hAnsi="Times New Roman" w:cs="Times New Roman"/>
          <w:color w:val="000000"/>
          <w:spacing w:val="0"/>
          <w:w w:val="100"/>
          <w:position w:val="0"/>
        </w:rPr>
        <w:t>5</w:t>
      </w:r>
      <w:r>
        <w:rPr>
          <w:color w:val="000000"/>
          <w:spacing w:val="0"/>
          <w:w w:val="100"/>
          <w:position w:val="0"/>
        </w:rPr>
        <w:t>）弘坤稳健</w:t>
      </w:r>
      <w:r>
        <w:rPr>
          <w:rFonts w:ascii="Times New Roman" w:eastAsia="Times New Roman" w:hAnsi="Times New Roman" w:cs="Times New Roman"/>
          <w:color w:val="000000"/>
          <w:spacing w:val="0"/>
          <w:w w:val="100"/>
          <w:position w:val="0"/>
        </w:rPr>
        <w:t>7</w:t>
      </w:r>
      <w:r>
        <w:rPr>
          <w:color w:val="000000"/>
          <w:spacing w:val="0"/>
          <w:w w:val="100"/>
          <w:position w:val="0"/>
        </w:rPr>
        <w:t>号私募投资基金无固定期限人民币理财产品本金</w:t>
      </w:r>
      <w:r>
        <w:rPr>
          <w:rFonts w:ascii="Times New Roman" w:eastAsia="Times New Roman" w:hAnsi="Times New Roman" w:cs="Times New Roman"/>
          <w:color w:val="000000"/>
          <w:spacing w:val="0"/>
          <w:w w:val="100"/>
          <w:position w:val="0"/>
        </w:rPr>
        <w:t>25,000.00</w:t>
      </w:r>
      <w:r>
        <w:rPr>
          <w:color w:val="000000"/>
          <w:spacing w:val="0"/>
          <w:w w:val="100"/>
          <w:position w:val="0"/>
        </w:rPr>
        <w:t xml:space="preserve">万元，理财起始日为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月，无固定期限，本年公允价值变动损益</w:t>
      </w:r>
      <w:r>
        <w:rPr>
          <w:rFonts w:ascii="Times New Roman" w:eastAsia="Times New Roman" w:hAnsi="Times New Roman" w:cs="Times New Roman"/>
          <w:color w:val="000000"/>
          <w:spacing w:val="0"/>
          <w:w w:val="100"/>
          <w:position w:val="0"/>
        </w:rPr>
        <w:t>-5,206,140.88</w:t>
      </w:r>
      <w:r>
        <w:rPr>
          <w:color w:val="000000"/>
          <w:spacing w:val="0"/>
          <w:w w:val="100"/>
          <w:position w:val="0"/>
        </w:rPr>
        <w:t>元，累计公允价值变动损益</w:t>
      </w:r>
      <w:r>
        <w:rPr>
          <w:rFonts w:ascii="Times New Roman" w:eastAsia="Times New Roman" w:hAnsi="Times New Roman" w:cs="Times New Roman"/>
          <w:color w:val="000000"/>
          <w:spacing w:val="0"/>
          <w:w w:val="100"/>
          <w:position w:val="0"/>
        </w:rPr>
        <w:t>-10,817,488.2</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color w:val="000000"/>
          <w:spacing w:val="0"/>
          <w:w w:val="100"/>
          <w:position w:val="0"/>
        </w:rPr>
        <w:t>、应收票据</w:t>
      </w:r>
      <w:bookmarkEnd w:id="1025"/>
      <w:bookmarkEnd w:id="1026"/>
      <w:bookmarkEnd w:id="1028"/>
    </w:p>
    <w:p>
      <w:pPr>
        <w:pStyle w:val="Style41"/>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25"/>
      <w:bookmarkEnd w:id="1026"/>
      <w:bookmarkEnd w:id="103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4,518,686.64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35,578,863.36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241,192.65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5,712,610.53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4,759,879.29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41,291,473.89</w:t>
            </w: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560"/>
        <w:gridCol w:w="1277"/>
        <w:gridCol w:w="1133"/>
        <w:gridCol w:w="1277"/>
        <w:gridCol w:w="15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4,518,686.64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4,518,686.64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246,114.95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4,922.30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241,192.65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246,114.95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4,922.30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241,192.65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4,764,801.59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4,922.30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4,759,879.29</w:t>
            </w:r>
          </w:p>
        </w:tc>
      </w:tr>
    </w:tbl>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698"/>
        <w:gridCol w:w="1560"/>
        <w:gridCol w:w="1277"/>
        <w:gridCol w:w="1133"/>
        <w:gridCol w:w="1277"/>
        <w:gridCol w:w="15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35,578,863.36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35,578,863.36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5,829,194.42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5,712,610.53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560"/>
        <w:gridCol w:w="1277"/>
        <w:gridCol w:w="1133"/>
        <w:gridCol w:w="1277"/>
        <w:gridCol w:w="1570"/>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5,829,194.42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5,712,610.53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41,408,057.78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116,583.89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41,291,473.89</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)按单项计提应收票据坏账准备</w:t>
      </w:r>
    </w:p>
    <w:p>
      <w:pPr>
        <w:pStyle w:val="Style3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本集团将应收票据</w:t>
      </w:r>
      <w:r>
        <w:rPr>
          <w:rFonts w:ascii="Times New Roman" w:eastAsia="Times New Roman" w:hAnsi="Times New Roman" w:cs="Times New Roman"/>
          <w:color w:val="000000"/>
          <w:spacing w:val="0"/>
          <w:w w:val="100"/>
          <w:position w:val="0"/>
        </w:rPr>
        <w:t>-</w:t>
      </w:r>
      <w:r>
        <w:rPr>
          <w:color w:val="000000"/>
          <w:spacing w:val="0"/>
          <w:w w:val="100"/>
          <w:position w:val="0"/>
        </w:rPr>
        <w:t>银行承兑汇票按单项计提坏账准备，考虑银行承兑汇票的预期信用损失率极低，本集团未对其计提 坏账准备。</w:t>
      </w:r>
    </w:p>
    <w:p>
      <w:pPr>
        <w:pStyle w:val="Style37"/>
        <w:keepNext w:val="0"/>
        <w:keepLines w:val="0"/>
        <w:widowControl w:val="0"/>
        <w:numPr>
          <w:ilvl w:val="0"/>
          <w:numId w:val="23"/>
        </w:numPr>
        <w:shd w:val="clear" w:color="auto" w:fill="auto"/>
        <w:bidi w:val="0"/>
        <w:spacing w:before="0" w:after="500" w:line="312" w:lineRule="exact"/>
        <w:ind w:left="0" w:right="0" w:firstLine="0"/>
        <w:jc w:val="both"/>
      </w:pPr>
      <w:bookmarkStart w:id="1031" w:name="bookmark1031"/>
      <w:bookmarkEnd w:id="1031"/>
      <w:r>
        <w:rPr>
          <w:color w:val="000000"/>
          <w:spacing w:val="0"/>
          <w:w w:val="100"/>
          <w:position w:val="0"/>
        </w:rPr>
        <w:t>按组合计提应收票据坏账准备</w:t>
      </w:r>
    </w:p>
    <w:p>
      <w:pPr>
        <w:widowControl w:val="0"/>
        <w:jc w:val="center"/>
        <w:rPr>
          <w:sz w:val="2"/>
          <w:szCs w:val="2"/>
        </w:rPr>
      </w:pPr>
      <w:r>
        <w:drawing>
          <wp:inline>
            <wp:extent cx="6120130" cy="2152015"/>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7"/>
                    <a:stretch/>
                  </pic:blipFill>
                  <pic:spPr>
                    <a:xfrm>
                      <a:ext cx="6120130" cy="2152015"/>
                    </a:xfrm>
                    <a:prstGeom prst="rect"/>
                  </pic:spPr>
                </pic:pic>
              </a:graphicData>
            </a:graphic>
          </wp:inline>
        </w:drawing>
      </w:r>
    </w:p>
    <w:p>
      <w:pPr>
        <w:widowControl w:val="0"/>
        <w:spacing w:after="119" w:line="1" w:lineRule="exact"/>
      </w:pPr>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25"/>
        </w:numPr>
        <w:shd w:val="clear" w:color="auto" w:fill="auto"/>
        <w:bidi w:val="0"/>
        <w:spacing w:before="0" w:after="380" w:line="240" w:lineRule="auto"/>
        <w:ind w:left="0" w:right="0" w:firstLine="0"/>
        <w:jc w:val="both"/>
      </w:pPr>
      <w:bookmarkStart w:id="1032" w:name="bookmark1032"/>
      <w:bookmarkStart w:id="1033" w:name="bookmark1033"/>
      <w:bookmarkStart w:id="1034" w:name="bookmark1034"/>
      <w:bookmarkStart w:id="1035" w:name="bookmark1035"/>
      <w:bookmarkEnd w:id="1034"/>
      <w:r>
        <w:rPr>
          <w:color w:val="000000"/>
          <w:spacing w:val="0"/>
          <w:w w:val="100"/>
          <w:position w:val="0"/>
        </w:rPr>
        <w:t>本期计提、收回或转回的坏账准备情况</w:t>
      </w:r>
      <w:bookmarkEnd w:id="1032"/>
      <w:bookmarkEnd w:id="1033"/>
      <w:bookmarkEnd w:id="1035"/>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116,583.89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-111,661.59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4,922.30</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其中本期坏账准备收回或转回金额重要的:</w:t>
      </w:r>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25"/>
        </w:numPr>
        <w:shd w:val="clear" w:color="auto" w:fill="auto"/>
        <w:bidi w:val="0"/>
        <w:spacing w:before="0" w:after="380" w:line="240" w:lineRule="auto"/>
        <w:ind w:left="0" w:right="0" w:firstLine="14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期末公司已背书或贴现且在资产负债表日尚未到期的应收票据</w:t>
      </w:r>
      <w:bookmarkEnd w:id="1036"/>
      <w:bookmarkEnd w:id="1037"/>
      <w:bookmarkEnd w:id="1039"/>
    </w:p>
    <w:p>
      <w:pPr>
        <w:pStyle w:val="Style3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注：本集团认为背书和贴现的应收票据全部系银行承兑汇票且承兑银行信誉较好，该等票据未被偿还而导致本集团被追 索的情况可能性很小，因此本集团在票据背书及贴现时即终止确认应收票据。</w:t>
      </w:r>
      <w:r>
        <w:br w:type="page"/>
      </w:r>
    </w:p>
    <w:p>
      <w:pPr>
        <w:pStyle w:val="Style41"/>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4</w:t>
      </w:r>
      <w:bookmarkEnd w:id="1042"/>
      <w:r>
        <w:rPr>
          <w:color w:val="000000"/>
          <w:spacing w:val="0"/>
          <w:w w:val="100"/>
          <w:position w:val="0"/>
        </w:rPr>
        <w:t>、应收账款</w:t>
      </w:r>
      <w:bookmarkEnd w:id="1040"/>
      <w:bookmarkEnd w:id="1041"/>
      <w:bookmarkEnd w:id="1043"/>
    </w:p>
    <w:p>
      <w:pPr>
        <w:pStyle w:val="Style41"/>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0"/>
      <w:bookmarkEnd w:id="1041"/>
      <w:bookmarkEnd w:id="10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987"/>
        <w:gridCol w:w="850"/>
        <w:gridCol w:w="1416"/>
        <w:gridCol w:w="850"/>
        <w:gridCol w:w="157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39,885,176.86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38,534,489.70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1,350,687.16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2,366,259,119.58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420,780,522.25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1,945,478,597.33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76,217,619.00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76,217,619.00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1,992,932,880.70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256,905,397.73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1,736,027,482.97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42,026,247.66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40,826,701.52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1,199,546.14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255,082,372.22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46,830,804.00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208,251,568.22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2,406,144,296.44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459,315,011.95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1,946,829,284.49</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tbl>
      <w:tblPr>
        <w:tblOverlap w:val="never"/>
        <w:jc w:val="center"/>
        <w:tblLayout w:type="fixed"/>
      </w:tblPr>
      <w:tblGrid>
        <w:gridCol w:w="2981"/>
        <w:gridCol w:w="1987"/>
        <w:gridCol w:w="850"/>
        <w:gridCol w:w="1416"/>
        <w:gridCol w:w="850"/>
        <w:gridCol w:w="157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49,875,561.65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41,731,404.32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8,144,157.33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2,274,813,021.36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382,694,938.20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1,892,118,083.16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69,316,497.80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69,316,497.80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1,853,545,434.82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248,481,597.82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1,605,063,837.00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48,139,701.91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44,752,900.16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92.96%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3,386,801.75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303,811,386.83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20,143,942.42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283,667,444.41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2,324,688,583.01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424,426,342.52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1,900,262,240.49</w:t>
            </w:r>
          </w:p>
        </w:tc>
      </w:tr>
    </w:tbl>
    <w:p>
      <w:pPr>
        <w:widowControl w:val="0"/>
        <w:spacing w:after="359" w:line="1" w:lineRule="exact"/>
      </w:pPr>
    </w:p>
    <w:p>
      <w:pPr>
        <w:pStyle w:val="Style3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）按单项计提坏账准备的应收账款</w:t>
      </w:r>
    </w:p>
    <w:p>
      <w:pPr>
        <w:pStyle w:val="Style37"/>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日按单项计提坏账准备的应收账款主要系本公司之孙公司神州数码金信科技股份有限公司和本公司之 子公司中农信达产生的应收款项，原值分别为</w:t>
      </w:r>
      <w:r>
        <w:rPr>
          <w:rFonts w:ascii="Times New Roman" w:eastAsia="Times New Roman" w:hAnsi="Times New Roman" w:cs="Times New Roman"/>
          <w:color w:val="000000"/>
          <w:spacing w:val="0"/>
          <w:w w:val="100"/>
          <w:position w:val="0"/>
        </w:rPr>
        <w:t>31,365,039.27</w:t>
      </w:r>
      <w:r>
        <w:rPr>
          <w:color w:val="000000"/>
          <w:spacing w:val="0"/>
          <w:w w:val="100"/>
          <w:position w:val="0"/>
        </w:rPr>
        <w:t>元和</w:t>
      </w:r>
      <w:r>
        <w:rPr>
          <w:rFonts w:ascii="Times New Roman" w:eastAsia="Times New Roman" w:hAnsi="Times New Roman" w:cs="Times New Roman"/>
          <w:color w:val="000000"/>
          <w:spacing w:val="0"/>
          <w:w w:val="100"/>
          <w:position w:val="0"/>
        </w:rPr>
        <w:t>8,520,137.59</w:t>
      </w:r>
      <w:r>
        <w:rPr>
          <w:color w:val="000000"/>
          <w:spacing w:val="0"/>
          <w:w w:val="100"/>
          <w:position w:val="0"/>
        </w:rPr>
        <w:t>元，坏账准备分别为</w:t>
      </w:r>
      <w:r>
        <w:rPr>
          <w:rFonts w:ascii="Times New Roman" w:eastAsia="Times New Roman" w:hAnsi="Times New Roman" w:cs="Times New Roman"/>
          <w:color w:val="000000"/>
          <w:spacing w:val="0"/>
          <w:w w:val="100"/>
          <w:position w:val="0"/>
        </w:rPr>
        <w:t>31,365,039.27</w:t>
      </w:r>
      <w:r>
        <w:rPr>
          <w:color w:val="000000"/>
          <w:spacing w:val="0"/>
          <w:w w:val="100"/>
          <w:position w:val="0"/>
        </w:rPr>
        <w:t xml:space="preserve">元和 </w:t>
      </w:r>
      <w:r>
        <w:rPr>
          <w:rFonts w:ascii="Times New Roman" w:eastAsia="Times New Roman" w:hAnsi="Times New Roman" w:cs="Times New Roman"/>
          <w:color w:val="000000"/>
          <w:spacing w:val="0"/>
          <w:w w:val="100"/>
          <w:position w:val="0"/>
        </w:rPr>
        <w:t xml:space="preserve">7,169,450.43 </w:t>
      </w:r>
      <w:r>
        <w:rPr>
          <w:color w:val="000000"/>
          <w:spacing w:val="0"/>
          <w:w w:val="100"/>
          <w:position w:val="0"/>
        </w:rPr>
        <w:t>元。</w:t>
      </w:r>
    </w:p>
    <w:p>
      <w:pPr>
        <w:pStyle w:val="Style37"/>
        <w:keepNext w:val="0"/>
        <w:keepLines w:val="0"/>
        <w:widowControl w:val="0"/>
        <w:shd w:val="clear" w:color="auto" w:fill="auto"/>
        <w:bidi w:val="0"/>
        <w:spacing w:before="0" w:after="220" w:line="312" w:lineRule="exact"/>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日按单项计提坏账准备的应收账款主要系本公司之孙公司神州数码金信科技股份有限公司和本公司之子 公司中农信达产生的应收款项，原值分别为</w:t>
      </w:r>
      <w:r>
        <w:rPr>
          <w:rFonts w:ascii="Times New Roman" w:eastAsia="Times New Roman" w:hAnsi="Times New Roman" w:cs="Times New Roman"/>
          <w:color w:val="000000"/>
          <w:spacing w:val="0"/>
          <w:w w:val="100"/>
          <w:position w:val="0"/>
        </w:rPr>
        <w:t>39,358,303.50</w:t>
      </w:r>
      <w:r>
        <w:rPr>
          <w:color w:val="000000"/>
          <w:spacing w:val="0"/>
          <w:w w:val="100"/>
          <w:position w:val="0"/>
        </w:rPr>
        <w:t>元和</w:t>
      </w:r>
      <w:r>
        <w:rPr>
          <w:rFonts w:ascii="Times New Roman" w:eastAsia="Times New Roman" w:hAnsi="Times New Roman" w:cs="Times New Roman"/>
          <w:color w:val="000000"/>
          <w:spacing w:val="0"/>
          <w:w w:val="100"/>
          <w:position w:val="0"/>
        </w:rPr>
        <w:t>10,517,258.15</w:t>
      </w:r>
      <w:r>
        <w:rPr>
          <w:color w:val="000000"/>
          <w:spacing w:val="0"/>
          <w:w w:val="100"/>
          <w:position w:val="0"/>
        </w:rPr>
        <w:t>元，坏账准备分别为</w:t>
      </w:r>
      <w:r>
        <w:rPr>
          <w:rFonts w:ascii="Times New Roman" w:eastAsia="Times New Roman" w:hAnsi="Times New Roman" w:cs="Times New Roman"/>
          <w:color w:val="000000"/>
          <w:spacing w:val="0"/>
          <w:w w:val="100"/>
          <w:position w:val="0"/>
        </w:rPr>
        <w:t>39,358,303.50</w:t>
      </w:r>
      <w:r>
        <w:rPr>
          <w:color w:val="000000"/>
          <w:spacing w:val="0"/>
          <w:w w:val="100"/>
          <w:position w:val="0"/>
        </w:rPr>
        <w:t xml:space="preserve">元和 </w:t>
      </w:r>
      <w:r>
        <w:rPr>
          <w:rFonts w:ascii="Times New Roman" w:eastAsia="Times New Roman" w:hAnsi="Times New Roman" w:cs="Times New Roman"/>
          <w:color w:val="000000"/>
          <w:spacing w:val="0"/>
          <w:w w:val="100"/>
          <w:position w:val="0"/>
        </w:rPr>
        <w:t xml:space="preserve">2,373,100.82 </w:t>
      </w:r>
      <w:r>
        <w:rPr>
          <w:color w:val="000000"/>
          <w:spacing w:val="0"/>
          <w:w w:val="100"/>
          <w:position w:val="0"/>
        </w:rPr>
        <w:t>元。</w:t>
      </w:r>
      <w:r>
        <w:br w:type="page"/>
      </w:r>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）组合中，采用账期组合</w:t>
      </w:r>
      <w:r>
        <w:rPr>
          <w:rFonts w:ascii="Times New Roman" w:eastAsia="Times New Roman" w:hAnsi="Times New Roman" w:cs="Times New Roman"/>
          <w:color w:val="000000"/>
          <w:spacing w:val="0"/>
          <w:w w:val="100"/>
          <w:position w:val="0"/>
        </w:rPr>
        <w:t>I</w:t>
      </w:r>
      <w:r>
        <w:rPr>
          <w:color w:val="000000"/>
          <w:spacing w:val="0"/>
          <w:w w:val="100"/>
          <w:position w:val="0"/>
        </w:rPr>
        <w:t>计提坏账准备的应收账款</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10,395,000.00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10,395,000.00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6,199,616.88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6,199,616.88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5,316,726.87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5,316,726.87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4,799,997.60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4,799,997.60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44,136,277.65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44,136,277.65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76,217,619.00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76,217,619.00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11,555,600.00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11,555,600.00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6,723,802.70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6,723,802.70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5,407,526.25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5,407,526.25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5,370,000.00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J</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4,826,435.32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4,826,435.32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35,433,133.53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35,433,133.53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69,316,497.80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69,316,497.80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37"/>
        <w:keepNext w:val="0"/>
        <w:keepLines w:val="0"/>
        <w:widowControl w:val="0"/>
        <w:shd w:val="clear" w:color="auto" w:fill="auto"/>
        <w:bidi w:val="0"/>
        <w:spacing w:before="0" w:after="120" w:line="240" w:lineRule="auto"/>
        <w:ind w:left="0" w:right="0" w:firstLine="0"/>
        <w:jc w:val="left"/>
      </w:pPr>
      <w:bookmarkStart w:id="1046" w:name="bookmark1046"/>
      <w:r>
        <w:rPr>
          <w:rFonts w:ascii="Times New Roman" w:eastAsia="Times New Roman" w:hAnsi="Times New Roman" w:cs="Times New Roman"/>
          <w:color w:val="000000"/>
          <w:spacing w:val="0"/>
          <w:w w:val="100"/>
          <w:position w:val="0"/>
        </w:rPr>
        <w:t>3</w:t>
      </w:r>
      <w:bookmarkEnd w:id="1046"/>
      <w:r>
        <w:rPr>
          <w:color w:val="000000"/>
          <w:spacing w:val="0"/>
          <w:w w:val="100"/>
          <w:position w:val="0"/>
        </w:rPr>
        <w:t>）组合中，采用账期组合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计提坏账准备的应收账款</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1,232,719,500.67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24,177,704.69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1-180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354,116,986.90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24,788,189.29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181-360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219,163,536.63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43,832,707.38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361-540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36,510,492.74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18,255,246.75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541-720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20,776,427.77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16,205,613.63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129,645,935.99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129,645,935.99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1,992,932,880.70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256,905,397.73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395"/>
        <w:gridCol w:w="7186"/>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1,224,048,797.10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24,377,661.09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1-180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297,293,829.31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20,810,568.13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181-360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95,276,329.79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19,055,265.96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361-540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98,909,304.51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49,454,652.66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541-720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14,698,746.20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11,465,022.07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123,318,427.91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123,318,427.91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1,853,545,434.82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248,481,597.82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37"/>
        <w:keepNext w:val="0"/>
        <w:keepLines w:val="0"/>
        <w:widowControl w:val="0"/>
        <w:shd w:val="clear" w:color="auto" w:fill="auto"/>
        <w:bidi w:val="0"/>
        <w:spacing w:before="0" w:after="140" w:line="240" w:lineRule="auto"/>
        <w:ind w:left="0" w:right="0" w:firstLine="0"/>
        <w:jc w:val="left"/>
      </w:pPr>
      <w:bookmarkStart w:id="1047" w:name="bookmark1047"/>
      <w:r>
        <w:rPr>
          <w:rFonts w:ascii="Times New Roman" w:eastAsia="Times New Roman" w:hAnsi="Times New Roman" w:cs="Times New Roman"/>
          <w:color w:val="000000"/>
          <w:spacing w:val="0"/>
          <w:w w:val="100"/>
          <w:position w:val="0"/>
        </w:rPr>
        <w:t>4</w:t>
      </w:r>
      <w:bookmarkEnd w:id="1047"/>
      <w:r>
        <w:rPr>
          <w:color w:val="000000"/>
          <w:spacing w:val="0"/>
          <w:w w:val="100"/>
          <w:position w:val="0"/>
        </w:rPr>
        <w:t>）组合中，采用账期组合</w:t>
      </w:r>
      <w:r>
        <w:rPr>
          <w:rFonts w:ascii="Times New Roman" w:eastAsia="Times New Roman" w:hAnsi="Times New Roman" w:cs="Times New Roman"/>
          <w:color w:val="000000"/>
          <w:spacing w:val="0"/>
          <w:w w:val="100"/>
          <w:position w:val="0"/>
        </w:rPr>
        <w:t>III</w:t>
      </w:r>
      <w:r>
        <w:rPr>
          <w:color w:val="000000"/>
          <w:spacing w:val="0"/>
          <w:w w:val="100"/>
          <w:position w:val="0"/>
        </w:rPr>
        <w:t>计提坏账准备的应收账款</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659,578.66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130,472.03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32,618.01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91-180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525,774.90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210,309.96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181-270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256,927.35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128,463.68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271-360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147,851.18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103,495.82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w:t>
            </w:r>
            <w:r>
              <w:rPr>
                <w:color w:val="000000"/>
                <w:spacing w:val="0"/>
                <w:w w:val="100"/>
                <w:position w:val="0"/>
              </w:rPr>
              <w:t>天以上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40,305,643.54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40,305,643.54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42,026,247.66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40,826,701.52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1,500,758.49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105,053.09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569,150.00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142,287.50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91-180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1,398,523.07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559,409.23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181-270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866,049.99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433,025.00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271-360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973,650.05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681,555.03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w:t>
            </w:r>
            <w:r>
              <w:rPr>
                <w:color w:val="000000"/>
                <w:spacing w:val="0"/>
                <w:w w:val="100"/>
                <w:position w:val="0"/>
              </w:rPr>
              <w:t>天以上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42,831,570.31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42,831,570.31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48,139,701.91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44,752,900.16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37"/>
        <w:keepNext w:val="0"/>
        <w:keepLines w:val="0"/>
        <w:widowControl w:val="0"/>
        <w:shd w:val="clear" w:color="auto" w:fill="auto"/>
        <w:bidi w:val="0"/>
        <w:spacing w:before="0" w:after="140" w:line="240" w:lineRule="auto"/>
        <w:ind w:left="0" w:right="0" w:firstLine="0"/>
        <w:jc w:val="left"/>
      </w:pPr>
      <w:bookmarkStart w:id="1048" w:name="bookmark1048"/>
      <w:r>
        <w:rPr>
          <w:rFonts w:ascii="Times New Roman" w:eastAsia="Times New Roman" w:hAnsi="Times New Roman" w:cs="Times New Roman"/>
          <w:color w:val="000000"/>
          <w:spacing w:val="0"/>
          <w:w w:val="100"/>
          <w:position w:val="0"/>
        </w:rPr>
        <w:t>5</w:t>
      </w:r>
      <w:bookmarkEnd w:id="1048"/>
      <w:r>
        <w:rPr>
          <w:color w:val="000000"/>
          <w:spacing w:val="0"/>
          <w:w w:val="100"/>
          <w:position w:val="0"/>
        </w:rPr>
        <w:t>）组合中，采用账龄组合计提坏账准备的应收账款</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47,742,801.43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4,271,532.29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115,710,103.57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17,356,515.54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73,440,987.56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16,891,427.14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13,937,022.24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5,296,068.45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2,247,630.62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1,011,433.78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2,003,826.80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2,003,826.80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255,082,372.22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46,830,804.00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182,720,918.02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7,304,941.22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96,317,980.33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6,742,258.63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19,803,431.68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3,762,652.07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2,852,995.00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1,027,078.20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1,685,519.80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876,470.30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430,542.00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430,542.00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303,811,386.83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20,143,942.42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1,650,192,373.46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395,465,575.87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144,074,098.31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216,412,248.80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90,384,704.68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66,835,788.14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59,191,755.98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2,406,144,296.44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9"/>
      <w:bookmarkEnd w:id="1050"/>
      <w:bookmarkEnd w:id="1052"/>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424,426,342.52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48,982,802.87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11,468,024.20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-2,626,109.24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459,315,011.95</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16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3"/>
      <w:bookmarkEnd w:id="1054"/>
      <w:bookmarkEnd w:id="1056"/>
    </w:p>
    <w:p>
      <w:pPr>
        <w:pStyle w:val="Style37"/>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11,468,024.20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7"/>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K</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3,300,000.00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应收账款时间较长， 已全额计提坏账准 备，可回收性较小已 形成实际损失</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核销申请由事业部 提出，经财务部审批 后进行账务处理并 进行备案登记</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L</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2,112,955.15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M</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729,860.00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N</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o</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579,000.00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7,321,815.15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41"/>
        <w:keepNext/>
        <w:keepLines/>
        <w:widowControl w:val="0"/>
        <w:shd w:val="clear" w:color="auto" w:fill="auto"/>
        <w:bidi w:val="0"/>
        <w:spacing w:before="0" w:after="26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57"/>
      <w:bookmarkEnd w:id="1058"/>
      <w:bookmarkEnd w:id="1060"/>
    </w:p>
    <w:p>
      <w:pPr>
        <w:pStyle w:val="Style37"/>
        <w:keepNext w:val="0"/>
        <w:keepLines w:val="0"/>
        <w:widowControl w:val="0"/>
        <w:shd w:val="clear" w:color="auto" w:fill="auto"/>
        <w:bidi w:val="0"/>
        <w:spacing w:before="0" w:after="380" w:line="312" w:lineRule="exact"/>
        <w:ind w:left="0" w:right="0"/>
        <w:jc w:val="left"/>
      </w:pPr>
      <w:r>
        <w:rPr>
          <w:color w:val="000000"/>
          <w:spacing w:val="0"/>
          <w:w w:val="100"/>
          <w:position w:val="0"/>
        </w:rPr>
        <w:t>按欠款方归集的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日余额前五名应收账款汇总金额</w:t>
      </w:r>
      <w:r>
        <w:rPr>
          <w:rFonts w:ascii="Times New Roman" w:eastAsia="Times New Roman" w:hAnsi="Times New Roman" w:cs="Times New Roman"/>
          <w:color w:val="000000"/>
          <w:spacing w:val="0"/>
          <w:w w:val="100"/>
          <w:position w:val="0"/>
        </w:rPr>
        <w:t>336,407,588.05</w:t>
      </w:r>
      <w:r>
        <w:rPr>
          <w:color w:val="000000"/>
          <w:spacing w:val="0"/>
          <w:w w:val="100"/>
          <w:position w:val="0"/>
        </w:rPr>
        <w:t>元，占应收账款年末余额合计数的比 例为</w:t>
      </w:r>
      <w:r>
        <w:rPr>
          <w:rFonts w:ascii="Times New Roman" w:eastAsia="Times New Roman" w:hAnsi="Times New Roman" w:cs="Times New Roman"/>
          <w:color w:val="000000"/>
          <w:spacing w:val="0"/>
          <w:w w:val="100"/>
          <w:position w:val="0"/>
        </w:rPr>
        <w:t>13.98%</w:t>
      </w:r>
      <w:r>
        <w:rPr>
          <w:color w:val="000000"/>
          <w:spacing w:val="0"/>
          <w:w w:val="100"/>
          <w:position w:val="0"/>
        </w:rPr>
        <w:t>，相应计提的坏账准备金额</w:t>
      </w:r>
      <w:r>
        <w:rPr>
          <w:rFonts w:ascii="Times New Roman" w:eastAsia="Times New Roman" w:hAnsi="Times New Roman" w:cs="Times New Roman"/>
          <w:color w:val="000000"/>
          <w:spacing w:val="0"/>
          <w:w w:val="100"/>
          <w:position w:val="0"/>
        </w:rPr>
        <w:t>22,996,659.21</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5</w:t>
      </w:r>
      <w:bookmarkEnd w:id="1063"/>
      <w:r>
        <w:rPr>
          <w:color w:val="000000"/>
          <w:spacing w:val="0"/>
          <w:w w:val="100"/>
          <w:position w:val="0"/>
        </w:rPr>
        <w:t>、预付款项</w:t>
      </w:r>
      <w:bookmarkEnd w:id="1061"/>
      <w:bookmarkEnd w:id="1062"/>
      <w:bookmarkEnd w:id="1064"/>
    </w:p>
    <w:p>
      <w:pPr>
        <w:pStyle w:val="Style41"/>
        <w:keepNext/>
        <w:keepLines/>
        <w:widowControl w:val="0"/>
        <w:shd w:val="clear" w:color="auto" w:fill="auto"/>
        <w:bidi w:val="0"/>
        <w:spacing w:before="0" w:after="340" w:line="240" w:lineRule="auto"/>
        <w:ind w:left="0" w:right="0" w:firstLine="0"/>
        <w:jc w:val="both"/>
      </w:pPr>
      <w:bookmarkStart w:id="1061" w:name="bookmark1061"/>
      <w:bookmarkStart w:id="1062" w:name="bookmark1062"/>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1"/>
      <w:bookmarkEnd w:id="1062"/>
      <w:bookmarkEnd w:id="10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84,565,382.01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127,523,471.32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12,943,802.68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2,482,274.77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2,259,508.44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2,055,259.00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1,999,056.52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101,767,749.65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132,064,994.88</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7"/>
      <w:bookmarkEnd w:id="1068"/>
      <w:bookmarkEnd w:id="1070"/>
    </w:p>
    <w:p>
      <w:pPr>
        <w:pStyle w:val="Style3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按预付对象归集的年末余额前五名预付款项汇总金额</w:t>
      </w:r>
      <w:r>
        <w:rPr>
          <w:rFonts w:ascii="Times New Roman" w:eastAsia="Times New Roman" w:hAnsi="Times New Roman" w:cs="Times New Roman"/>
          <w:color w:val="000000"/>
          <w:spacing w:val="0"/>
          <w:w w:val="100"/>
          <w:position w:val="0"/>
        </w:rPr>
        <w:t>60,573,888.77</w:t>
      </w:r>
      <w:r>
        <w:rPr>
          <w:color w:val="000000"/>
          <w:spacing w:val="0"/>
          <w:w w:val="100"/>
          <w:position w:val="0"/>
        </w:rPr>
        <w:t>元，占预付款项年末余额合计数的比例为</w:t>
      </w:r>
      <w:r>
        <w:rPr>
          <w:rFonts w:ascii="Times New Roman" w:eastAsia="Times New Roman" w:hAnsi="Times New Roman" w:cs="Times New Roman"/>
          <w:color w:val="000000"/>
          <w:spacing w:val="0"/>
          <w:w w:val="100"/>
          <w:position w:val="0"/>
        </w:rPr>
        <w:t>59.52%</w:t>
      </w:r>
      <w:r>
        <w:rPr>
          <w:color w:val="000000"/>
          <w:spacing w:val="0"/>
          <w:w w:val="100"/>
          <w:position w:val="0"/>
        </w:rPr>
        <w:t>。</w:t>
      </w:r>
    </w:p>
    <w:p>
      <w:pPr>
        <w:pStyle w:val="Style41"/>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6</w:t>
      </w:r>
      <w:bookmarkEnd w:id="1073"/>
      <w:r>
        <w:rPr>
          <w:color w:val="000000"/>
          <w:spacing w:val="0"/>
          <w:w w:val="100"/>
          <w:position w:val="0"/>
        </w:rPr>
        <w:t>、其他应收款</w:t>
      </w:r>
      <w:bookmarkEnd w:id="1071"/>
      <w:bookmarkEnd w:id="1072"/>
      <w:bookmarkEnd w:id="1074"/>
    </w:p>
    <w:p>
      <w:pPr>
        <w:pStyle w:val="Style41"/>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071"/>
      <w:bookmarkEnd w:id="1072"/>
      <w:bookmarkEnd w:id="1076"/>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151,769,203.86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119,261,519.35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待结诉讼款项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38,876,998.00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38,876,998.00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18,624,195.32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19,867,346.74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690,865.17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553,174.32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65,486,261.77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58,409,949.75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146,475,000.58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120,149,088.66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077"/>
      <w:bookmarkEnd w:id="1078"/>
      <w:bookmarkEnd w:id="1080"/>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1,386,280.81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13,239,704.53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43,783,964.41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58,409,949.75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483,202.50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959,472.33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5,628,142.35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7,070,817.18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5,494.84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1,874,978.15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14,199,176.86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49,412,106.76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65,486,261.77</w:t>
            </w:r>
          </w:p>
        </w:tc>
      </w:tr>
    </w:tbl>
    <w:p>
      <w:pPr>
        <w:widowControl w:val="0"/>
        <w:spacing w:after="9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94,273,174.65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22,630,084.21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22,636,409.40</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72,421,594.09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13,698,615.32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12,889,997.56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45,832,981.21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211,961,262.35</w:t>
            </w:r>
          </w:p>
        </w:tc>
      </w:tr>
    </w:tbl>
    <w:p>
      <w:pPr>
        <w:widowControl w:val="0"/>
        <w:spacing w:after="319" w:line="1" w:lineRule="exact"/>
      </w:pPr>
    </w:p>
    <w:p>
      <w:pPr>
        <w:pStyle w:val="Style41"/>
        <w:keepNext/>
        <w:keepLines/>
        <w:widowControl w:val="0"/>
        <w:numPr>
          <w:ilvl w:val="0"/>
          <w:numId w:val="27"/>
        </w:numPr>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本期计提、收回或转回的坏账准备情况</w:t>
      </w:r>
      <w:bookmarkEnd w:id="1081"/>
      <w:bookmarkEnd w:id="1082"/>
      <w:bookmarkEnd w:id="1084"/>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58,409,949.75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7,070,817.18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65,486,261.77</w:t>
            </w:r>
          </w:p>
        </w:tc>
      </w:tr>
    </w:tbl>
    <w:p>
      <w:pPr>
        <w:widowControl w:val="0"/>
        <w:spacing w:after="319" w:line="1" w:lineRule="exact"/>
      </w:pPr>
    </w:p>
    <w:p>
      <w:pPr>
        <w:pStyle w:val="Style41"/>
        <w:keepNext/>
        <w:keepLines/>
        <w:widowControl w:val="0"/>
        <w:numPr>
          <w:ilvl w:val="0"/>
          <w:numId w:val="27"/>
        </w:numPr>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按欠款方归集的期末余额前五名的其他应收款情况</w:t>
      </w:r>
      <w:bookmarkEnd w:id="1085"/>
      <w:bookmarkEnd w:id="1086"/>
      <w:bookmarkEnd w:id="108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安力博发集团有限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待结诉讼款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38,876,998.00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38,876,998.00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中国人民解放军总 参谋部第五十六研 究所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8,087,350.00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161,747.00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中招国际招标有限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4,005,058.96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210,948.56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内蒙古自治区高级 人民法院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北京新动力金科资 产运营管理有限公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3,666,132.99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73,322.66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58,535,539.95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39,401,016.22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7</w:t>
      </w:r>
      <w:bookmarkEnd w:id="1091"/>
      <w:r>
        <w:rPr>
          <w:color w:val="000000"/>
          <w:spacing w:val="0"/>
          <w:w w:val="100"/>
          <w:position w:val="0"/>
        </w:rPr>
        <w:t>、存货</w:t>
      </w:r>
      <w:bookmarkEnd w:id="1089"/>
      <w:bookmarkEnd w:id="1090"/>
      <w:bookmarkEnd w:id="1092"/>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r>
        <w:br w:type="page"/>
      </w:r>
    </w:p>
    <w:p>
      <w:pPr>
        <w:pStyle w:val="Style41"/>
        <w:keepNext/>
        <w:keepLines/>
        <w:widowControl w:val="0"/>
        <w:numPr>
          <w:ilvl w:val="0"/>
          <w:numId w:val="29"/>
        </w:numPr>
        <w:shd w:val="clear" w:color="auto" w:fill="auto"/>
        <w:bidi w:val="0"/>
        <w:spacing w:before="0" w:after="340" w:line="240" w:lineRule="auto"/>
        <w:ind w:left="0" w:right="0" w:firstLine="14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存货分类</w:t>
      </w:r>
      <w:bookmarkEnd w:id="1093"/>
      <w:bookmarkEnd w:id="1094"/>
      <w:bookmarkEnd w:id="10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1,402,973,979.40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138,462,891.71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1,264,511,087.69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1,328,746,733.51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113,220,863.64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1,215,525,869.87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1,390,259,198.99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1,390,259,198.99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1,311,943,498.22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1,311,943,498.22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129,333,689.70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129,333,689.70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253,837,938.81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253,837,938.81</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2,922,566,868.09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138,462,891.71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2,784,103,976.38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2,894,528,170.54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113,220,863.64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2,781,307,306.90</w:t>
            </w:r>
          </w:p>
        </w:tc>
      </w:tr>
    </w:tbl>
    <w:p>
      <w:pPr>
        <w:widowControl w:val="0"/>
        <w:spacing w:after="339" w:line="1" w:lineRule="exact"/>
      </w:pPr>
    </w:p>
    <w:p>
      <w:pPr>
        <w:pStyle w:val="Style41"/>
        <w:keepNext/>
        <w:keepLines/>
        <w:widowControl w:val="0"/>
        <w:numPr>
          <w:ilvl w:val="0"/>
          <w:numId w:val="29"/>
        </w:numPr>
        <w:shd w:val="clear" w:color="auto" w:fill="auto"/>
        <w:bidi w:val="0"/>
        <w:spacing w:before="0" w:after="340" w:line="240" w:lineRule="auto"/>
        <w:ind w:left="0" w:right="0" w:firstLine="14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存货跌价准备和合同履约成本减值准备</w:t>
      </w:r>
      <w:bookmarkEnd w:id="1097"/>
      <w:bookmarkEnd w:id="1098"/>
      <w:bookmarkEnd w:id="11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113,220,863.64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95,699,379.37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70,457,351.30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138,462,891.71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113,220,863.64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95,699,379.37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70,457,351.30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138,462,891.71</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8</w:t>
      </w:r>
      <w:bookmarkEnd w:id="1103"/>
      <w:r>
        <w:rPr>
          <w:color w:val="000000"/>
          <w:spacing w:val="0"/>
          <w:w w:val="100"/>
          <w:position w:val="0"/>
        </w:rPr>
        <w:t>、合同资产</w:t>
      </w:r>
      <w:bookmarkEnd w:id="1101"/>
      <w:bookmarkEnd w:id="1102"/>
      <w:bookmarkEnd w:id="1104"/>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65"/>
        <w:gridCol w:w="1416"/>
        <w:gridCol w:w="1277"/>
        <w:gridCol w:w="1416"/>
        <w:gridCol w:w="1378"/>
        <w:gridCol w:w="1195"/>
        <w:gridCol w:w="133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1,851,980,034.27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211,979,809.56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1,640,000,224.71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1,321,624,300.50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134,451,057.30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1,187,173,243.20</w:t>
            </w:r>
          </w:p>
        </w:tc>
      </w:tr>
    </w:tbl>
    <w:p>
      <w:pPr>
        <w:widowControl w:val="0"/>
        <w:spacing w:after="9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843"/>
        <w:gridCol w:w="1699"/>
        <w:gridCol w:w="1560"/>
        <w:gridCol w:w="1277"/>
        <w:gridCol w:w="157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合并范围变化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D3D3D3"/>
            <w:vAlign w:val="top"/>
          </w:tcPr>
          <w:p>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134,451,057.30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76,890,945.74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637,806.52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211,979,809.56</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9</w:t>
      </w:r>
      <w:bookmarkEnd w:id="1107"/>
      <w:r>
        <w:rPr>
          <w:color w:val="000000"/>
          <w:spacing w:val="0"/>
          <w:w w:val="100"/>
          <w:position w:val="0"/>
        </w:rPr>
        <w:t>、其他流动资产</w:t>
      </w:r>
      <w:bookmarkEnd w:id="1105"/>
      <w:bookmarkEnd w:id="1106"/>
      <w:bookmarkEnd w:id="1108"/>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4,597,527.31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45,587,474.52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rPr>
              <w:t>-</w:t>
            </w:r>
            <w:r>
              <w:rPr>
                <w:color w:val="000000"/>
                <w:spacing w:val="0"/>
                <w:w w:val="100"/>
                <w:position w:val="0"/>
              </w:rPr>
              <w:t>房租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187,609.21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243,992.39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52,109.27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4,785,136.52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45,883,576.18</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109"/>
      <w:bookmarkEnd w:id="1110"/>
      <w:bookmarkEnd w:id="1112"/>
    </w:p>
    <w:p>
      <w:pPr>
        <w:pStyle w:val="Style41"/>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09"/>
      <w:bookmarkEnd w:id="1110"/>
      <w:bookmarkEnd w:id="111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48"/>
        <w:gridCol w:w="1560"/>
        <w:gridCol w:w="1181"/>
        <w:gridCol w:w="1272"/>
        <w:gridCol w:w="994"/>
        <w:gridCol w:w="994"/>
        <w:gridCol w:w="994"/>
        <w:gridCol w:w="64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折现率 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112,555,300.00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2,251,106.00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110,304,194.00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其中：未实现融资收益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34,591,700.00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注：本公司之孙公司智慧神州天融（北京）监测技术有限公司与北京市延庆区生态环境局于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月签订北京市延 庆区智慧环保政府和社会资本合作项目合同，合同价格为</w:t>
      </w:r>
      <w:r>
        <w:rPr>
          <w:rFonts w:ascii="Times New Roman" w:eastAsia="Times New Roman" w:hAnsi="Times New Roman" w:cs="Times New Roman"/>
          <w:color w:val="000000"/>
          <w:spacing w:val="0"/>
          <w:w w:val="100"/>
          <w:position w:val="0"/>
        </w:rPr>
        <w:t>11,255.53</w:t>
      </w:r>
      <w:r>
        <w:rPr>
          <w:color w:val="000000"/>
          <w:spacing w:val="0"/>
          <w:w w:val="100"/>
          <w:position w:val="0"/>
        </w:rPr>
        <w:t>万元，项目已于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月验收。</w:t>
      </w:r>
    </w:p>
    <w:p>
      <w:pPr>
        <w:widowControl w:val="0"/>
        <w:spacing w:after="79" w:line="1" w:lineRule="exact"/>
      </w:pPr>
    </w:p>
    <w:p>
      <w:pPr>
        <w:pStyle w:val="Style3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坏账准备减值情况</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0"/>
        <w:gridCol w:w="1421"/>
        <w:gridCol w:w="2126"/>
        <w:gridCol w:w="2126"/>
        <w:gridCol w:w="1637"/>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2,251,106.00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2,251,106.00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2,251,106.00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2,251,106.00</w:t>
            </w:r>
          </w:p>
        </w:tc>
      </w:tr>
    </w:tbl>
    <w:p>
      <w:pPr>
        <w:widowControl w:val="0"/>
        <w:spacing w:after="7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7"/>
        <w:keepNext w:val="0"/>
        <w:keepLines w:val="0"/>
        <w:widowControl w:val="0"/>
        <w:shd w:val="clear" w:color="auto" w:fill="auto"/>
        <w:bidi w:val="0"/>
        <w:spacing w:before="0" w:after="120" w:line="240" w:lineRule="auto"/>
        <w:ind w:left="0" w:right="0" w:firstLine="0"/>
        <w:jc w:val="left"/>
        <w:sectPr>
          <w:headerReference w:type="default" r:id="rId39"/>
          <w:footerReference w:type="default" r:id="rId40"/>
          <w:footnotePr>
            <w:pos w:val="pageBottom"/>
            <w:numFmt w:val="upperRoman"/>
            <w:numStart w:val="1"/>
            <w:numRestart w:val="continuous"/>
            <w15:footnoteColumns w:val="1"/>
          </w:footnotePr>
          <w:pgSz w:w="11900" w:h="16840"/>
          <w:pgMar w:top="1378" w:right="1047" w:bottom="1440" w:left="107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15"/>
      <w:bookmarkEnd w:id="1116"/>
      <w:bookmarkEnd w:id="1118"/>
    </w:p>
    <w:p>
      <w:pPr>
        <w:pStyle w:val="Style26"/>
        <w:keepNext w:val="0"/>
        <w:keepLines w:val="0"/>
        <w:widowControl w:val="0"/>
        <w:shd w:val="clear" w:color="auto" w:fill="auto"/>
        <w:bidi w:val="0"/>
        <w:spacing w:before="0" w:after="0" w:line="240" w:lineRule="auto"/>
        <w:ind w:left="13229" w:right="0" w:firstLine="0"/>
        <w:jc w:val="left"/>
      </w:pPr>
      <w:r>
        <w:rPr>
          <w:color w:val="000000"/>
          <w:spacing w:val="0"/>
          <w:w w:val="100"/>
          <w:position w:val="0"/>
        </w:rPr>
        <w:t>单位：元</w:t>
      </w:r>
    </w:p>
    <w:tbl>
      <w:tblPr>
        <w:tblOverlap w:val="never"/>
        <w:jc w:val="center"/>
        <w:tblLayout w:type="fixed"/>
      </w:tblPr>
      <w:tblGrid>
        <w:gridCol w:w="1570"/>
        <w:gridCol w:w="1699"/>
        <w:gridCol w:w="1277"/>
        <w:gridCol w:w="1277"/>
        <w:gridCol w:w="1272"/>
        <w:gridCol w:w="1138"/>
        <w:gridCol w:w="1133"/>
        <w:gridCol w:w="1133"/>
        <w:gridCol w:w="566"/>
        <w:gridCol w:w="427"/>
        <w:gridCol w:w="1699"/>
        <w:gridCol w:w="93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苏州神州数码捷通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7,763,041.04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4,421,295.23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480,254.19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平湖神州数码博海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3,690,035.49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242,535.49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鼎捷软件股份有限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343,773,731.75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362,485,669.99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19,518,777.77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3,023,488.53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3,996,063.26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天津国科量子科技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-416,883.04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1,904,588.33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神州数码融信云技 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119,871,894.50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2,785,247.94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122,657,142.44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北京神州邦邦技术 服务有限公司（注</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-219,230.03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2,786,772.22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8,567,542.19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北京深思普慧科技 有限公司（注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-128,802.28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29,871,197.72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477,177,638.66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370,597,000.71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22,261,900.04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165,735.20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5,810,260.75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7,818,063.26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163,000,470.68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1"/>
          <w:footerReference w:type="default" r:id="rId42"/>
          <w:footnotePr>
            <w:pos w:val="pageBottom"/>
            <w:numFmt w:val="upperRoman"/>
            <w:numStart w:val="1"/>
            <w:numRestart w:val="continuous"/>
            <w15:footnoteColumns w:val="1"/>
          </w:footnotePr>
          <w:pgSz w:w="16840" w:h="11900" w:orient="landscape"/>
          <w:pgMar w:top="1158" w:right="1282" w:bottom="1158" w:left="1431" w:header="0" w:footer="3" w:gutter="0"/>
          <w:cols w:space="720"/>
          <w:noEndnote/>
          <w:rtlGutter w:val="0"/>
          <w:docGrid w:linePitch="360"/>
        </w:sectPr>
      </w:pPr>
    </w:p>
    <w:p>
      <w:pPr>
        <w:pStyle w:val="Style3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：本公司下属子公司</w:t>
      </w:r>
      <w:r>
        <w:rPr>
          <w:rFonts w:ascii="Times New Roman" w:eastAsia="Times New Roman" w:hAnsi="Times New Roman" w:cs="Times New Roman"/>
          <w:color w:val="000000"/>
          <w:spacing w:val="0"/>
          <w:w w:val="100"/>
          <w:position w:val="0"/>
        </w:rPr>
        <w:t>Digital China Software （BVI） Limited</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日持有鼎捷软件股份有限公司（以下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鼎捷软件</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4,107.13</w:t>
      </w:r>
      <w:r>
        <w:rPr>
          <w:color w:val="000000"/>
          <w:spacing w:val="0"/>
          <w:w w:val="100"/>
          <w:position w:val="0"/>
        </w:rPr>
        <w:t>万股，持股比例为</w:t>
      </w:r>
      <w:r>
        <w:rPr>
          <w:rFonts w:ascii="Times New Roman" w:eastAsia="Times New Roman" w:hAnsi="Times New Roman" w:cs="Times New Roman"/>
          <w:color w:val="000000"/>
          <w:spacing w:val="0"/>
          <w:w w:val="100"/>
          <w:position w:val="0"/>
        </w:rPr>
        <w:t>15.44%</w:t>
      </w:r>
      <w:r>
        <w:rPr>
          <w:color w:val="000000"/>
          <w:spacing w:val="0"/>
          <w:w w:val="100"/>
          <w:position w:val="0"/>
        </w:rPr>
        <w:t>,本年</w:t>
      </w:r>
      <w:r>
        <w:rPr>
          <w:rFonts w:ascii="Times New Roman" w:eastAsia="Times New Roman" w:hAnsi="Times New Roman" w:cs="Times New Roman"/>
          <w:color w:val="000000"/>
          <w:spacing w:val="0"/>
          <w:w w:val="100"/>
          <w:position w:val="0"/>
        </w:rPr>
        <w:t>Digital China Software （BVI） Limited</w:t>
      </w:r>
      <w:r>
        <w:rPr>
          <w:color w:val="000000"/>
          <w:spacing w:val="0"/>
          <w:w w:val="100"/>
          <w:position w:val="0"/>
        </w:rPr>
        <w:t>通过深圳证券交易所 集中竞价交易系统累计出售鼎捷软件股票</w:t>
      </w:r>
      <w:r>
        <w:rPr>
          <w:rFonts w:ascii="Times New Roman" w:eastAsia="Times New Roman" w:hAnsi="Times New Roman" w:cs="Times New Roman"/>
          <w:color w:val="000000"/>
          <w:spacing w:val="0"/>
          <w:w w:val="100"/>
          <w:position w:val="0"/>
        </w:rPr>
        <w:t>110</w:t>
      </w:r>
      <w:r>
        <w:rPr>
          <w:color w:val="000000"/>
          <w:spacing w:val="0"/>
          <w:w w:val="100"/>
          <w:position w:val="0"/>
        </w:rPr>
        <w:t>万股，出售后持有鼎捷软件股票</w:t>
      </w:r>
      <w:r>
        <w:rPr>
          <w:rFonts w:ascii="Times New Roman" w:eastAsia="Times New Roman" w:hAnsi="Times New Roman" w:cs="Times New Roman"/>
          <w:color w:val="000000"/>
          <w:spacing w:val="0"/>
          <w:w w:val="100"/>
          <w:position w:val="0"/>
        </w:rPr>
        <w:t>3,997.13</w:t>
      </w:r>
      <w:r>
        <w:rPr>
          <w:color w:val="000000"/>
          <w:spacing w:val="0"/>
          <w:w w:val="100"/>
          <w:position w:val="0"/>
        </w:rPr>
        <w:t>万股。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0，</w:t>
      </w:r>
      <w:r>
        <w:rPr>
          <w:rFonts w:ascii="Times New Roman" w:eastAsia="Times New Roman" w:hAnsi="Times New Roman" w:cs="Times New Roman"/>
          <w:color w:val="000000"/>
          <w:spacing w:val="0"/>
          <w:w w:val="100"/>
          <w:position w:val="0"/>
        </w:rPr>
        <w:t>Digital China Software （BVI） Limited</w:t>
      </w:r>
      <w:r>
        <w:rPr>
          <w:color w:val="000000"/>
          <w:spacing w:val="0"/>
          <w:w w:val="100"/>
          <w:position w:val="0"/>
        </w:rPr>
        <w:t>与富士康工业互联网股份有限公司（以下简称工业富联）签署《关于鼎捷软件股份有限公司之股份买 卖协议》，将持有的鼎捷软件</w:t>
      </w:r>
      <w:r>
        <w:rPr>
          <w:rFonts w:ascii="Times New Roman" w:eastAsia="Times New Roman" w:hAnsi="Times New Roman" w:cs="Times New Roman"/>
          <w:color w:val="000000"/>
          <w:spacing w:val="0"/>
          <w:w w:val="100"/>
          <w:position w:val="0"/>
        </w:rPr>
        <w:t>15.19%</w:t>
      </w:r>
      <w:r>
        <w:rPr>
          <w:color w:val="000000"/>
          <w:spacing w:val="0"/>
          <w:w w:val="100"/>
          <w:position w:val="0"/>
        </w:rPr>
        <w:t>无限售流通股股权，共计</w:t>
      </w:r>
      <w:r>
        <w:rPr>
          <w:rFonts w:ascii="Times New Roman" w:eastAsia="Times New Roman" w:hAnsi="Times New Roman" w:cs="Times New Roman"/>
          <w:color w:val="000000"/>
          <w:spacing w:val="0"/>
          <w:w w:val="100"/>
          <w:position w:val="0"/>
        </w:rPr>
        <w:t>3,997.13</w:t>
      </w:r>
      <w:r>
        <w:rPr>
          <w:color w:val="000000"/>
          <w:spacing w:val="0"/>
          <w:w w:val="100"/>
          <w:position w:val="0"/>
        </w:rPr>
        <w:t>万股，以</w:t>
      </w:r>
      <w:r>
        <w:rPr>
          <w:rFonts w:ascii="Times New Roman" w:eastAsia="Times New Roman" w:hAnsi="Times New Roman" w:cs="Times New Roman"/>
          <w:color w:val="000000"/>
          <w:spacing w:val="0"/>
          <w:w w:val="100"/>
          <w:position w:val="0"/>
        </w:rPr>
        <w:t>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股的转让价全部协议转让给工业富联， 该事项已于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日完成股权转让登记，并于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日收到股权转让对价款。截至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 本公司不再持有鼎捷软件股票。</w:t>
      </w:r>
    </w:p>
    <w:p>
      <w:pPr>
        <w:pStyle w:val="Style37"/>
        <w:keepNext w:val="0"/>
        <w:keepLines w:val="0"/>
        <w:widowControl w:val="0"/>
        <w:shd w:val="clear" w:color="auto" w:fill="auto"/>
        <w:tabs>
          <w:tab w:pos="880" w:val="left"/>
        </w:tabs>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日，本公司与曹宏屹签订股权转让协议，向曹宏屹转让本公司持有的北京神州邦邦技术服务有限</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20.00%</w:t>
      </w:r>
      <w:r>
        <w:rPr>
          <w:color w:val="000000"/>
          <w:spacing w:val="0"/>
          <w:w w:val="100"/>
          <w:position w:val="0"/>
        </w:rPr>
        <w:t>的股权。转让完成后，本公司继续持有剩余的北京神州邦邦技术服务有限公司</w:t>
      </w:r>
      <w:r>
        <w:rPr>
          <w:rFonts w:ascii="Times New Roman" w:eastAsia="Times New Roman" w:hAnsi="Times New Roman" w:cs="Times New Roman"/>
          <w:color w:val="000000"/>
          <w:spacing w:val="0"/>
          <w:w w:val="100"/>
          <w:position w:val="0"/>
        </w:rPr>
        <w:t>20.00%</w:t>
      </w:r>
      <w:r>
        <w:rPr>
          <w:color w:val="000000"/>
          <w:spacing w:val="0"/>
          <w:w w:val="100"/>
          <w:position w:val="0"/>
        </w:rPr>
        <w:t>的股权，北京神州邦邦技 术服务有限公司由本公司子公司变为联营企业。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月，深圳市洛鼎投资合伙企业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对北京神州邦邦技术服 务有限公司增资，导致本公司对北京神州邦邦技术服务有限公司持股比例下降至</w:t>
      </w:r>
      <w:r>
        <w:rPr>
          <w:rFonts w:ascii="Times New Roman" w:eastAsia="Times New Roman" w:hAnsi="Times New Roman" w:cs="Times New Roman"/>
          <w:color w:val="000000"/>
          <w:spacing w:val="0"/>
          <w:w w:val="100"/>
          <w:position w:val="0"/>
        </w:rPr>
        <w:t>15.00%</w:t>
      </w:r>
      <w:r>
        <w:rPr>
          <w:color w:val="000000"/>
          <w:spacing w:val="0"/>
          <w:w w:val="100"/>
          <w:position w:val="0"/>
        </w:rPr>
        <w:t>。</w:t>
      </w:r>
    </w:p>
    <w:p>
      <w:pPr>
        <w:pStyle w:val="Style3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：本公司下属子公司北京神州数字科技有限公司（以下简称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神州数字</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月以</w:t>
      </w:r>
      <w:r>
        <w:rPr>
          <w:rFonts w:ascii="Times New Roman" w:eastAsia="Times New Roman" w:hAnsi="Times New Roman" w:cs="Times New Roman"/>
          <w:color w:val="000000"/>
          <w:spacing w:val="0"/>
          <w:w w:val="100"/>
          <w:position w:val="0"/>
        </w:rPr>
        <w:t>318.00</w:t>
      </w:r>
      <w:r>
        <w:rPr>
          <w:color w:val="000000"/>
          <w:spacing w:val="0"/>
          <w:w w:val="100"/>
          <w:position w:val="0"/>
        </w:rPr>
        <w:t>万元受让北京深 思众诚科技合伙企业（有限合伙）持有的北京深思普慧科技有限公司（以下简称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深思普慧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5.30%</w:t>
      </w:r>
      <w:r>
        <w:rPr>
          <w:color w:val="000000"/>
          <w:spacing w:val="0"/>
          <w:w w:val="100"/>
          <w:position w:val="0"/>
        </w:rPr>
        <w:t>的股权，并以</w:t>
      </w:r>
      <w:r>
        <w:rPr>
          <w:rFonts w:ascii="Times New Roman" w:eastAsia="Times New Roman" w:hAnsi="Times New Roman" w:cs="Times New Roman"/>
          <w:color w:val="000000"/>
          <w:spacing w:val="0"/>
          <w:w w:val="100"/>
          <w:position w:val="0"/>
        </w:rPr>
        <w:t xml:space="preserve">2,682.00 </w:t>
      </w:r>
      <w:r>
        <w:rPr>
          <w:color w:val="000000"/>
          <w:spacing w:val="0"/>
          <w:w w:val="100"/>
          <w:position w:val="0"/>
        </w:rPr>
        <w:t>万元向深思普慧进行增资，交易完成后神州数字持有深思普慧股权比例为</w:t>
      </w:r>
      <w:r>
        <w:rPr>
          <w:rFonts w:ascii="Times New Roman" w:eastAsia="Times New Roman" w:hAnsi="Times New Roman" w:cs="Times New Roman"/>
          <w:color w:val="000000"/>
          <w:spacing w:val="0"/>
          <w:w w:val="100"/>
          <w:position w:val="0"/>
        </w:rPr>
        <w:t>20.00%</w:t>
      </w:r>
      <w:r>
        <w:rPr>
          <w:color w:val="000000"/>
          <w:spacing w:val="0"/>
          <w:w w:val="100"/>
          <w:position w:val="0"/>
        </w:rPr>
        <w:t>，并向深思普慧派驻一名董事。</w:t>
      </w:r>
    </w:p>
    <w:p>
      <w:pPr>
        <w:pStyle w:val="Style41"/>
        <w:keepNext/>
        <w:keepLines/>
        <w:widowControl w:val="0"/>
        <w:shd w:val="clear" w:color="auto" w:fill="auto"/>
        <w:bidi w:val="0"/>
        <w:spacing w:before="0" w:after="38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19"/>
      <w:bookmarkEnd w:id="1120"/>
      <w:bookmarkEnd w:id="1122"/>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976"/>
        <w:gridCol w:w="263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天津君联林海企业管理咨询合伙企业（有限合伙）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119,926,789.56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61,689,435.00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北京柘量投资中心（有限合伙）（注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25,786,790.00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39,358,940.00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北京柘益投资中心（有限合伙）（注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8,115,834.00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11,225,837.00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天津神州数码信息科技服务有限公司（注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北京聚源汇鑫科技发展中心（有限合伙）（注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154,829,413.56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113,274,212.00</w:t>
            </w:r>
          </w:p>
        </w:tc>
      </w:tr>
    </w:tbl>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：天津君联林海企业管理咨询合伙企业（有限合伙）为本公司</w:t>
      </w:r>
      <w:r>
        <w:rPr>
          <w:rFonts w:ascii="Times New Roman" w:eastAsia="Times New Roman" w:hAnsi="Times New Roman" w:cs="Times New Roman"/>
          <w:color w:val="000000"/>
          <w:spacing w:val="0"/>
          <w:w w:val="100"/>
          <w:position w:val="0"/>
        </w:rPr>
        <w:t>2016</w:t>
      </w:r>
      <w:r>
        <w:rPr>
          <w:color w:val="000000"/>
          <w:spacing w:val="0"/>
          <w:w w:val="100"/>
          <w:position w:val="0"/>
        </w:rPr>
        <w:t>年新增的投资项目，根据有限合伙协议，本公 司</w:t>
      </w:r>
      <w:r>
        <w:rPr>
          <w:rFonts w:ascii="Times New Roman" w:eastAsia="Times New Roman" w:hAnsi="Times New Roman" w:cs="Times New Roman"/>
          <w:color w:val="000000"/>
          <w:spacing w:val="0"/>
          <w:w w:val="100"/>
          <w:position w:val="0"/>
        </w:rPr>
        <w:t>2016</w:t>
      </w:r>
      <w:r>
        <w:rPr>
          <w:color w:val="000000"/>
          <w:spacing w:val="0"/>
          <w:w w:val="100"/>
          <w:position w:val="0"/>
        </w:rPr>
        <w:t>年缴纳出资额</w:t>
      </w:r>
      <w:r>
        <w:rPr>
          <w:rFonts w:ascii="Times New Roman" w:eastAsia="Times New Roman" w:hAnsi="Times New Roman" w:cs="Times New Roman"/>
          <w:color w:val="000000"/>
          <w:spacing w:val="0"/>
          <w:w w:val="100"/>
          <w:position w:val="0"/>
        </w:rPr>
        <w:t>37,522,500.00</w:t>
      </w:r>
      <w:r>
        <w:rPr>
          <w:color w:val="000000"/>
          <w:spacing w:val="0"/>
          <w:w w:val="100"/>
          <w:position w:val="0"/>
        </w:rPr>
        <w:t>元。本公司为该合伙企业非执行事务的有限合伙人，根据合伙协议，执行事务合伙人对 合伙事务享有全部管理权和支配权，其他合伙人不再执行合伙企业事务，故本公司持股比例虽然超过</w:t>
      </w:r>
      <w:r>
        <w:rPr>
          <w:rFonts w:ascii="Times New Roman" w:eastAsia="Times New Roman" w:hAnsi="Times New Roman" w:cs="Times New Roman"/>
          <w:color w:val="000000"/>
          <w:spacing w:val="0"/>
          <w:w w:val="100"/>
          <w:position w:val="0"/>
        </w:rPr>
        <w:t>20.00%</w:t>
      </w:r>
      <w:r>
        <w:rPr>
          <w:color w:val="000000"/>
          <w:spacing w:val="0"/>
          <w:w w:val="100"/>
          <w:position w:val="0"/>
        </w:rPr>
        <w:t>，但无重大影 响。本年公允价值变动金额为</w:t>
      </w:r>
      <w:r>
        <w:rPr>
          <w:rFonts w:ascii="Times New Roman" w:eastAsia="Times New Roman" w:hAnsi="Times New Roman" w:cs="Times New Roman"/>
          <w:color w:val="000000"/>
          <w:spacing w:val="0"/>
          <w:w w:val="100"/>
          <w:position w:val="0"/>
        </w:rPr>
        <w:t>58,237,354.56</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：北京柘量投资中心（有限合伙）系本公司于</w:t>
      </w:r>
      <w:r>
        <w:rPr>
          <w:rFonts w:ascii="Times New Roman" w:eastAsia="Times New Roman" w:hAnsi="Times New Roman" w:cs="Times New Roman"/>
          <w:color w:val="000000"/>
          <w:spacing w:val="0"/>
          <w:w w:val="100"/>
          <w:position w:val="0"/>
        </w:rPr>
        <w:t>2016</w:t>
      </w:r>
      <w:r>
        <w:rPr>
          <w:color w:val="000000"/>
          <w:spacing w:val="0"/>
          <w:w w:val="100"/>
          <w:position w:val="0"/>
        </w:rPr>
        <w:t>年参与出资设立的有限合伙企业，根据合伙协议，本公司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年缴纳出资</w:t>
      </w:r>
      <w:r>
        <w:rPr>
          <w:rFonts w:ascii="Times New Roman" w:eastAsia="Times New Roman" w:hAnsi="Times New Roman" w:cs="Times New Roman"/>
          <w:color w:val="000000"/>
          <w:spacing w:val="0"/>
          <w:w w:val="100"/>
          <w:position w:val="0"/>
        </w:rPr>
        <w:t>25,000,000.00</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年支付第二期出资款</w:t>
      </w:r>
      <w:r>
        <w:rPr>
          <w:rFonts w:ascii="Times New Roman" w:eastAsia="Times New Roman" w:hAnsi="Times New Roman" w:cs="Times New Roman"/>
          <w:color w:val="000000"/>
          <w:spacing w:val="0"/>
          <w:w w:val="100"/>
          <w:position w:val="0"/>
        </w:rPr>
        <w:t>25,000,000.00</w:t>
      </w:r>
      <w:r>
        <w:rPr>
          <w:color w:val="000000"/>
          <w:spacing w:val="0"/>
          <w:w w:val="100"/>
          <w:position w:val="0"/>
        </w:rPr>
        <w:t>元。本公司为该合伙企业非执行事务的有限合伙人， 根据合伙协议，执行事务合伙人对合伙事务享有全部管理权和支配权，其他合伙人不再执行合伙企业事务，故本公司持股比 例虽然超过</w:t>
      </w:r>
      <w:r>
        <w:rPr>
          <w:rFonts w:ascii="Times New Roman" w:eastAsia="Times New Roman" w:hAnsi="Times New Roman" w:cs="Times New Roman"/>
          <w:color w:val="000000"/>
          <w:spacing w:val="0"/>
          <w:w w:val="100"/>
          <w:position w:val="0"/>
        </w:rPr>
        <w:t>20.00%</w:t>
      </w:r>
      <w:r>
        <w:rPr>
          <w:color w:val="000000"/>
          <w:spacing w:val="0"/>
          <w:w w:val="100"/>
          <w:position w:val="0"/>
        </w:rPr>
        <w:t>，但无重大影响。本年收回投资款</w:t>
      </w:r>
      <w:r>
        <w:rPr>
          <w:rFonts w:ascii="Times New Roman" w:eastAsia="Times New Roman" w:hAnsi="Times New Roman" w:cs="Times New Roman"/>
          <w:color w:val="000000"/>
          <w:spacing w:val="0"/>
          <w:w w:val="100"/>
          <w:position w:val="0"/>
        </w:rPr>
        <w:t>7,913,618.21</w:t>
      </w:r>
      <w:r>
        <w:rPr>
          <w:color w:val="000000"/>
          <w:spacing w:val="0"/>
          <w:w w:val="100"/>
          <w:position w:val="0"/>
        </w:rPr>
        <w:t>元，本年公允价值变动金额为</w:t>
      </w:r>
      <w:r>
        <w:rPr>
          <w:rFonts w:ascii="Times New Roman" w:eastAsia="Times New Roman" w:hAnsi="Times New Roman" w:cs="Times New Roman"/>
          <w:color w:val="000000"/>
          <w:spacing w:val="0"/>
          <w:w w:val="100"/>
          <w:position w:val="0"/>
        </w:rPr>
        <w:t>-5,658,531.79</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：北京柘益投资中心（有限合伙）系本公司于</w:t>
      </w:r>
      <w:r>
        <w:rPr>
          <w:rFonts w:ascii="Times New Roman" w:eastAsia="Times New Roman" w:hAnsi="Times New Roman" w:cs="Times New Roman"/>
          <w:color w:val="000000"/>
          <w:spacing w:val="0"/>
          <w:w w:val="100"/>
          <w:position w:val="0"/>
        </w:rPr>
        <w:t>2014</w:t>
      </w:r>
      <w:r>
        <w:rPr>
          <w:color w:val="000000"/>
          <w:spacing w:val="0"/>
          <w:w w:val="100"/>
          <w:position w:val="0"/>
        </w:rPr>
        <w:t>年参与出资设立的有限合伙企业，根据合伙协议，本公司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年缴纳出资额</w:t>
      </w:r>
      <w:r>
        <w:rPr>
          <w:rFonts w:ascii="Times New Roman" w:eastAsia="Times New Roman" w:hAnsi="Times New Roman" w:cs="Times New Roman"/>
          <w:color w:val="000000"/>
          <w:spacing w:val="0"/>
          <w:w w:val="100"/>
          <w:position w:val="0"/>
        </w:rPr>
        <w:t>25,000,000.00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年支付剩余出资额</w:t>
      </w:r>
      <w:r>
        <w:rPr>
          <w:rFonts w:ascii="Times New Roman" w:eastAsia="Times New Roman" w:hAnsi="Times New Roman" w:cs="Times New Roman"/>
          <w:color w:val="000000"/>
          <w:spacing w:val="0"/>
          <w:w w:val="100"/>
          <w:position w:val="0"/>
        </w:rPr>
        <w:t>25,000,000.00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年收回投资本金</w:t>
      </w:r>
      <w:r>
        <w:rPr>
          <w:rFonts w:ascii="Times New Roman" w:eastAsia="Times New Roman" w:hAnsi="Times New Roman" w:cs="Times New Roman"/>
          <w:color w:val="000000"/>
          <w:spacing w:val="0"/>
          <w:w w:val="100"/>
          <w:position w:val="0"/>
        </w:rPr>
        <w:t>17,100,555.55</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 收回投资本金</w:t>
      </w:r>
      <w:r>
        <w:rPr>
          <w:rFonts w:ascii="Times New Roman" w:eastAsia="Times New Roman" w:hAnsi="Times New Roman" w:cs="Times New Roman"/>
          <w:color w:val="000000"/>
          <w:spacing w:val="0"/>
          <w:w w:val="100"/>
          <w:position w:val="0"/>
        </w:rPr>
        <w:t>7,378,314.09</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年收回投资本金</w:t>
      </w:r>
      <w:r>
        <w:rPr>
          <w:rFonts w:ascii="Times New Roman" w:eastAsia="Times New Roman" w:hAnsi="Times New Roman" w:cs="Times New Roman"/>
          <w:color w:val="000000"/>
          <w:spacing w:val="0"/>
          <w:w w:val="100"/>
          <w:position w:val="0"/>
        </w:rPr>
        <w:t>3,708,933.04</w:t>
      </w:r>
      <w:r>
        <w:rPr>
          <w:color w:val="000000"/>
          <w:spacing w:val="0"/>
          <w:w w:val="100"/>
          <w:position w:val="0"/>
        </w:rPr>
        <w:t xml:space="preserve">元。本公司为该合伙企业非执行事务的有限合伙人，根据 合伙协议，执行事务合伙人对合伙事务享有全部管理权和支配权，其他合伙人不再执行合伙企业事务，本公司持股比例为 </w:t>
      </w:r>
      <w:r>
        <w:rPr>
          <w:rFonts w:ascii="Times New Roman" w:eastAsia="Times New Roman" w:hAnsi="Times New Roman" w:cs="Times New Roman"/>
          <w:color w:val="000000"/>
          <w:spacing w:val="0"/>
          <w:w w:val="100"/>
          <w:position w:val="0"/>
        </w:rPr>
        <w:t>18.52%</w:t>
      </w:r>
      <w:r>
        <w:rPr>
          <w:color w:val="000000"/>
          <w:spacing w:val="0"/>
          <w:w w:val="100"/>
          <w:position w:val="0"/>
        </w:rPr>
        <w:t>，无重大影响。本年收回投资款</w:t>
      </w:r>
      <w:r>
        <w:rPr>
          <w:rFonts w:ascii="Times New Roman" w:eastAsia="Times New Roman" w:hAnsi="Times New Roman" w:cs="Times New Roman"/>
          <w:color w:val="000000"/>
          <w:spacing w:val="0"/>
          <w:w w:val="100"/>
          <w:position w:val="0"/>
        </w:rPr>
        <w:t>1,851,851.85</w:t>
      </w:r>
      <w:r>
        <w:rPr>
          <w:color w:val="000000"/>
          <w:spacing w:val="0"/>
          <w:w w:val="100"/>
          <w:position w:val="0"/>
        </w:rPr>
        <w:t>元，本年公允价值变动金额</w:t>
      </w:r>
      <w:r>
        <w:rPr>
          <w:rFonts w:ascii="Times New Roman" w:eastAsia="Times New Roman" w:hAnsi="Times New Roman" w:cs="Times New Roman"/>
          <w:color w:val="000000"/>
          <w:spacing w:val="0"/>
          <w:w w:val="100"/>
          <w:position w:val="0"/>
        </w:rPr>
        <w:t>-1,258,151.15</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：天津神州数码信息科技服务有限公司系本公司之子公司神州数码系统集成服务有限公司在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月设立的全 资子公司，同年</w:t>
      </w:r>
      <w:r>
        <w:rPr>
          <w:rFonts w:ascii="Times New Roman" w:eastAsia="Times New Roman" w:hAnsi="Times New Roman" w:cs="Times New Roman"/>
          <w:color w:val="000000"/>
          <w:spacing w:val="0"/>
          <w:w w:val="100"/>
          <w:position w:val="0"/>
        </w:rPr>
        <w:t>12</w:t>
      </w:r>
      <w:r>
        <w:rPr>
          <w:color w:val="000000"/>
          <w:spacing w:val="0"/>
          <w:w w:val="100"/>
          <w:position w:val="0"/>
        </w:rPr>
        <w:t>月，将其持有的</w:t>
      </w:r>
      <w:r>
        <w:rPr>
          <w:rFonts w:ascii="Times New Roman" w:eastAsia="Times New Roman" w:hAnsi="Times New Roman" w:cs="Times New Roman"/>
          <w:color w:val="000000"/>
          <w:spacing w:val="0"/>
          <w:w w:val="100"/>
          <w:position w:val="0"/>
        </w:rPr>
        <w:t>90.00%</w:t>
      </w:r>
      <w:r>
        <w:rPr>
          <w:color w:val="000000"/>
          <w:spacing w:val="0"/>
          <w:w w:val="100"/>
          <w:position w:val="0"/>
        </w:rPr>
        <w:t>股权进行了处置。</w:t>
      </w:r>
    </w:p>
    <w:p>
      <w:pPr>
        <w:pStyle w:val="Style3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：北京聚源汇鑫科技发展中心（有限合伙）系本公司之子公司神州数码系统集成服务有限公司于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年度参与出</w:t>
      </w:r>
      <w:r>
        <w:br w:type="page"/>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资设立的有限合伙企业，根据合伙协议，全体合伙人委托合伙人北京金誉世邦咨询顾问有限公司为执行事务合伙人，其他合 伙人不再执行合伙企业事务，本公司对其不具有重大影响。</w:t>
      </w:r>
    </w:p>
    <w:p>
      <w:pPr>
        <w:pStyle w:val="Style41"/>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23"/>
      <w:bookmarkEnd w:id="1124"/>
      <w:bookmarkEnd w:id="1126"/>
    </w:p>
    <w:p>
      <w:pPr>
        <w:pStyle w:val="Style41"/>
        <w:keepNext/>
        <w:keepLines/>
        <w:widowControl w:val="0"/>
        <w:numPr>
          <w:ilvl w:val="0"/>
          <w:numId w:val="31"/>
        </w:numPr>
        <w:shd w:val="clear" w:color="auto" w:fill="auto"/>
        <w:bidi w:val="0"/>
        <w:spacing w:before="0" w:after="380" w:line="240" w:lineRule="auto"/>
        <w:ind w:left="0" w:right="0" w:firstLine="0"/>
        <w:jc w:val="left"/>
      </w:pPr>
      <w:bookmarkStart w:id="1123" w:name="bookmark1123"/>
      <w:bookmarkStart w:id="1124" w:name="bookmark1124"/>
      <w:bookmarkStart w:id="1127" w:name="bookmark1127"/>
      <w:bookmarkStart w:id="1128" w:name="bookmark1128"/>
      <w:bookmarkEnd w:id="1127"/>
      <w:r>
        <w:rPr>
          <w:color w:val="000000"/>
          <w:spacing w:val="0"/>
          <w:w w:val="100"/>
          <w:position w:val="0"/>
        </w:rPr>
        <w:t>采用成本计量模式的投资性房地产</w:t>
      </w:r>
      <w:bookmarkEnd w:id="1123"/>
      <w:bookmarkEnd w:id="1124"/>
      <w:bookmarkEnd w:id="1128"/>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843"/>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16,508,919.88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16,508,919.88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16,508,919.88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16,508,919.88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2,507,292.21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2,507,292.21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2,878,742.89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2,878,742.89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13,630,176.99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13,630,176.99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14,001,627.67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14,001,627.67</w:t>
            </w:r>
          </w:p>
        </w:tc>
      </w:tr>
    </w:tbl>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注:年末投资性房地产为本公司之子公司神州数码系统集成服务有限公司向神州数码融信云技术服务有限公司出租的办公房 屋，房屋租赁合同起止日期为2017年6月29日至2025年7月1日，租赁期限为8年。投资性房地产采用成本计量模式。</w:t>
      </w:r>
    </w:p>
    <w:p>
      <w:pPr>
        <w:widowControl w:val="0"/>
        <w:spacing w:after="379" w:line="1" w:lineRule="exact"/>
      </w:pPr>
    </w:p>
    <w:p>
      <w:pPr>
        <w:pStyle w:val="Style41"/>
        <w:keepNext/>
        <w:keepLines/>
        <w:widowControl w:val="0"/>
        <w:numPr>
          <w:ilvl w:val="0"/>
          <w:numId w:val="31"/>
        </w:numPr>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采用公允价值计量模式的投资性房地产</w:t>
      </w:r>
      <w:bookmarkEnd w:id="1129"/>
      <w:bookmarkEnd w:id="1130"/>
      <w:bookmarkEnd w:id="1132"/>
    </w:p>
    <w:p>
      <w:pPr>
        <w:pStyle w:val="Style37"/>
        <w:keepNext w:val="0"/>
        <w:keepLines w:val="0"/>
        <w:widowControl w:val="0"/>
        <w:shd w:val="clear" w:color="auto" w:fill="auto"/>
        <w:bidi w:val="0"/>
        <w:spacing w:before="0" w:after="380" w:line="35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33"/>
      <w:bookmarkEnd w:id="1134"/>
      <w:bookmarkEnd w:id="1136"/>
    </w:p>
    <w:p>
      <w:pPr>
        <w:pStyle w:val="Style41"/>
        <w:keepNext/>
        <w:keepLines/>
        <w:widowControl w:val="0"/>
        <w:numPr>
          <w:ilvl w:val="0"/>
          <w:numId w:val="33"/>
        </w:numPr>
        <w:shd w:val="clear" w:color="auto" w:fill="auto"/>
        <w:bidi w:val="0"/>
        <w:spacing w:before="0" w:after="380" w:line="240" w:lineRule="auto"/>
        <w:ind w:left="0" w:right="0" w:firstLine="0"/>
        <w:jc w:val="left"/>
      </w:pPr>
      <w:bookmarkStart w:id="1133" w:name="bookmark1133"/>
      <w:bookmarkStart w:id="1134" w:name="bookmark1134"/>
      <w:bookmarkStart w:id="1137" w:name="bookmark1137"/>
      <w:bookmarkStart w:id="1138" w:name="bookmark1138"/>
      <w:bookmarkEnd w:id="1137"/>
      <w:r>
        <w:rPr>
          <w:color w:val="000000"/>
          <w:spacing w:val="0"/>
          <w:w w:val="100"/>
          <w:position w:val="0"/>
        </w:rPr>
        <w:t>固定资产情况</w:t>
      </w:r>
      <w:bookmarkEnd w:id="1133"/>
      <w:bookmarkEnd w:id="1134"/>
      <w:bookmarkEnd w:id="113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421"/>
        <w:gridCol w:w="1560"/>
        <w:gridCol w:w="1411"/>
        <w:gridCol w:w="1594"/>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运输设备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429,081,394.11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150,159,216.81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3,391,610.84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93,282,677.26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675,914,899.02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13,521,961.25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13,521,961.25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13,147,960.66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13,147,960.66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378,431.06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378,431.06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12,125,548.53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143,998.86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7,285,375.44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19,554,922.83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12,125,548.53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5,756,602.43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17,882,150.96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143,998.86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1,528,773.01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1,672,771.87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429,081,394.11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138,033,668.28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3,247,611.98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99,519,263.07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669,881,937.44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33,990,393.62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90,222,452.07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3,050,467.40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53,212,623.66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180,475,936.75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9,702,398.46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28,836,678.61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163,470.99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10,739,212.03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49,441,760.09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9,702,398.46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28,836,678.61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163,470.99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10,472,269.77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49,174,817.83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267,260.22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267,260.22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10,927,987.19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136,708.11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6,099,622.11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17,164,317.41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10,927,987.19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5,307,400.26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16,235,387.45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136,708.11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792,221.85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928,929.96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43,692,792.08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108,131,143.49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3,077,230.28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57,852,213.58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212,753,379.43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3,969,907.68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756,433.27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4,726,340.95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654,107.39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655,696.61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654,107.39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655,696.61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3,315,800.29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754,844.05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4,070,644.34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385,388,602.03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26,586,724.50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170,381.70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40,912,205.44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453,057,913.67</w:t>
            </w:r>
          </w:p>
        </w:tc>
      </w:tr>
    </w:tbl>
    <w:p>
      <w:pPr>
        <w:spacing w:lineRule="exact" w:line="1"/>
        <w:rPr>
          <w:sz w:val="2"/>
          <w:szCs w:val="2"/>
        </w:rPr>
      </w:pPr>
      <w:r>
        <w:br w:type="page"/>
      </w:r>
    </w:p>
    <w:tbl>
      <w:tblPr>
        <w:tblOverlap w:val="never"/>
        <w:jc w:val="center"/>
        <w:tblLayout w:type="fixed"/>
      </w:tblPr>
      <w:tblGrid>
        <w:gridCol w:w="1987"/>
        <w:gridCol w:w="1421"/>
        <w:gridCol w:w="1560"/>
        <w:gridCol w:w="1411"/>
        <w:gridCol w:w="1594"/>
        <w:gridCol w:w="160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395,091,000.49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55,966,857.06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341,143.44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39,313,620.33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490,712,621.32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39"/>
      <w:bookmarkEnd w:id="1140"/>
      <w:bookmarkEnd w:id="1142"/>
    </w:p>
    <w:p>
      <w:pPr>
        <w:pStyle w:val="Style41"/>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39"/>
      <w:bookmarkEnd w:id="1140"/>
      <w:bookmarkEnd w:id="1143"/>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16"/>
        <w:gridCol w:w="1421"/>
        <w:gridCol w:w="1411"/>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非专利技术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both"/>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30,642,364.41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4,435,406.95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196,510,977.15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232,288,748.51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67,471,960.34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68,121,960.34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17,477,361.54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18,127,361.54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40,999,347.00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40,999,347.00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8,995,251.80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8,995,251.80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768,454.57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768,454.57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737,658.11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737,658.11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30,796.46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30,642,364.41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5,085,406.95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263,214,482.92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299,642,254.28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2,423,385.64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700,423.66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406,016.69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121,437,869.04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124,967,695.03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646,236.17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43,041,917.55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43,788,153.72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646,236.17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40,947,722.82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41,693,958.99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2,094,194.73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2,094,194.73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740,224.49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740,224.49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737,658.11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737,658.11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3,069,621.81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765,423.66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441,016.69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163,739,562.10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168,015,624.26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65,933.34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67,239.61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65,933.34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67,239.61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416"/>
        <w:gridCol w:w="1421"/>
        <w:gridCol w:w="1411"/>
        <w:gridCol w:w="1594"/>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27,572,742.60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4,318,677.02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258,983.31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99,408,987.48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131,559,390.41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28,218,978.77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3,733,677.02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293,983.31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75,007,174.77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107,253,813.87</w:t>
            </w:r>
          </w:p>
        </w:tc>
      </w:tr>
    </w:tbl>
    <w:p>
      <w:pPr>
        <w:widowControl w:val="0"/>
        <w:spacing w:after="79" w:line="1" w:lineRule="exact"/>
      </w:pP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52.17%</w:t>
      </w:r>
      <w:r>
        <w:rPr>
          <w:color w:val="000000"/>
          <w:spacing w:val="0"/>
          <w:w w:val="100"/>
          <w:position w:val="0"/>
        </w:rPr>
        <w:t>。</w:t>
      </w:r>
    </w:p>
    <w:p>
      <w:pPr>
        <w:pStyle w:val="Style41"/>
        <w:keepNext/>
        <w:keepLines/>
        <w:widowControl w:val="0"/>
        <w:shd w:val="clear" w:color="auto" w:fill="auto"/>
        <w:bidi w:val="0"/>
        <w:spacing w:before="0" w:after="38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44"/>
      <w:bookmarkEnd w:id="1145"/>
      <w:bookmarkEnd w:id="1147"/>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1133"/>
        <w:gridCol w:w="1277"/>
        <w:gridCol w:w="566"/>
        <w:gridCol w:w="1277"/>
        <w:gridCol w:w="1416"/>
        <w:gridCol w:w="1277"/>
        <w:gridCol w:w="12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合并范围变化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金融科技领域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41,971,906.35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36,336,155.92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2,633,915.54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40,999,347.00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1,501,514.56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38,441,116.25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148"/>
      <w:bookmarkEnd w:id="1149"/>
      <w:bookmarkEnd w:id="1151"/>
    </w:p>
    <w:p>
      <w:pPr>
        <w:pStyle w:val="Style41"/>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48"/>
      <w:bookmarkEnd w:id="1149"/>
      <w:bookmarkEnd w:id="1152"/>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1704"/>
        <w:gridCol w:w="1982"/>
        <w:gridCol w:w="1843"/>
        <w:gridCol w:w="1997"/>
      </w:tblGrid>
      <w:tr>
        <w:trPr>
          <w:trHeight w:val="80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被投资单位名称或形成 商誉的事项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本年企业合并形成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神州数码金信科技股份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193,671,128.85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193,671,128.85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646,012,991.72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646,012,991.72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北京旗硕基业科技股份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19,823,884.02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19,823,884.02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872,376,988.38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872,376,988.38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西安远景信息技术有限 公司（注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5,918,679.91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5,918,679.91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神州土地（北京）信息技 术有限公司（注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59,673,000.70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59,673,000.70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北京云核网络技术有限 公司（注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20,833,213.26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20,833,213.26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1,797,476,673.58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20,833,213.26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1,818,309,886.84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53"/>
      <w:bookmarkEnd w:id="1154"/>
      <w:bookmarkEnd w:id="1156"/>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126"/>
        <w:gridCol w:w="1704"/>
        <w:gridCol w:w="1555"/>
        <w:gridCol w:w="1997"/>
      </w:tblGrid>
      <w:tr>
        <w:trPr>
          <w:trHeight w:val="81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被投资单位名称或形成 商誉的事项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神州数码金信科技股份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193,671,128.85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193,671,128.85</w:t>
            </w:r>
          </w:p>
        </w:tc>
      </w:tr>
    </w:tbl>
    <w:tbl>
      <w:tblPr>
        <w:tblOverlap w:val="never"/>
        <w:jc w:val="center"/>
        <w:tblLayout w:type="fixed"/>
      </w:tblPr>
      <w:tblGrid>
        <w:gridCol w:w="1987"/>
        <w:gridCol w:w="2126"/>
        <w:gridCol w:w="1704"/>
        <w:gridCol w:w="1555"/>
        <w:gridCol w:w="19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119,441,363.36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119,441,363.36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193,671,128.85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119,441,363.36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313,112,492.21</w:t>
            </w:r>
          </w:p>
        </w:tc>
      </w:tr>
    </w:tbl>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：该商誉为神州数码融信软件有限公司于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年非同一控制收购神州数码金信科技股份有限公司股权产生，合并对 价</w:t>
      </w:r>
      <w:r>
        <w:rPr>
          <w:rFonts w:ascii="Times New Roman" w:eastAsia="Times New Roman" w:hAnsi="Times New Roman" w:cs="Times New Roman"/>
          <w:color w:val="000000"/>
          <w:spacing w:val="0"/>
          <w:w w:val="100"/>
          <w:position w:val="0"/>
        </w:rPr>
        <w:t>308,980,000.00</w:t>
      </w:r>
      <w:r>
        <w:rPr>
          <w:color w:val="000000"/>
          <w:spacing w:val="0"/>
          <w:w w:val="100"/>
          <w:position w:val="0"/>
        </w:rPr>
        <w:t>元，合并日神州数码融信软件有限公司应享有的被购买方可辨认净资产公允价值为</w:t>
      </w:r>
      <w:r>
        <w:rPr>
          <w:rFonts w:ascii="Times New Roman" w:eastAsia="Times New Roman" w:hAnsi="Times New Roman" w:cs="Times New Roman"/>
          <w:color w:val="000000"/>
          <w:spacing w:val="0"/>
          <w:w w:val="100"/>
          <w:position w:val="0"/>
        </w:rPr>
        <w:t>115,308,871.15</w:t>
      </w:r>
      <w:r>
        <w:rPr>
          <w:color w:val="000000"/>
          <w:spacing w:val="0"/>
          <w:w w:val="100"/>
          <w:position w:val="0"/>
        </w:rPr>
        <w:t xml:space="preserve">元，差额 </w:t>
      </w:r>
      <w:r>
        <w:rPr>
          <w:rFonts w:ascii="Times New Roman" w:eastAsia="Times New Roman" w:hAnsi="Times New Roman" w:cs="Times New Roman"/>
          <w:color w:val="000000"/>
          <w:spacing w:val="0"/>
          <w:w w:val="100"/>
          <w:position w:val="0"/>
        </w:rPr>
        <w:t>193,671,128.85</w:t>
      </w:r>
      <w:r>
        <w:rPr>
          <w:color w:val="000000"/>
          <w:spacing w:val="0"/>
          <w:w w:val="100"/>
          <w:position w:val="0"/>
        </w:rPr>
        <w:t>元计入商誉。</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月，神州信息之子公司神州数码系统集成服务有限公司与神州数码融信软件有限公司 签订股权转让协议，以</w:t>
      </w:r>
      <w:r>
        <w:rPr>
          <w:rFonts w:ascii="Times New Roman" w:eastAsia="Times New Roman" w:hAnsi="Times New Roman" w:cs="Times New Roman"/>
          <w:color w:val="000000"/>
          <w:spacing w:val="0"/>
          <w:w w:val="100"/>
          <w:position w:val="0"/>
        </w:rPr>
        <w:t>308,980,000.00</w:t>
      </w:r>
      <w:r>
        <w:rPr>
          <w:color w:val="000000"/>
          <w:spacing w:val="0"/>
          <w:w w:val="100"/>
          <w:position w:val="0"/>
        </w:rPr>
        <w:t>元的对价购买神州数码金信科技股份有限公司的全部股权。</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神州数码金信科技股份有限公司以</w:t>
      </w:r>
      <w:r>
        <w:rPr>
          <w:rFonts w:ascii="Times New Roman" w:eastAsia="Times New Roman" w:hAnsi="Times New Roman" w:cs="Times New Roman"/>
          <w:color w:val="000000"/>
          <w:spacing w:val="0"/>
          <w:w w:val="100"/>
          <w:position w:val="0"/>
        </w:rPr>
        <w:t>ATM</w:t>
      </w:r>
      <w:r>
        <w:rPr>
          <w:color w:val="000000"/>
          <w:spacing w:val="0"/>
          <w:w w:val="100"/>
          <w:position w:val="0"/>
        </w:rPr>
        <w:t>机销售及相关服务为主营业务，受宏观经济、行业环境、技术环境等因素影响， 在移动支付普及并广泛使用下受到较大冲击，</w:t>
      </w:r>
      <w:r>
        <w:rPr>
          <w:rFonts w:ascii="Times New Roman" w:eastAsia="Times New Roman" w:hAnsi="Times New Roman" w:cs="Times New Roman"/>
          <w:color w:val="000000"/>
          <w:spacing w:val="0"/>
          <w:w w:val="100"/>
          <w:position w:val="0"/>
        </w:rPr>
        <w:t>2018</w:t>
      </w:r>
      <w:r>
        <w:rPr>
          <w:color w:val="000000"/>
          <w:spacing w:val="0"/>
          <w:w w:val="100"/>
          <w:position w:val="0"/>
        </w:rPr>
        <w:t>年经营业绩亏损</w:t>
      </w:r>
      <w:r>
        <w:rPr>
          <w:rFonts w:ascii="Times New Roman" w:eastAsia="Times New Roman" w:hAnsi="Times New Roman" w:cs="Times New Roman"/>
          <w:color w:val="000000"/>
          <w:spacing w:val="0"/>
          <w:w w:val="100"/>
          <w:position w:val="0"/>
        </w:rPr>
        <w:t>240,027,256.89</w:t>
      </w:r>
      <w:r>
        <w:rPr>
          <w:color w:val="000000"/>
          <w:spacing w:val="0"/>
          <w:w w:val="100"/>
          <w:position w:val="0"/>
        </w:rPr>
        <w:t>元。本公司拟关闭</w:t>
      </w:r>
      <w:r>
        <w:rPr>
          <w:rFonts w:ascii="Times New Roman" w:eastAsia="Times New Roman" w:hAnsi="Times New Roman" w:cs="Times New Roman"/>
          <w:color w:val="000000"/>
          <w:spacing w:val="0"/>
          <w:w w:val="100"/>
          <w:position w:val="0"/>
        </w:rPr>
        <w:t>ATM</w:t>
      </w:r>
      <w:r>
        <w:rPr>
          <w:color w:val="000000"/>
          <w:spacing w:val="0"/>
          <w:w w:val="100"/>
          <w:position w:val="0"/>
        </w:rPr>
        <w:t>机相关业务，相关 资产组未来现金流现值仅为账面资产的可收回金额。故本公司于</w:t>
      </w:r>
      <w:r>
        <w:rPr>
          <w:rFonts w:ascii="Times New Roman" w:eastAsia="Times New Roman" w:hAnsi="Times New Roman" w:cs="Times New Roman"/>
          <w:color w:val="000000"/>
          <w:spacing w:val="0"/>
          <w:w w:val="100"/>
          <w:position w:val="0"/>
        </w:rPr>
        <w:t>2018</w:t>
      </w:r>
      <w:r>
        <w:rPr>
          <w:color w:val="000000"/>
          <w:spacing w:val="0"/>
          <w:w w:val="100"/>
          <w:position w:val="0"/>
        </w:rPr>
        <w:t>年对因收购神州数码金信科技股份有限公司产生的商誉 全额计提减值准备</w:t>
      </w:r>
      <w:r>
        <w:rPr>
          <w:rFonts w:ascii="Times New Roman" w:eastAsia="Times New Roman" w:hAnsi="Times New Roman" w:cs="Times New Roman"/>
          <w:color w:val="000000"/>
          <w:spacing w:val="0"/>
          <w:w w:val="100"/>
          <w:position w:val="0"/>
        </w:rPr>
        <w:t>193,671,128.85</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：该商誉为本公司于</w:t>
      </w:r>
      <w:r>
        <w:rPr>
          <w:rFonts w:ascii="Times New Roman" w:eastAsia="Times New Roman" w:hAnsi="Times New Roman" w:cs="Times New Roman"/>
          <w:color w:val="000000"/>
          <w:spacing w:val="0"/>
          <w:w w:val="100"/>
          <w:position w:val="0"/>
        </w:rPr>
        <w:t>2014</w:t>
      </w:r>
      <w:r>
        <w:rPr>
          <w:color w:val="000000"/>
          <w:spacing w:val="0"/>
          <w:w w:val="100"/>
          <w:position w:val="0"/>
        </w:rPr>
        <w:t>年（购买日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日）非同一控制下收购中农信达</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股权产生，合并对价 </w:t>
      </w:r>
      <w:r>
        <w:rPr>
          <w:rFonts w:ascii="Times New Roman" w:eastAsia="Times New Roman" w:hAnsi="Times New Roman" w:cs="Times New Roman"/>
          <w:color w:val="000000"/>
          <w:spacing w:val="0"/>
          <w:w w:val="100"/>
          <w:position w:val="0"/>
        </w:rPr>
        <w:t>710,000,000.00</w:t>
      </w:r>
      <w:r>
        <w:rPr>
          <w:color w:val="000000"/>
          <w:spacing w:val="0"/>
          <w:w w:val="100"/>
          <w:position w:val="0"/>
        </w:rPr>
        <w:t>元，合并日中农信达可辨认净资产公允价值为</w:t>
      </w:r>
      <w:r>
        <w:rPr>
          <w:rFonts w:ascii="Times New Roman" w:eastAsia="Times New Roman" w:hAnsi="Times New Roman" w:cs="Times New Roman"/>
          <w:color w:val="000000"/>
          <w:spacing w:val="0"/>
          <w:w w:val="100"/>
          <w:position w:val="0"/>
        </w:rPr>
        <w:t>63,987,008.28</w:t>
      </w:r>
      <w:r>
        <w:rPr>
          <w:color w:val="000000"/>
          <w:spacing w:val="0"/>
          <w:w w:val="100"/>
          <w:position w:val="0"/>
        </w:rPr>
        <w:t>元，差额</w:t>
      </w:r>
      <w:r>
        <w:rPr>
          <w:rFonts w:ascii="Times New Roman" w:eastAsia="Times New Roman" w:hAnsi="Times New Roman" w:cs="Times New Roman"/>
          <w:color w:val="000000"/>
          <w:spacing w:val="0"/>
          <w:w w:val="100"/>
          <w:position w:val="0"/>
        </w:rPr>
        <w:t>646,012,991.7</w:t>
      </w:r>
      <w:r>
        <w:rPr>
          <w:rFonts w:ascii="Times New Roman" w:eastAsia="Times New Roman" w:hAnsi="Times New Roman" w:cs="Times New Roman"/>
          <w:color w:val="000000"/>
          <w:spacing w:val="0"/>
          <w:w w:val="100"/>
          <w:position w:val="0"/>
        </w:rPr>
        <w:t>2</w:t>
      </w:r>
      <w:r>
        <w:rPr>
          <w:color w:val="000000"/>
          <w:spacing w:val="0"/>
          <w:w w:val="100"/>
          <w:position w:val="0"/>
        </w:rPr>
        <w:t>元计入商誉。</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本公司管理层对因收购中农信达产生的商誉进行减值测试，考虑中农信达主营业务明确并且单一，同时其主营业务或 产品直接与市场衔接，由市场定价，符合资产组的相关要件，同时企业内不再存在其他与中农信达相同条件的经营业务，因 此将中农信达认定为一个资产组，并以该资产组为基础进行商誉的减值测试。本公司采用收益法对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 来预计产生的现金流量现值进行估算，依据中农信达管理层制定的未来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13.15%</w:t>
      </w:r>
      <w:r>
        <w:rPr>
          <w:color w:val="000000"/>
          <w:spacing w:val="0"/>
          <w:w w:val="100"/>
          <w:position w:val="0"/>
        </w:rPr>
        <w:t>税前折现率预计未来现金流量 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年财务预算之后年份的现金流量均保持稳定。对中农信达预计未来现金流量现值的计算采用了管理层根据历史 经验及对未来市场发展的预测确定的预算毛利率及</w:t>
      </w:r>
      <w:r>
        <w:rPr>
          <w:rFonts w:ascii="Times New Roman" w:eastAsia="Times New Roman" w:hAnsi="Times New Roman" w:cs="Times New Roman"/>
          <w:color w:val="000000"/>
          <w:spacing w:val="0"/>
          <w:w w:val="100"/>
          <w:position w:val="0"/>
        </w:rPr>
        <w:t>2.30%-53.76%</w:t>
      </w:r>
      <w:r>
        <w:rPr>
          <w:color w:val="000000"/>
          <w:spacing w:val="0"/>
          <w:w w:val="100"/>
          <w:position w:val="0"/>
        </w:rPr>
        <w:t>的营业收入增长率作为关键假设，确定依据是预算期间之前 的历史情况及对市场发展的预测。同时，本公司聘请的北京中同华资产评估有限公司于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月出具了中同华评报字</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010240</w:t>
      </w:r>
      <w:r>
        <w:rPr>
          <w:color w:val="000000"/>
          <w:spacing w:val="0"/>
          <w:w w:val="100"/>
          <w:position w:val="0"/>
        </w:rPr>
        <w:t>号《神州数码信息服务股份有限公司拟进行商誉减值测试涉及的因并购北京中农信达信息技术有限公司形成的与商 誉相关资产组评估项目资产评估报告》。根据上述评估报告，本公司计提商誉减值准备</w:t>
      </w:r>
      <w:r>
        <w:rPr>
          <w:rFonts w:ascii="Times New Roman" w:eastAsia="Times New Roman" w:hAnsi="Times New Roman" w:cs="Times New Roman"/>
          <w:color w:val="000000"/>
          <w:spacing w:val="0"/>
          <w:w w:val="100"/>
          <w:position w:val="0"/>
        </w:rPr>
        <w:t>119,441,363.36</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：该商誉为</w:t>
      </w:r>
      <w:r>
        <w:rPr>
          <w:rFonts w:ascii="Times New Roman" w:eastAsia="Times New Roman" w:hAnsi="Times New Roman" w:cs="Times New Roman"/>
          <w:color w:val="000000"/>
          <w:spacing w:val="0"/>
          <w:w w:val="100"/>
          <w:position w:val="0"/>
        </w:rPr>
        <w:t>2016</w:t>
      </w:r>
      <w:r>
        <w:rPr>
          <w:color w:val="000000"/>
          <w:spacing w:val="0"/>
          <w:w w:val="100"/>
          <w:position w:val="0"/>
        </w:rPr>
        <w:t>年（购买日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日）中农信达非同一控制下收购北京旗硕基业科技股份有限公司</w:t>
      </w:r>
      <w:r>
        <w:rPr>
          <w:rFonts w:ascii="Times New Roman" w:eastAsia="Times New Roman" w:hAnsi="Times New Roman" w:cs="Times New Roman"/>
          <w:color w:val="000000"/>
          <w:spacing w:val="0"/>
          <w:w w:val="100"/>
          <w:position w:val="0"/>
        </w:rPr>
        <w:t>40.81%</w:t>
      </w:r>
      <w:r>
        <w:rPr>
          <w:color w:val="000000"/>
          <w:spacing w:val="0"/>
          <w:w w:val="100"/>
          <w:position w:val="0"/>
        </w:rPr>
        <w:t>股 权产生，合并对价</w:t>
      </w:r>
      <w:r>
        <w:rPr>
          <w:rFonts w:ascii="Times New Roman" w:eastAsia="Times New Roman" w:hAnsi="Times New Roman" w:cs="Times New Roman"/>
          <w:color w:val="000000"/>
          <w:spacing w:val="0"/>
          <w:w w:val="100"/>
          <w:position w:val="0"/>
        </w:rPr>
        <w:t>28,635,631.00</w:t>
      </w:r>
      <w:r>
        <w:rPr>
          <w:color w:val="000000"/>
          <w:spacing w:val="0"/>
          <w:w w:val="100"/>
          <w:position w:val="0"/>
        </w:rPr>
        <w:t>元，合并日北京旗硕基业科技股份有限公司的可辨认净资产公允价值为</w:t>
      </w:r>
      <w:r>
        <w:rPr>
          <w:rFonts w:ascii="Times New Roman" w:eastAsia="Times New Roman" w:hAnsi="Times New Roman" w:cs="Times New Roman"/>
          <w:color w:val="000000"/>
          <w:spacing w:val="0"/>
          <w:w w:val="100"/>
          <w:position w:val="0"/>
        </w:rPr>
        <w:t>21,592,603.07</w:t>
      </w:r>
      <w:r>
        <w:rPr>
          <w:color w:val="000000"/>
          <w:spacing w:val="0"/>
          <w:w w:val="100"/>
          <w:position w:val="0"/>
        </w:rPr>
        <w:t>元，合 并对价与应享有的北京旗硕基业科技股份有限公司的可辨认净资产公允价值</w:t>
      </w:r>
      <w:r>
        <w:rPr>
          <w:rFonts w:ascii="Times New Roman" w:eastAsia="Times New Roman" w:hAnsi="Times New Roman" w:cs="Times New Roman"/>
          <w:color w:val="000000"/>
          <w:spacing w:val="0"/>
          <w:w w:val="100"/>
          <w:position w:val="0"/>
        </w:rPr>
        <w:t>8,811,746.98</w:t>
      </w:r>
      <w:r>
        <w:rPr>
          <w:color w:val="000000"/>
          <w:spacing w:val="0"/>
          <w:w w:val="100"/>
          <w:position w:val="0"/>
        </w:rPr>
        <w:t>元的差额</w:t>
      </w:r>
      <w:r>
        <w:rPr>
          <w:rFonts w:ascii="Times New Roman" w:eastAsia="Times New Roman" w:hAnsi="Times New Roman" w:cs="Times New Roman"/>
          <w:color w:val="000000"/>
          <w:spacing w:val="0"/>
          <w:w w:val="100"/>
          <w:position w:val="0"/>
        </w:rPr>
        <w:t>19,823,884.02</w:t>
      </w:r>
      <w:r>
        <w:rPr>
          <w:color w:val="000000"/>
          <w:spacing w:val="0"/>
          <w:w w:val="100"/>
          <w:position w:val="0"/>
        </w:rPr>
        <w:t>元计入商誉。</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本公司管理层对因收购北京旗硕基业科技股份有限公司产生的商誉进行减值测试，考虑北京旗硕基业科技股份有限公 司主营业务明确并且单一，同时其主营业务或产品直接与市场衔接，由市场定价，符合资产组的相关要件，同时企业内不再 存在其他与北京旗硕基业科技股份有限公司相同条件的经营业务，因此将北京旗硕基业科技股份有限公司认定为一个资产 组，并以该资产组为基础进行商誉的减值测试。本公司采用收益法对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 行估算，依据北京旗硕基业科技股份有限公司管理层制定的未来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12.56%</w:t>
      </w:r>
      <w:r>
        <w:rPr>
          <w:color w:val="000000"/>
          <w:spacing w:val="0"/>
          <w:w w:val="100"/>
          <w:position w:val="0"/>
        </w:rPr>
        <w:t>税前折现率预计未来现金流量现值， 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年财务预算之后年份的现金流量均保持稳定。对北京旗硕基业科技股份有限公司预计未来现金流量现值的计算采用了 管理层根据历史经验及对未来市场发展的预测确定的预算毛利率及</w:t>
      </w:r>
      <w:r>
        <w:rPr>
          <w:rFonts w:ascii="Times New Roman" w:eastAsia="Times New Roman" w:hAnsi="Times New Roman" w:cs="Times New Roman"/>
          <w:color w:val="000000"/>
          <w:spacing w:val="0"/>
          <w:w w:val="100"/>
          <w:position w:val="0"/>
        </w:rPr>
        <w:t>2.50%-58.47%</w:t>
      </w:r>
      <w:r>
        <w:rPr>
          <w:color w:val="000000"/>
          <w:spacing w:val="0"/>
          <w:w w:val="100"/>
          <w:position w:val="0"/>
        </w:rPr>
        <w:t>的营业收入增长率作为关键假设，确定依据 是预算期间之前的历史情况及对市场发展的预测。减值测试后，未发现商誉需要计提减值的情况。</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：该商誉为本公司</w:t>
      </w:r>
      <w:r>
        <w:rPr>
          <w:rFonts w:ascii="Times New Roman" w:eastAsia="Times New Roman" w:hAnsi="Times New Roman" w:cs="Times New Roman"/>
          <w:color w:val="000000"/>
          <w:spacing w:val="0"/>
          <w:w w:val="100"/>
          <w:position w:val="0"/>
        </w:rPr>
        <w:t>2016</w:t>
      </w:r>
      <w:r>
        <w:rPr>
          <w:color w:val="000000"/>
          <w:spacing w:val="0"/>
          <w:w w:val="100"/>
          <w:position w:val="0"/>
        </w:rPr>
        <w:t>年（购买日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日）非同一控制下收购华苏科技</w:t>
      </w:r>
      <w:r>
        <w:rPr>
          <w:rFonts w:ascii="Times New Roman" w:eastAsia="Times New Roman" w:hAnsi="Times New Roman" w:cs="Times New Roman"/>
          <w:color w:val="000000"/>
          <w:spacing w:val="0"/>
          <w:w w:val="100"/>
          <w:position w:val="0"/>
        </w:rPr>
        <w:t>98.60%</w:t>
      </w:r>
      <w:r>
        <w:rPr>
          <w:color w:val="000000"/>
          <w:spacing w:val="0"/>
          <w:w w:val="100"/>
          <w:position w:val="0"/>
        </w:rPr>
        <w:t xml:space="preserve">股权产生，合并对价 </w:t>
      </w:r>
      <w:r>
        <w:rPr>
          <w:rFonts w:ascii="Times New Roman" w:eastAsia="Times New Roman" w:hAnsi="Times New Roman" w:cs="Times New Roman"/>
          <w:color w:val="000000"/>
          <w:spacing w:val="0"/>
          <w:w w:val="100"/>
          <w:position w:val="0"/>
        </w:rPr>
        <w:t>1,183,184,287.50</w:t>
      </w:r>
      <w:r>
        <w:rPr>
          <w:color w:val="000000"/>
          <w:spacing w:val="0"/>
          <w:w w:val="100"/>
          <w:position w:val="0"/>
        </w:rPr>
        <w:t>元，合并日华苏科技的可辨认净资产公允价值为</w:t>
      </w:r>
      <w:r>
        <w:rPr>
          <w:rFonts w:ascii="Times New Roman" w:eastAsia="Times New Roman" w:hAnsi="Times New Roman" w:cs="Times New Roman"/>
          <w:color w:val="000000"/>
          <w:spacing w:val="0"/>
          <w:w w:val="100"/>
          <w:position w:val="0"/>
        </w:rPr>
        <w:t>315,224,570.54</w:t>
      </w:r>
      <w:r>
        <w:rPr>
          <w:color w:val="000000"/>
          <w:spacing w:val="0"/>
          <w:w w:val="100"/>
          <w:position w:val="0"/>
        </w:rPr>
        <w:t>元，合并对价与应享受的华苏科技的可辨认 净资产公允价值</w:t>
      </w:r>
      <w:r>
        <w:rPr>
          <w:rFonts w:ascii="Times New Roman" w:eastAsia="Times New Roman" w:hAnsi="Times New Roman" w:cs="Times New Roman"/>
          <w:color w:val="000000"/>
          <w:spacing w:val="0"/>
          <w:w w:val="100"/>
          <w:position w:val="0"/>
        </w:rPr>
        <w:t>310,807,299.12</w:t>
      </w:r>
      <w:r>
        <w:rPr>
          <w:color w:val="000000"/>
          <w:spacing w:val="0"/>
          <w:w w:val="100"/>
          <w:position w:val="0"/>
        </w:rPr>
        <w:t>元的差额</w:t>
      </w:r>
      <w:r>
        <w:rPr>
          <w:rFonts w:ascii="Times New Roman" w:eastAsia="Times New Roman" w:hAnsi="Times New Roman" w:cs="Times New Roman"/>
          <w:color w:val="000000"/>
          <w:spacing w:val="0"/>
          <w:w w:val="100"/>
          <w:position w:val="0"/>
        </w:rPr>
        <w:t>872,376,988.38</w:t>
      </w:r>
      <w:r>
        <w:rPr>
          <w:color w:val="000000"/>
          <w:spacing w:val="0"/>
          <w:w w:val="100"/>
          <w:position w:val="0"/>
        </w:rPr>
        <w:t>元计入商誉。</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本公司管理层对因收购华苏科技产生的商誉进行减值测试，考虑华苏科技主营业务明确并且单一，同时其主营业务或 产品直接与市场衔接，由市场定价，符合资产组的相关要件，同时企业内不再存在其他与华苏科技相同条件的经营业务，因 此将华苏科技认定为一个资产组，并以该资产组为基础进行商誉的减值测试。本公司采用收益法对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 来预计产生的现金流量现值进行估算，依据华苏科技管理层制定的未来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12.39%</w:t>
      </w:r>
      <w:r>
        <w:rPr>
          <w:color w:val="000000"/>
          <w:spacing w:val="0"/>
          <w:w w:val="100"/>
          <w:position w:val="0"/>
        </w:rPr>
        <w:t>税前折现率预计未来现金流量 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年财务预算之后年份的现金流量均保持稳定。对华苏科技预计未来现金流量现值的计算采用了管理层根据历史 经验及对未来市场发展的预测确定的预算毛利率及</w:t>
      </w:r>
      <w:r>
        <w:rPr>
          <w:rFonts w:ascii="Times New Roman" w:eastAsia="Times New Roman" w:hAnsi="Times New Roman" w:cs="Times New Roman"/>
          <w:color w:val="000000"/>
          <w:spacing w:val="0"/>
          <w:w w:val="100"/>
          <w:position w:val="0"/>
        </w:rPr>
        <w:t>2.50%-7.00%</w:t>
      </w:r>
      <w:r>
        <w:rPr>
          <w:color w:val="000000"/>
          <w:spacing w:val="0"/>
          <w:w w:val="100"/>
          <w:position w:val="0"/>
        </w:rPr>
        <w:t>的营业收入增长率作为关键假设，确定依据是预算期间之前 的历史情况及对市场发展的预测。减值测试后，未发现商誉需要计提减值的情况。</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：该商誉为本公司</w:t>
      </w:r>
      <w:r>
        <w:rPr>
          <w:rFonts w:ascii="Times New Roman" w:eastAsia="Times New Roman" w:hAnsi="Times New Roman" w:cs="Times New Roman"/>
          <w:color w:val="000000"/>
          <w:spacing w:val="0"/>
          <w:w w:val="100"/>
          <w:position w:val="0"/>
        </w:rPr>
        <w:t>2018</w:t>
      </w:r>
      <w:r>
        <w:rPr>
          <w:color w:val="000000"/>
          <w:spacing w:val="0"/>
          <w:w w:val="100"/>
          <w:position w:val="0"/>
        </w:rPr>
        <w:t>年非同一控制下收购西安远景信息技术有限公司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股权产生，合并对价</w:t>
      </w:r>
      <w:r>
        <w:rPr>
          <w:rFonts w:ascii="Times New Roman" w:eastAsia="Times New Roman" w:hAnsi="Times New Roman" w:cs="Times New Roman"/>
          <w:color w:val="000000"/>
          <w:spacing w:val="0"/>
          <w:w w:val="100"/>
          <w:position w:val="0"/>
        </w:rPr>
        <w:t xml:space="preserve">10,000,000.00 </w:t>
      </w:r>
      <w:r>
        <w:rPr>
          <w:color w:val="000000"/>
          <w:spacing w:val="0"/>
          <w:w w:val="100"/>
          <w:position w:val="0"/>
        </w:rPr>
        <w:t>元，合并日西安远景的可辨认净资产公允价值为</w:t>
      </w:r>
      <w:r>
        <w:rPr>
          <w:rFonts w:ascii="Times New Roman" w:eastAsia="Times New Roman" w:hAnsi="Times New Roman" w:cs="Times New Roman"/>
          <w:color w:val="000000"/>
          <w:spacing w:val="0"/>
          <w:w w:val="100"/>
          <w:position w:val="0"/>
        </w:rPr>
        <w:t>4,081,320.09</w:t>
      </w:r>
      <w:r>
        <w:rPr>
          <w:color w:val="000000"/>
          <w:spacing w:val="0"/>
          <w:w w:val="100"/>
          <w:position w:val="0"/>
        </w:rPr>
        <w:t>元，差额</w:t>
      </w:r>
      <w:r>
        <w:rPr>
          <w:rFonts w:ascii="Times New Roman" w:eastAsia="Times New Roman" w:hAnsi="Times New Roman" w:cs="Times New Roman"/>
          <w:color w:val="000000"/>
          <w:spacing w:val="0"/>
          <w:w w:val="100"/>
          <w:position w:val="0"/>
        </w:rPr>
        <w:t>5,918,679.91</w:t>
      </w:r>
      <w:r>
        <w:rPr>
          <w:color w:val="000000"/>
          <w:spacing w:val="0"/>
          <w:w w:val="100"/>
          <w:position w:val="0"/>
        </w:rPr>
        <w:t>元计入商誉。</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本公司管理层对因收购西安远景信息技术有限公司产生的商誉进行减值测试，考虑西安远景信息技术有限公司主营业 务明确并且单一，同时其主营业务或产品直接与市场衔接，由市场定价，符合资产组的相关要件，同时企业内不再存在其他 与西安远景信息技术有限公司相同条件的经营业务，因此将西安远景信息技术有限公司认定为一个资产组，并以该资产组为 基础进行商誉的减值测试。本公司采用收益法对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日资产组未来预计产生的现金流量现值进行估算，依据西安远 景信息技术有限公司管理层制定的未来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13.38%</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 份的现金流量均保持稳定。对西安远景信息技术有限公司预计未来现金流量现值的计算采用了管理层根据历史经验及对未来 市场发展的预测确定的预算毛利率及</w:t>
      </w:r>
      <w:r>
        <w:rPr>
          <w:rFonts w:ascii="Times New Roman" w:eastAsia="Times New Roman" w:hAnsi="Times New Roman" w:cs="Times New Roman"/>
          <w:color w:val="000000"/>
          <w:spacing w:val="0"/>
          <w:w w:val="100"/>
          <w:position w:val="0"/>
        </w:rPr>
        <w:t>-0.08%-11.11%</w:t>
      </w:r>
      <w:r>
        <w:rPr>
          <w:color w:val="000000"/>
          <w:spacing w:val="0"/>
          <w:w w:val="100"/>
          <w:position w:val="0"/>
        </w:rPr>
        <w:t>的营业收入增长率作为关键假设，确定依据是预算期间之前的历史情况 及对市场发展的预测。减值测试后，未发现商誉需要计提减值的情况。</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：该商誉为中农信达</w:t>
      </w:r>
      <w:r>
        <w:rPr>
          <w:rFonts w:ascii="Times New Roman" w:eastAsia="Times New Roman" w:hAnsi="Times New Roman" w:cs="Times New Roman"/>
          <w:color w:val="000000"/>
          <w:spacing w:val="0"/>
          <w:w w:val="100"/>
          <w:position w:val="0"/>
        </w:rPr>
        <w:t>2019</w:t>
      </w:r>
      <w:r>
        <w:rPr>
          <w:color w:val="000000"/>
          <w:spacing w:val="0"/>
          <w:w w:val="100"/>
          <w:position w:val="0"/>
        </w:rPr>
        <w:t>年非同一控制下收购神州土地（北京）信息技术有限公司</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股权产生，合并对价 </w:t>
      </w:r>
      <w:r>
        <w:rPr>
          <w:rFonts w:ascii="Times New Roman" w:eastAsia="Times New Roman" w:hAnsi="Times New Roman" w:cs="Times New Roman"/>
          <w:color w:val="000000"/>
          <w:spacing w:val="0"/>
          <w:w w:val="100"/>
          <w:position w:val="0"/>
        </w:rPr>
        <w:t>47,459,244.43</w:t>
      </w:r>
      <w:r>
        <w:rPr>
          <w:color w:val="000000"/>
          <w:spacing w:val="0"/>
          <w:w w:val="100"/>
          <w:position w:val="0"/>
        </w:rPr>
        <w:t>元，合并日神州土地（北京）信息技术有限公司的可辨认净资产公允价值为</w:t>
      </w:r>
      <w:r>
        <w:rPr>
          <w:rFonts w:ascii="Times New Roman" w:eastAsia="Times New Roman" w:hAnsi="Times New Roman" w:cs="Times New Roman"/>
          <w:color w:val="000000"/>
          <w:spacing w:val="0"/>
          <w:w w:val="100"/>
          <w:position w:val="0"/>
        </w:rPr>
        <w:t>-12,213,756.27</w:t>
      </w:r>
      <w:r>
        <w:rPr>
          <w:color w:val="000000"/>
          <w:spacing w:val="0"/>
          <w:w w:val="100"/>
          <w:position w:val="0"/>
        </w:rPr>
        <w:t>元，差额</w:t>
      </w:r>
      <w:r>
        <w:rPr>
          <w:rFonts w:ascii="Times New Roman" w:eastAsia="Times New Roman" w:hAnsi="Times New Roman" w:cs="Times New Roman"/>
          <w:color w:val="000000"/>
          <w:spacing w:val="0"/>
          <w:w w:val="100"/>
          <w:position w:val="0"/>
        </w:rPr>
        <w:t xml:space="preserve">59,673,000.70 </w:t>
      </w:r>
      <w:r>
        <w:rPr>
          <w:color w:val="000000"/>
          <w:spacing w:val="0"/>
          <w:w w:val="100"/>
          <w:position w:val="0"/>
        </w:rPr>
        <w:t>元计入商誉。</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本公司管理层对因收购神州土地（北京）信息技术有限公司产生的商誉进行减值测试，考虑神州土地（北京）信息技 术有限公司主营业务明确并且单一，同时其主营业务或产品直接与市场衔接，由市场定价，符合资产组的相关要件，同时企 业内不再存在其他与神州土地（北京）信息技术有限公司相同条件的经营业务，因此将神州土地（北京）信息技术有限公司 认定为一个资产组，并以该资产组为基础进行商誉的减值测试。本公司采用收益法对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 现金流量现值进行估算，依据神州土地（北京）信息技术有限公司管理层制定的未来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15.16%</w:t>
      </w:r>
      <w:r>
        <w:rPr>
          <w:color w:val="000000"/>
          <w:spacing w:val="0"/>
          <w:w w:val="100"/>
          <w:position w:val="0"/>
        </w:rPr>
        <w:t>税前折现率预计 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年财务预算之后年份的现金流量均保持稳定。对神州土地（北京）信息技术有限公司预计未来现 金流量现值的计算采用了管理层根据历史经验及对未来市场发展的预测确定的预算毛利率及</w:t>
      </w:r>
      <w:r>
        <w:rPr>
          <w:rFonts w:ascii="Times New Roman" w:eastAsia="Times New Roman" w:hAnsi="Times New Roman" w:cs="Times New Roman"/>
          <w:color w:val="000000"/>
          <w:spacing w:val="0"/>
          <w:w w:val="100"/>
          <w:position w:val="0"/>
        </w:rPr>
        <w:t>2.50%-74.91%</w:t>
      </w:r>
      <w:r>
        <w:rPr>
          <w:color w:val="000000"/>
          <w:spacing w:val="0"/>
          <w:w w:val="100"/>
          <w:position w:val="0"/>
        </w:rPr>
        <w:t>的营业收入增长 率作为关键假设，确定依据是预算期间之前的历史情况及对市场发展的预测。减值测试后，未发现商誉需要计提减值的情况。</w:t>
      </w:r>
    </w:p>
    <w:p>
      <w:pPr>
        <w:pStyle w:val="Style37"/>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：该商誉为北京神州数字科技有限公司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年非同一控制下收购北京云核网络技术有限公司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股权产生，合 并对价</w:t>
      </w:r>
      <w:r>
        <w:rPr>
          <w:rFonts w:ascii="Times New Roman" w:eastAsia="Times New Roman" w:hAnsi="Times New Roman" w:cs="Times New Roman"/>
          <w:color w:val="000000"/>
          <w:spacing w:val="0"/>
          <w:w w:val="100"/>
          <w:position w:val="0"/>
        </w:rPr>
        <w:t>43,500,000.00</w:t>
      </w:r>
      <w:r>
        <w:rPr>
          <w:color w:val="000000"/>
          <w:spacing w:val="0"/>
          <w:w w:val="100"/>
          <w:position w:val="0"/>
        </w:rPr>
        <w:t>元，合并日北京云核网络技术有限公司的可辨认净资产公允价值为</w:t>
      </w:r>
      <w:r>
        <w:rPr>
          <w:rFonts w:ascii="Times New Roman" w:eastAsia="Times New Roman" w:hAnsi="Times New Roman" w:cs="Times New Roman"/>
          <w:color w:val="000000"/>
          <w:spacing w:val="0"/>
          <w:w w:val="100"/>
          <w:position w:val="0"/>
        </w:rPr>
        <w:t>22,666,786.74</w:t>
      </w:r>
      <w:r>
        <w:rPr>
          <w:color w:val="000000"/>
          <w:spacing w:val="0"/>
          <w:w w:val="100"/>
          <w:position w:val="0"/>
        </w:rPr>
        <w:t>元，差额</w:t>
      </w:r>
      <w:r>
        <w:rPr>
          <w:rFonts w:ascii="Times New Roman" w:eastAsia="Times New Roman" w:hAnsi="Times New Roman" w:cs="Times New Roman"/>
          <w:color w:val="000000"/>
          <w:spacing w:val="0"/>
          <w:w w:val="100"/>
          <w:position w:val="0"/>
        </w:rPr>
        <w:t xml:space="preserve">20,833,213.26 </w:t>
      </w:r>
      <w:r>
        <w:rPr>
          <w:color w:val="000000"/>
          <w:spacing w:val="0"/>
          <w:w w:val="100"/>
          <w:position w:val="0"/>
        </w:rPr>
        <w:t>元计入商誉。 本公司管理层对因收购北京云核网络技术有限公司产生的商誉进行减值测试，考虑北京云核网络技术有限公司主营业务明确 并且单一，同时其主营业务或产品直接与市场衔接，由市场定价，符合资产组的相关要件，同时企业内不再存在其他与北京 云核网络技术有限公司相同条件的经营业务，因此将北京云核网络技术有限公司认定为一个资产组，并以该资产组为基础进 行商誉的减值测试。本公司采用收益法对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日资产组未来预计产生的现金流量现值进行估算，依据北京云核网络 技术有限公司管理层制定的未来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13.55%</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 金流量均保持稳定。对北京云核网络技术有限公司预计未来现金流量现值的计算采用了管理层根据历史经验及对未来市场发 展的预测确定的预算毛利率及</w:t>
      </w:r>
      <w:r>
        <w:rPr>
          <w:rFonts w:ascii="Times New Roman" w:eastAsia="Times New Roman" w:hAnsi="Times New Roman" w:cs="Times New Roman"/>
          <w:color w:val="000000"/>
          <w:spacing w:val="0"/>
          <w:w w:val="100"/>
          <w:position w:val="0"/>
        </w:rPr>
        <w:t>2.50%-103.47%</w:t>
      </w:r>
      <w:r>
        <w:rPr>
          <w:color w:val="000000"/>
          <w:spacing w:val="0"/>
          <w:w w:val="100"/>
          <w:position w:val="0"/>
        </w:rPr>
        <w:t>的营业收入增长率作为关键假设，确定依据是预算期间之前的历史情况及对市 场发展的预测。减值测试后，未发现商誉需要计提减值的情况。</w:t>
      </w:r>
    </w:p>
    <w:p>
      <w:pPr>
        <w:pStyle w:val="Style41"/>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57"/>
      <w:bookmarkEnd w:id="1158"/>
      <w:bookmarkEnd w:id="116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13,219,720.85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344,316.84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5,805,259.18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73,832.93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7,684,945.58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办公家具及装配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3,384,513.51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268,934.24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2,211,446.72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1,437,970.54</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16,604,234.36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613,251.08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8,016,705.90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77,863.42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9,122,916.12</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1"/>
      <w:bookmarkEnd w:id="1162"/>
      <w:bookmarkEnd w:id="1164"/>
    </w:p>
    <w:p>
      <w:pPr>
        <w:pStyle w:val="Style41"/>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1"/>
      <w:bookmarkEnd w:id="1162"/>
      <w:bookmarkEnd w:id="11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757,429,529.40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110,034,887.17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558,358,792.26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76,017,059.93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与子公司投资相关的可 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175,255,527.20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26,288,329.08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175,255,527.20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26,288,329.08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长期资产折旧或摊销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57,836,397.64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7,623,415.89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44,907,780.67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6,172,643.55</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值变动及其他权益工具 投资公允价值变动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38,961,591.46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9,740,397.87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4,780,625.00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1,195,156.25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8,168,994.00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1,078,426.55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3,628,255.03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544,238.25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1,034,263,670.70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154,882,186.26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790,319,349.16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110,100,697.36</w:t>
            </w:r>
          </w:p>
        </w:tc>
      </w:tr>
    </w:tbl>
    <w:p>
      <w:pPr>
        <w:widowControl w:val="0"/>
        <w:spacing w:after="319" w:line="1" w:lineRule="exact"/>
      </w:pPr>
    </w:p>
    <w:p>
      <w:pPr>
        <w:pStyle w:val="Style41"/>
        <w:keepNext/>
        <w:keepLines/>
        <w:widowControl w:val="0"/>
        <w:numPr>
          <w:ilvl w:val="0"/>
          <w:numId w:val="33"/>
        </w:numPr>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未经抵销的递延所得税负债</w:t>
      </w:r>
      <w:bookmarkEnd w:id="1166"/>
      <w:bookmarkEnd w:id="1167"/>
      <w:bookmarkEnd w:id="11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82,994,374.75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20,675,300.54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25,557,408.67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6,250,305.55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长期股权投资公允价值 与账面价值的差额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84,369,375.00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12,655,406.25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84,369,375.00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12,655,406.25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35,702,222.21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3,671,710.72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38,541,841.56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3,854,184.15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采购回佣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12,844,101.30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1,926,615.20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215,910,073.26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38,929,032.71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148,468,625.23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22,759,895.95</w:t>
            </w:r>
          </w:p>
        </w:tc>
      </w:tr>
    </w:tbl>
    <w:p>
      <w:pPr>
        <w:widowControl w:val="0"/>
        <w:spacing w:after="319" w:line="1" w:lineRule="exact"/>
      </w:pPr>
    </w:p>
    <w:p>
      <w:pPr>
        <w:pStyle w:val="Style41"/>
        <w:keepNext/>
        <w:keepLines/>
        <w:widowControl w:val="0"/>
        <w:numPr>
          <w:ilvl w:val="0"/>
          <w:numId w:val="33"/>
        </w:numPr>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以抵销后净额列示的递延所得税资产或负债</w:t>
      </w:r>
      <w:bookmarkEnd w:id="1170"/>
      <w:bookmarkEnd w:id="1171"/>
      <w:bookmarkEnd w:id="11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6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r>
        <w:trPr>
          <w:trHeight w:val="360"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期末互抵金额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期初互抵金额</w:t>
            </w:r>
          </w:p>
        </w:tc>
        <w:tc>
          <w:tcPr>
            <w:tcBorders>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2,204,419.19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152,677,767.07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423,706.84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109,676,990.52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2,204,419.19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36,724,613.52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423,706.84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22,336,189.11</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174"/>
      <w:bookmarkEnd w:id="1175"/>
      <w:bookmarkEnd w:id="1177"/>
    </w:p>
    <w:p>
      <w:pPr>
        <w:pStyle w:val="Style41"/>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74"/>
      <w:bookmarkEnd w:id="1175"/>
      <w:bookmarkEnd w:id="117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451,584,614.73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517,828,771.74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270,695,266.52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434,650,740.09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722,279,881.25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952,479,511.83</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179"/>
      <w:bookmarkEnd w:id="1180"/>
      <w:bookmarkEnd w:id="1182"/>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494,136,838.59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454,195,244.81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57,876,653.25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237,436,469.60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552,013,491.84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691,631,714.41</w:t>
            </w:r>
          </w:p>
        </w:tc>
      </w:tr>
    </w:tbl>
    <w:p>
      <w:pPr>
        <w:widowControl w:val="0"/>
        <w:spacing w:after="79" w:line="1" w:lineRule="exact"/>
      </w:pP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5,940,378.22</w:t>
      </w:r>
      <w:r>
        <w:rPr>
          <w:color w:val="000000"/>
          <w:spacing w:val="0"/>
          <w:w w:val="100"/>
          <w:position w:val="0"/>
        </w:rPr>
        <w:t>元。</w:t>
      </w:r>
    </w:p>
    <w:p>
      <w:pPr>
        <w:pStyle w:val="Style41"/>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183"/>
      <w:bookmarkEnd w:id="1184"/>
      <w:bookmarkEnd w:id="1186"/>
    </w:p>
    <w:p>
      <w:pPr>
        <w:pStyle w:val="Style41"/>
        <w:keepNext/>
        <w:keepLines/>
        <w:widowControl w:val="0"/>
        <w:shd w:val="clear" w:color="auto" w:fill="auto"/>
        <w:bidi w:val="0"/>
        <w:spacing w:before="0" w:line="240" w:lineRule="auto"/>
        <w:ind w:left="0" w:right="0" w:firstLine="140"/>
        <w:jc w:val="left"/>
      </w:pPr>
      <w:bookmarkStart w:id="1183" w:name="bookmark1183"/>
      <w:bookmarkStart w:id="1184" w:name="bookmark1184"/>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83"/>
      <w:bookmarkEnd w:id="1184"/>
      <w:bookmarkEnd w:id="1187"/>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货款及服务款等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2,373,036,760.20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2,039,020,530.75</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88"/>
      <w:bookmarkEnd w:id="1189"/>
      <w:bookmarkEnd w:id="1190"/>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66,016,793.17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28,959,641.51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24,012,376.73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16,379,844.61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14,969,176.20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150,337,832.22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191"/>
      <w:bookmarkEnd w:id="1192"/>
      <w:bookmarkEnd w:id="119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预收货款及服务款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1,756,268,042.19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1,628,261,177.33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195"/>
      <w:bookmarkEnd w:id="1196"/>
      <w:bookmarkEnd w:id="1198"/>
    </w:p>
    <w:p>
      <w:pPr>
        <w:pStyle w:val="Style41"/>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5"/>
      <w:bookmarkEnd w:id="1196"/>
      <w:bookmarkEnd w:id="11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402,838,106.93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1,867,947,429.98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1,782,368,011.51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488,417,525.40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4,292,564.39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60,304,654.66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59,683,896.99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4,913,322.06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1,256,882.00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5,508,940.71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4,727,819.71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2,038,003.00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408,387,553.32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1,933,761,025.35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1,846,779,728.21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495,368,850.46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00"/>
      <w:bookmarkEnd w:id="1201"/>
      <w:bookmarkEnd w:id="12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382,542,016.75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1,635,135,462.43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1,550,327,559.81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467,349,919.37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52,219,751.13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52,219,751.13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2,888,339.98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75,538,230.06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75,214,277.58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3,212,292.46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2,623,333.04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70,440,406.66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70,148,870.96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2,914,868.74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695,207.67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685,223.39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65,424.71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209,566.51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4,402,615.73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4,380,183.23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231,999.01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94,371,913.54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94,424,181.54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-24,252.00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17,379,734.20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10,682,072.82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10,182,241.45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17,879,565.57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402,838,106.93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1,867,947,429.98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1,782,368,011.51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488,417,525.40</w:t>
            </w:r>
          </w:p>
        </w:tc>
      </w:tr>
      <w:tr>
        <w:trPr>
          <w:trHeight w:val="1272" w:hRule="exact"/>
        </w:trPr>
        <w:tc>
          <w:tcPr>
            <w:gridSpan w:val="5"/>
            <w:tcBorders>
              <w:top w:val="single" w:sz="4"/>
            </w:tcBorders>
            <w:shd w:val="clear" w:color="auto" w:fill="FFFFFF"/>
            <w:vAlign w:val="bottom"/>
          </w:tcPr>
          <w:p>
            <w:pPr>
              <w:pStyle w:val="Style29"/>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）设定提存计划列示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4,090,570.88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57,815,099.75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57,233,713.27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4,671,957.36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201,993.51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2,481,218.57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2,441,847.38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241,364.70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4,292,564.39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60,304,654.66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59,683,896.99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4,913,322.06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03"/>
      <w:bookmarkEnd w:id="1204"/>
      <w:bookmarkEnd w:id="120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135,018,234.47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74,742,314.72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27,682,838.75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25,104,977.33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9,422,967.04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5,256,496.83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6,894,200.38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6,026,382.46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4,035,527.61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2,274,384.38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2,694,599.96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1,516,256.30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1,979,053.70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542,198.40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399,994.40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404,441.17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188,127,416.31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115,867,451.59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07"/>
      <w:bookmarkEnd w:id="1208"/>
      <w:bookmarkEnd w:id="1210"/>
    </w:p>
    <w:p>
      <w:pPr>
        <w:pStyle w:val="Style41"/>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color w:val="000000"/>
          <w:spacing w:val="0"/>
          <w:w w:val="100"/>
          <w:position w:val="0"/>
        </w:rPr>
        <w:t>）按款项性质列示其他应付款</w:t>
      </w:r>
      <w:bookmarkEnd w:id="1207"/>
      <w:bookmarkEnd w:id="1208"/>
      <w:bookmarkEnd w:id="1212"/>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185,535,317.65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169,911,800.08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20,967,450.00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44,097,750.00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5,431,844.95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5,499,275.49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10,180,512.38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9,354,443.65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222,115,124.98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228,863,269.22</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213"/>
      <w:bookmarkEnd w:id="1214"/>
      <w:bookmarkEnd w:id="121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45,059,375.00</w:t>
            </w:r>
          </w:p>
        </w:tc>
      </w:tr>
    </w:tbl>
    <w:p>
      <w:pPr>
        <w:pStyle w:val="Style41"/>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217"/>
      <w:bookmarkEnd w:id="1218"/>
      <w:bookmarkEnd w:id="1220"/>
    </w:p>
    <w:p>
      <w:pPr>
        <w:pStyle w:val="Style41"/>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17"/>
      <w:bookmarkEnd w:id="1218"/>
      <w:bookmarkEnd w:id="1221"/>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6,195,238.00</w:t>
            </w:r>
          </w:p>
        </w:tc>
      </w:tr>
    </w:tbl>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注：根据《神州灵云（北京）科技有限公司出资及股东协议》，在满足相关业绩承诺条件后，新增资入股的投资人按 照其出资比例向神州灵云（北京）科技有限公司（以下简称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神州灵云</w:t>
      </w:r>
      <w:r>
        <w:rPr>
          <w:rFonts w:ascii="Times New Roman" w:eastAsia="Times New Roman" w:hAnsi="Times New Roman" w:cs="Times New Roman"/>
          <w:color w:val="000000"/>
          <w:spacing w:val="0"/>
          <w:w w:val="100"/>
          <w:position w:val="0"/>
        </w:rPr>
        <w:t>”</w:t>
      </w:r>
      <w:r>
        <w:rPr>
          <w:color w:val="000000"/>
          <w:spacing w:val="0"/>
          <w:w w:val="100"/>
          <w:position w:val="0"/>
        </w:rPr>
        <w:t>）提供共计</w:t>
      </w:r>
      <w:r>
        <w:rPr>
          <w:rFonts w:ascii="Times New Roman" w:eastAsia="Times New Roman" w:hAnsi="Times New Roman" w:cs="Times New Roman"/>
          <w:color w:val="000000"/>
          <w:spacing w:val="0"/>
          <w:w w:val="100"/>
          <w:position w:val="0"/>
        </w:rPr>
        <w:t>3,300.00</w:t>
      </w:r>
      <w:r>
        <w:rPr>
          <w:color w:val="000000"/>
          <w:spacing w:val="0"/>
          <w:w w:val="100"/>
          <w:position w:val="0"/>
        </w:rPr>
        <w:t>万元可转债借款。</w:t>
      </w:r>
      <w:r>
        <w:rPr>
          <w:rFonts w:ascii="Times New Roman" w:eastAsia="Times New Roman" w:hAnsi="Times New Roman" w:cs="Times New Roman"/>
          <w:color w:val="000000"/>
          <w:spacing w:val="0"/>
          <w:w w:val="100"/>
          <w:position w:val="0"/>
        </w:rPr>
        <w:t>2017</w:t>
      </w:r>
      <w:r>
        <w:rPr>
          <w:color w:val="000000"/>
          <w:spacing w:val="0"/>
          <w:w w:val="100"/>
          <w:position w:val="0"/>
        </w:rPr>
        <w:t>年投资人 提供第一笔可转债借款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,600.00</w:t>
      </w:r>
      <w:r>
        <w:rPr>
          <w:color w:val="000000"/>
          <w:spacing w:val="0"/>
          <w:w w:val="100"/>
          <w:position w:val="0"/>
        </w:rPr>
        <w:t>万元，其中本公司提供</w:t>
      </w:r>
      <w:r>
        <w:rPr>
          <w:rFonts w:ascii="Times New Roman" w:eastAsia="Times New Roman" w:hAnsi="Times New Roman" w:cs="Times New Roman"/>
          <w:color w:val="000000"/>
          <w:spacing w:val="0"/>
          <w:w w:val="100"/>
          <w:position w:val="0"/>
        </w:rPr>
        <w:t>1,280.00</w:t>
      </w:r>
      <w:r>
        <w:rPr>
          <w:color w:val="000000"/>
          <w:spacing w:val="0"/>
          <w:w w:val="100"/>
          <w:position w:val="0"/>
        </w:rPr>
        <w:t>万元，其余投资人提供</w:t>
      </w:r>
      <w:r>
        <w:rPr>
          <w:rFonts w:ascii="Times New Roman" w:eastAsia="Times New Roman" w:hAnsi="Times New Roman" w:cs="Times New Roman"/>
          <w:color w:val="000000"/>
          <w:spacing w:val="0"/>
          <w:w w:val="100"/>
          <w:position w:val="0"/>
        </w:rPr>
        <w:t>320.00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年投资人提供第二笔 可转债借款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,485.48</w:t>
      </w:r>
      <w:r>
        <w:rPr>
          <w:color w:val="000000"/>
          <w:spacing w:val="0"/>
          <w:w w:val="100"/>
          <w:position w:val="0"/>
        </w:rPr>
        <w:t>万元，其中本公司提供</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,360.00</w:t>
      </w:r>
      <w:r>
        <w:rPr>
          <w:color w:val="000000"/>
          <w:spacing w:val="0"/>
          <w:w w:val="100"/>
          <w:position w:val="0"/>
        </w:rPr>
        <w:t>万元，其余投资人提供</w:t>
      </w:r>
      <w:r>
        <w:rPr>
          <w:rFonts w:ascii="Times New Roman" w:eastAsia="Times New Roman" w:hAnsi="Times New Roman" w:cs="Times New Roman"/>
          <w:color w:val="000000"/>
          <w:spacing w:val="0"/>
          <w:w w:val="100"/>
          <w:position w:val="0"/>
        </w:rPr>
        <w:t>125.48</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年其余投资人提供第三笔可转债 借款</w:t>
      </w:r>
      <w:r>
        <w:rPr>
          <w:rFonts w:ascii="Times New Roman" w:eastAsia="Times New Roman" w:hAnsi="Times New Roman" w:cs="Times New Roman"/>
          <w:color w:val="000000"/>
          <w:spacing w:val="0"/>
          <w:w w:val="100"/>
          <w:position w:val="0"/>
        </w:rPr>
        <w:t>174.05</w:t>
      </w:r>
      <w:r>
        <w:rPr>
          <w:color w:val="000000"/>
          <w:spacing w:val="0"/>
          <w:w w:val="100"/>
          <w:position w:val="0"/>
        </w:rPr>
        <w:t>万元。在神州灵云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年业绩承诺全部得到满足的前提下，投资人同意将可转债借款全部转换为对神州 灵云的投资，转换后的投资均计入神州灵云的资本公积。如业绩承诺未得到满足，由神州灵云在收到投资人的通知后</w:t>
      </w:r>
      <w:r>
        <w:rPr>
          <w:rFonts w:ascii="Times New Roman" w:eastAsia="Times New Roman" w:hAnsi="Times New Roman" w:cs="Times New Roman"/>
          <w:color w:val="000000"/>
          <w:spacing w:val="0"/>
          <w:w w:val="100"/>
          <w:position w:val="0"/>
        </w:rPr>
        <w:t>30</w:t>
      </w:r>
      <w:r>
        <w:rPr>
          <w:color w:val="000000"/>
          <w:spacing w:val="0"/>
          <w:w w:val="100"/>
          <w:position w:val="0"/>
        </w:rPr>
        <w:t>内予 以偿还上述可转债借款。</w:t>
      </w:r>
    </w:p>
    <w:p>
      <w:pPr>
        <w:pStyle w:val="Style37"/>
        <w:keepNext w:val="0"/>
        <w:keepLines w:val="0"/>
        <w:widowControl w:val="0"/>
        <w:shd w:val="clear" w:color="auto" w:fill="auto"/>
        <w:bidi w:val="0"/>
        <w:spacing w:before="0" w:after="380" w:line="314"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日，本公司与康军签订股权转让协议，转让所持有的神州灵云全部</w:t>
      </w:r>
      <w:r>
        <w:rPr>
          <w:rFonts w:ascii="Times New Roman" w:eastAsia="Times New Roman" w:hAnsi="Times New Roman" w:cs="Times New Roman"/>
          <w:color w:val="000000"/>
          <w:spacing w:val="0"/>
          <w:w w:val="100"/>
          <w:position w:val="0"/>
        </w:rPr>
        <w:t>48.00%</w:t>
      </w:r>
      <w:r>
        <w:rPr>
          <w:color w:val="000000"/>
          <w:spacing w:val="0"/>
          <w:w w:val="100"/>
          <w:position w:val="0"/>
        </w:rPr>
        <w:t>股权，股权转让完成后，神州灵 云不再纳入本公司合并范围。</w:t>
      </w:r>
    </w:p>
    <w:p>
      <w:pPr>
        <w:pStyle w:val="Style41"/>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222"/>
      <w:bookmarkEnd w:id="1223"/>
      <w:bookmarkEnd w:id="1225"/>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25,775,271.29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日，北京市第二中级人民法院出具了（</w:t>
      </w:r>
      <w:r>
        <w:rPr>
          <w:rFonts w:ascii="Times New Roman" w:eastAsia="Times New Roman" w:hAnsi="Times New Roman" w:cs="Times New Roman"/>
          <w:color w:val="000000"/>
          <w:spacing w:val="0"/>
          <w:w w:val="100"/>
          <w:position w:val="0"/>
        </w:rPr>
        <w:t>2018</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344</w:t>
      </w:r>
      <w:r>
        <w:rPr>
          <w:color w:val="000000"/>
          <w:spacing w:val="0"/>
          <w:w w:val="100"/>
          <w:position w:val="0"/>
        </w:rPr>
        <w:t>号的民事判决书：本公司在代垫资金本 息共计</w:t>
      </w:r>
      <w:r>
        <w:rPr>
          <w:rFonts w:ascii="Times New Roman" w:eastAsia="Times New Roman" w:hAnsi="Times New Roman" w:cs="Times New Roman"/>
          <w:color w:val="000000"/>
          <w:spacing w:val="0"/>
          <w:w w:val="100"/>
          <w:position w:val="0"/>
        </w:rPr>
        <w:t>3512</w:t>
      </w:r>
      <w:r>
        <w:rPr>
          <w:color w:val="000000"/>
          <w:spacing w:val="0"/>
          <w:w w:val="100"/>
          <w:position w:val="0"/>
        </w:rPr>
        <w:t>万元范围内，对于深圳市生物港投资有限公司（以下简称“生物港公司”）在广东省深圳市中级人民法院（</w:t>
      </w:r>
      <w:r>
        <w:rPr>
          <w:rFonts w:ascii="Times New Roman" w:eastAsia="Times New Roman" w:hAnsi="Times New Roman" w:cs="Times New Roman"/>
          <w:color w:val="000000"/>
          <w:spacing w:val="0"/>
          <w:w w:val="100"/>
          <w:position w:val="0"/>
        </w:rPr>
        <w:t>2007</w:t>
      </w:r>
      <w:r>
        <w:rPr>
          <w:color w:val="000000"/>
          <w:spacing w:val="0"/>
          <w:w w:val="100"/>
          <w:position w:val="0"/>
        </w:rPr>
        <w:t>） 深中法委执字第</w:t>
      </w:r>
      <w:r>
        <w:rPr>
          <w:rFonts w:ascii="Times New Roman" w:eastAsia="Times New Roman" w:hAnsi="Times New Roman" w:cs="Times New Roman"/>
          <w:color w:val="000000"/>
          <w:spacing w:val="0"/>
          <w:w w:val="100"/>
          <w:position w:val="0"/>
        </w:rPr>
        <w:t>539</w:t>
      </w:r>
      <w:r>
        <w:rPr>
          <w:color w:val="000000"/>
          <w:spacing w:val="0"/>
          <w:w w:val="100"/>
          <w:position w:val="0"/>
        </w:rPr>
        <w:t xml:space="preserve">号执行案项下对中国普天信息产业集团有限公司的债务经强制执行不能清偿的部分（以数额不超过 </w:t>
      </w:r>
      <w:r>
        <w:rPr>
          <w:rFonts w:ascii="Times New Roman" w:eastAsia="Times New Roman" w:hAnsi="Times New Roman" w:cs="Times New Roman"/>
          <w:color w:val="000000"/>
          <w:spacing w:val="0"/>
          <w:w w:val="100"/>
          <w:position w:val="0"/>
        </w:rPr>
        <w:t>6812.52</w:t>
      </w:r>
      <w:r>
        <w:rPr>
          <w:color w:val="000000"/>
          <w:spacing w:val="0"/>
          <w:w w:val="100"/>
          <w:position w:val="0"/>
        </w:rPr>
        <w:t>万元为限）承担补充赔偿责任，其他第三方被告北京新富投资有限公司在抽逃出资</w:t>
      </w:r>
      <w:r>
        <w:rPr>
          <w:rFonts w:ascii="Times New Roman" w:eastAsia="Times New Roman" w:hAnsi="Times New Roman" w:cs="Times New Roman"/>
          <w:color w:val="000000"/>
          <w:spacing w:val="0"/>
          <w:w w:val="100"/>
          <w:position w:val="0"/>
        </w:rPr>
        <w:t>5838</w:t>
      </w:r>
      <w:r>
        <w:rPr>
          <w:color w:val="000000"/>
          <w:spacing w:val="0"/>
          <w:w w:val="100"/>
          <w:position w:val="0"/>
        </w:rPr>
        <w:t>万元范围内承担补充赔偿责 任，昆山市申昌科技有限公司在代垫资金本息共计</w:t>
      </w:r>
      <w:r>
        <w:rPr>
          <w:rFonts w:ascii="Times New Roman" w:eastAsia="Times New Roman" w:hAnsi="Times New Roman" w:cs="Times New Roman"/>
          <w:color w:val="000000"/>
          <w:spacing w:val="0"/>
          <w:w w:val="100"/>
          <w:position w:val="0"/>
        </w:rPr>
        <w:t>6025</w:t>
      </w:r>
      <w:r>
        <w:rPr>
          <w:color w:val="000000"/>
          <w:spacing w:val="0"/>
          <w:w w:val="100"/>
          <w:position w:val="0"/>
        </w:rPr>
        <w:t>万元范围内承担补充赔偿责任。</w:t>
      </w:r>
      <w:r>
        <w:rPr>
          <w:rFonts w:ascii="Times New Roman" w:eastAsia="Times New Roman" w:hAnsi="Times New Roman" w:cs="Times New Roman"/>
          <w:color w:val="000000"/>
          <w:spacing w:val="0"/>
          <w:w w:val="100"/>
          <w:position w:val="0"/>
        </w:rPr>
        <w:t>2019</w:t>
      </w:r>
      <w:r>
        <w:rPr>
          <w:color w:val="000000"/>
          <w:spacing w:val="0"/>
          <w:w w:val="100"/>
          <w:position w:val="0"/>
        </w:rPr>
        <w:t>年，本公司管理层依据此判决计 提预计负债</w:t>
      </w:r>
      <w:r>
        <w:rPr>
          <w:rFonts w:ascii="Times New Roman" w:eastAsia="Times New Roman" w:hAnsi="Times New Roman" w:cs="Times New Roman"/>
          <w:color w:val="000000"/>
          <w:spacing w:val="0"/>
          <w:w w:val="100"/>
          <w:position w:val="0"/>
        </w:rPr>
        <w:t>21,381,871.13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日，本公司与中国普天信息产业集团有限公司达成和解，约定本公司在代垫资金 本息共计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1,000,000.00</w:t>
      </w:r>
      <w:r>
        <w:rPr>
          <w:color w:val="000000"/>
          <w:spacing w:val="0"/>
          <w:w w:val="100"/>
          <w:position w:val="0"/>
        </w:rPr>
        <w:t>元范围内承担补充赔偿责任，本公司付清前述</w:t>
      </w:r>
      <w:r>
        <w:rPr>
          <w:rFonts w:ascii="Times New Roman" w:eastAsia="Times New Roman" w:hAnsi="Times New Roman" w:cs="Times New Roman"/>
          <w:color w:val="000000"/>
          <w:spacing w:val="0"/>
          <w:w w:val="100"/>
          <w:position w:val="0"/>
        </w:rPr>
        <w:t>21,000,000.00</w:t>
      </w:r>
      <w:r>
        <w:rPr>
          <w:color w:val="000000"/>
          <w:spacing w:val="0"/>
          <w:w w:val="100"/>
          <w:position w:val="0"/>
        </w:rPr>
        <w:t>元款项后，中国普天信息产业集团有限公 司放弃其他诉讼请求，本公司于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日支付赔偿款项</w:t>
      </w:r>
      <w:r>
        <w:rPr>
          <w:rFonts w:ascii="Times New Roman" w:eastAsia="Times New Roman" w:hAnsi="Times New Roman" w:cs="Times New Roman"/>
          <w:color w:val="000000"/>
          <w:spacing w:val="0"/>
          <w:w w:val="100"/>
          <w:position w:val="0"/>
        </w:rPr>
        <w:t>21,000,000.00</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：大唐软件技术股份有限公司（以下简称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大唐软件</w:t>
      </w:r>
      <w:r>
        <w:rPr>
          <w:rFonts w:ascii="Times New Roman" w:eastAsia="Times New Roman" w:hAnsi="Times New Roman" w:cs="Times New Roman"/>
          <w:color w:val="000000"/>
          <w:spacing w:val="0"/>
          <w:w w:val="100"/>
          <w:position w:val="0"/>
        </w:rPr>
        <w:t>”</w:t>
      </w:r>
      <w:r>
        <w:rPr>
          <w:color w:val="000000"/>
          <w:spacing w:val="0"/>
          <w:w w:val="100"/>
          <w:position w:val="0"/>
        </w:rPr>
        <w:t>）诉本公司之子公司神州数码系统集成服务有限公司</w:t>
      </w:r>
      <w:r>
        <w:rPr>
          <w:rFonts w:ascii="Times New Roman" w:eastAsia="Times New Roman" w:hAnsi="Times New Roman" w:cs="Times New Roman"/>
          <w:color w:val="000000"/>
          <w:spacing w:val="0"/>
          <w:w w:val="100"/>
          <w:position w:val="0"/>
        </w:rPr>
        <w:t>“</w:t>
      </w:r>
      <w:r>
        <w:rPr>
          <w:color w:val="000000"/>
          <w:spacing w:val="0"/>
          <w:w w:val="100"/>
          <w:position w:val="0"/>
        </w:rPr>
        <w:t>买卖合 同纠纷</w:t>
      </w:r>
      <w:r>
        <w:rPr>
          <w:rFonts w:ascii="Times New Roman" w:eastAsia="Times New Roman" w:hAnsi="Times New Roman" w:cs="Times New Roman"/>
          <w:color w:val="000000"/>
          <w:spacing w:val="0"/>
          <w:w w:val="100"/>
          <w:position w:val="0"/>
        </w:rPr>
        <w:t>”</w:t>
      </w:r>
      <w:r>
        <w:rPr>
          <w:color w:val="000000"/>
          <w:spacing w:val="0"/>
          <w:w w:val="100"/>
          <w:position w:val="0"/>
        </w:rPr>
        <w:t>案件，</w:t>
      </w:r>
      <w:r>
        <w:rPr>
          <w:rFonts w:ascii="Times New Roman" w:eastAsia="Times New Roman" w:hAnsi="Times New Roman" w:cs="Times New Roman"/>
          <w:color w:val="000000"/>
          <w:spacing w:val="0"/>
          <w:w w:val="100"/>
          <w:position w:val="0"/>
        </w:rPr>
        <w:t>2019</w:t>
      </w:r>
      <w:r>
        <w:rPr>
          <w:color w:val="000000"/>
          <w:spacing w:val="0"/>
          <w:w w:val="100"/>
          <w:position w:val="0"/>
        </w:rPr>
        <w:t>年，神州数码系统集成服务有限公司管理层根据诉讼情况，相应计提预计负债</w:t>
      </w:r>
      <w:r>
        <w:rPr>
          <w:rFonts w:ascii="Times New Roman" w:eastAsia="Times New Roman" w:hAnsi="Times New Roman" w:cs="Times New Roman"/>
          <w:color w:val="000000"/>
          <w:spacing w:val="0"/>
          <w:w w:val="100"/>
          <w:position w:val="0"/>
        </w:rPr>
        <w:t>3,628,255.03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日，北京市第一中级人民法院出具了（</w:t>
      </w:r>
      <w:r>
        <w:rPr>
          <w:rFonts w:ascii="Times New Roman" w:eastAsia="Times New Roman" w:hAnsi="Times New Roman" w:cs="Times New Roman"/>
          <w:color w:val="000000"/>
          <w:spacing w:val="0"/>
          <w:w w:val="100"/>
          <w:position w:val="0"/>
        </w:rPr>
        <w:t>2020</w:t>
      </w:r>
      <w:r>
        <w:rPr>
          <w:color w:val="000000"/>
          <w:spacing w:val="0"/>
          <w:w w:val="100"/>
          <w:position w:val="0"/>
        </w:rPr>
        <w:t>）京</w:t>
      </w:r>
      <w:r>
        <w:rPr>
          <w:rFonts w:ascii="Times New Roman" w:eastAsia="Times New Roman" w:hAnsi="Times New Roman" w:cs="Times New Roman"/>
          <w:color w:val="000000"/>
          <w:spacing w:val="0"/>
          <w:w w:val="100"/>
          <w:position w:val="0"/>
        </w:rPr>
        <w:t>01</w:t>
      </w:r>
      <w:r>
        <w:rPr>
          <w:color w:val="000000"/>
          <w:spacing w:val="0"/>
          <w:w w:val="100"/>
          <w:position w:val="0"/>
        </w:rPr>
        <w:t>民终</w:t>
      </w:r>
      <w:r>
        <w:rPr>
          <w:rFonts w:ascii="Times New Roman" w:eastAsia="Times New Roman" w:hAnsi="Times New Roman" w:cs="Times New Roman"/>
          <w:color w:val="000000"/>
          <w:spacing w:val="0"/>
          <w:w w:val="100"/>
          <w:position w:val="0"/>
        </w:rPr>
        <w:t>5037</w:t>
      </w:r>
      <w:r>
        <w:rPr>
          <w:color w:val="000000"/>
          <w:spacing w:val="0"/>
          <w:w w:val="100"/>
          <w:position w:val="0"/>
        </w:rPr>
        <w:t>号民事判书：驳回大唐软件技术股份有限公司诉神州数码系 统集成服务有限公司相关诉讼请求。神州数码系统集成服务有限公司管理层依据此判决冲回上述计提的预计负债。</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0，河北省肃宁县人民法院出具了（</w:t>
      </w:r>
      <w:r>
        <w:rPr>
          <w:rFonts w:ascii="Times New Roman" w:eastAsia="Times New Roman" w:hAnsi="Times New Roman" w:cs="Times New Roman"/>
          <w:color w:val="000000"/>
          <w:spacing w:val="0"/>
          <w:w w:val="100"/>
          <w:position w:val="0"/>
        </w:rPr>
        <w:t>2019</w:t>
      </w:r>
      <w:r>
        <w:rPr>
          <w:color w:val="000000"/>
          <w:spacing w:val="0"/>
          <w:w w:val="100"/>
          <w:position w:val="0"/>
        </w:rPr>
        <w:t>）冀</w:t>
      </w:r>
      <w:r>
        <w:rPr>
          <w:rFonts w:ascii="Times New Roman" w:eastAsia="Times New Roman" w:hAnsi="Times New Roman" w:cs="Times New Roman"/>
          <w:color w:val="000000"/>
          <w:spacing w:val="0"/>
          <w:w w:val="100"/>
          <w:position w:val="0"/>
        </w:rPr>
        <w:t>0926</w:t>
      </w:r>
      <w:r>
        <w:rPr>
          <w:color w:val="000000"/>
          <w:spacing w:val="0"/>
          <w:w w:val="100"/>
          <w:position w:val="0"/>
        </w:rPr>
        <w:t>民初</w:t>
      </w:r>
      <w:r>
        <w:rPr>
          <w:rFonts w:ascii="Times New Roman" w:eastAsia="Times New Roman" w:hAnsi="Times New Roman" w:cs="Times New Roman"/>
          <w:color w:val="000000"/>
          <w:spacing w:val="0"/>
          <w:w w:val="100"/>
          <w:position w:val="0"/>
        </w:rPr>
        <w:t>1052</w:t>
      </w:r>
      <w:r>
        <w:rPr>
          <w:color w:val="000000"/>
          <w:spacing w:val="0"/>
          <w:w w:val="100"/>
          <w:position w:val="0"/>
        </w:rPr>
        <w:t>号民事判决书：中农信达应支付肃宁县 农业农村局违约金</w:t>
      </w:r>
      <w:r>
        <w:rPr>
          <w:rFonts w:ascii="Times New Roman" w:eastAsia="Times New Roman" w:hAnsi="Times New Roman" w:cs="Times New Roman"/>
          <w:color w:val="000000"/>
          <w:spacing w:val="0"/>
          <w:w w:val="100"/>
          <w:position w:val="0"/>
        </w:rPr>
        <w:t>394,516.10</w:t>
      </w:r>
      <w:r>
        <w:rPr>
          <w:color w:val="000000"/>
          <w:spacing w:val="0"/>
          <w:w w:val="100"/>
          <w:position w:val="0"/>
        </w:rPr>
        <w:t>元、擅自中途停止履行合同赔偿金</w:t>
      </w:r>
      <w:r>
        <w:rPr>
          <w:rFonts w:ascii="Times New Roman" w:eastAsia="Times New Roman" w:hAnsi="Times New Roman" w:cs="Times New Roman"/>
          <w:color w:val="000000"/>
          <w:spacing w:val="0"/>
          <w:w w:val="100"/>
          <w:position w:val="0"/>
        </w:rPr>
        <w:t>98,629.03</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年，中农信达管理层根据此判决计提预计 负债</w:t>
      </w:r>
      <w:r>
        <w:rPr>
          <w:rFonts w:ascii="Times New Roman" w:eastAsia="Times New Roman" w:hAnsi="Times New Roman" w:cs="Times New Roman"/>
          <w:color w:val="000000"/>
          <w:spacing w:val="0"/>
          <w:w w:val="100"/>
          <w:position w:val="0"/>
        </w:rPr>
        <w:t>493,145.13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月，中农信达与肃宁县农业农村局达成和解，并于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0支付赔偿款项</w:t>
      </w:r>
      <w:r>
        <w:rPr>
          <w:rFonts w:ascii="Times New Roman" w:eastAsia="Times New Roman" w:hAnsi="Times New Roman" w:cs="Times New Roman"/>
          <w:color w:val="000000"/>
          <w:spacing w:val="0"/>
          <w:w w:val="100"/>
          <w:position w:val="0"/>
        </w:rPr>
        <w:t>493,145.13</w:t>
      </w:r>
      <w:r>
        <w:rPr>
          <w:color w:val="000000"/>
          <w:spacing w:val="0"/>
          <w:w w:val="100"/>
          <w:position w:val="0"/>
        </w:rPr>
        <w:t>元。</w:t>
      </w:r>
    </w:p>
    <w:p>
      <w:pPr>
        <w:pStyle w:val="Style37"/>
        <w:keepNext w:val="0"/>
        <w:keepLines w:val="0"/>
        <w:widowControl w:val="0"/>
        <w:shd w:val="clear" w:color="auto" w:fill="auto"/>
        <w:tabs>
          <w:tab w:pos="917" w:val="left"/>
        </w:tabs>
        <w:bidi w:val="0"/>
        <w:spacing w:before="0" w:after="0" w:line="312"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日，本公司之子公司神州数码系统集成服务有限公司与北京华瑞网研科技有限公司以及北京华瑞无</w:t>
      </w:r>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线科技有限公司签订《和解协议》，神州数码系统集成服务有限公司需向北京华瑞网研科技有限公司支付赔偿款</w:t>
      </w:r>
      <w:r>
        <w:rPr>
          <w:rFonts w:ascii="Times New Roman" w:eastAsia="Times New Roman" w:hAnsi="Times New Roman" w:cs="Times New Roman"/>
          <w:color w:val="000000"/>
          <w:spacing w:val="0"/>
          <w:w w:val="100"/>
          <w:position w:val="0"/>
        </w:rPr>
        <w:t xml:space="preserve">272,000.00 </w:t>
      </w:r>
      <w:r>
        <w:rPr>
          <w:color w:val="000000"/>
          <w:spacing w:val="0"/>
          <w:w w:val="100"/>
          <w:position w:val="0"/>
        </w:rPr>
        <w:t>元。管理层根据此和解协议于</w:t>
      </w:r>
      <w:r>
        <w:rPr>
          <w:rFonts w:ascii="Times New Roman" w:eastAsia="Times New Roman" w:hAnsi="Times New Roman" w:cs="Times New Roman"/>
          <w:color w:val="000000"/>
          <w:spacing w:val="0"/>
          <w:w w:val="100"/>
          <w:position w:val="0"/>
        </w:rPr>
        <w:t>2019</w:t>
      </w:r>
      <w:r>
        <w:rPr>
          <w:color w:val="000000"/>
          <w:spacing w:val="0"/>
          <w:w w:val="100"/>
          <w:position w:val="0"/>
        </w:rPr>
        <w:t>年计提预计负债</w:t>
      </w:r>
      <w:r>
        <w:rPr>
          <w:rFonts w:ascii="Times New Roman" w:eastAsia="Times New Roman" w:hAnsi="Times New Roman" w:cs="Times New Roman"/>
          <w:color w:val="000000"/>
          <w:spacing w:val="0"/>
          <w:w w:val="100"/>
          <w:position w:val="0"/>
        </w:rPr>
        <w:t>272,000.00</w:t>
      </w:r>
      <w:r>
        <w:rPr>
          <w:color w:val="000000"/>
          <w:spacing w:val="0"/>
          <w:w w:val="100"/>
          <w:position w:val="0"/>
        </w:rPr>
        <w:t>元。上述赔偿款已于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0支付。</w:t>
      </w:r>
      <w:r>
        <w:br w:type="page"/>
      </w:r>
    </w:p>
    <w:p>
      <w:pPr>
        <w:pStyle w:val="Style41"/>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226"/>
      <w:bookmarkEnd w:id="1227"/>
      <w:bookmarkEnd w:id="1229"/>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27,407,105.90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11,465,611.18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18,811,657.55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20,061,059.53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133"/>
        <w:gridCol w:w="1138"/>
        <w:gridCol w:w="850"/>
        <w:gridCol w:w="1133"/>
        <w:gridCol w:w="994"/>
        <w:gridCol w:w="422"/>
        <w:gridCol w:w="1190"/>
        <w:gridCol w:w="1018"/>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本期计入其</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本期冲减成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FY19</w:t>
            </w:r>
            <w:r>
              <w:rPr>
                <w:color w:val="000000"/>
                <w:spacing w:val="0"/>
                <w:w w:val="100"/>
                <w:position w:val="0"/>
              </w:rPr>
              <w:t>工业</w:t>
            </w:r>
            <w:r>
              <w:rPr>
                <w:rFonts w:ascii="Times New Roman" w:eastAsia="Times New Roman" w:hAnsi="Times New Roman" w:cs="Times New Roman"/>
                <w:color w:val="000000"/>
                <w:spacing w:val="0"/>
                <w:w w:val="100"/>
                <w:position w:val="0"/>
              </w:rPr>
              <w:t>APP</w:t>
            </w:r>
            <w:r>
              <w:rPr>
                <w:color w:val="000000"/>
                <w:spacing w:val="0"/>
                <w:w w:val="100"/>
                <w:position w:val="0"/>
              </w:rPr>
              <w:t>标识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Deeplan</w:t>
            </w:r>
            <w:r>
              <w:rPr>
                <w:color w:val="000000"/>
                <w:spacing w:val="0"/>
                <w:w w:val="100"/>
                <w:position w:val="0"/>
              </w:rPr>
              <w:t>通信大数据 平台研发与产业化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4,473,308.85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1,297,624.65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3,175,684.20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医疗机构大数据网络 技术，存储、传输安 全性和共享机制研究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3,040,000.00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金义都市新区龙芯适</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配运维中心扶持项目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85,386.92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2,314,613.08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FY19</w:t>
            </w:r>
            <w:r>
              <w:rPr>
                <w:color w:val="000000"/>
                <w:spacing w:val="0"/>
                <w:w w:val="100"/>
                <w:position w:val="0"/>
              </w:rPr>
              <w:t>工业</w:t>
            </w:r>
            <w:r>
              <w:rPr>
                <w:rFonts w:ascii="Times New Roman" w:eastAsia="Times New Roman" w:hAnsi="Times New Roman" w:cs="Times New Roman"/>
                <w:color w:val="000000"/>
                <w:spacing w:val="0"/>
                <w:w w:val="100"/>
                <w:position w:val="0"/>
              </w:rPr>
              <w:t>APP</w:t>
            </w:r>
            <w:r>
              <w:rPr>
                <w:color w:val="000000"/>
                <w:spacing w:val="0"/>
                <w:w w:val="100"/>
                <w:position w:val="0"/>
              </w:rPr>
              <w:t>标识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1,481,400.00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年北京市文化产 业</w:t>
            </w:r>
            <w:r>
              <w:rPr>
                <w:rFonts w:ascii="Times New Roman" w:eastAsia="Times New Roman" w:hAnsi="Times New Roman" w:cs="Times New Roman"/>
                <w:color w:val="000000"/>
                <w:spacing w:val="0"/>
                <w:w w:val="100"/>
                <w:position w:val="0"/>
              </w:rPr>
              <w:t>“</w:t>
            </w:r>
            <w:r>
              <w:rPr>
                <w:color w:val="000000"/>
                <w:spacing w:val="0"/>
                <w:w w:val="100"/>
                <w:position w:val="0"/>
              </w:rPr>
              <w:t>投贷奖</w:t>
            </w:r>
            <w:r>
              <w:rPr>
                <w:rFonts w:ascii="Times New Roman" w:eastAsia="Times New Roman" w:hAnsi="Times New Roman" w:cs="Times New Roman"/>
                <w:color w:val="000000"/>
                <w:spacing w:val="0"/>
                <w:w w:val="100"/>
                <w:position w:val="0"/>
              </w:rPr>
              <w:t>”</w:t>
            </w:r>
            <w:r>
              <w:rPr>
                <w:color w:val="000000"/>
                <w:spacing w:val="0"/>
                <w:w w:val="100"/>
                <w:position w:val="0"/>
              </w:rPr>
              <w:t>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1,574,746.00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复杂社区环境场景感</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知和智能态势认知技</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1,233,871.00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146,007.79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1,087,863.21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国家级苹果产业大数 据中心一期</w:t>
            </w:r>
            <w:r>
              <w:rPr>
                <w:rFonts w:ascii="Times New Roman" w:eastAsia="Times New Roman" w:hAnsi="Times New Roman" w:cs="Times New Roman"/>
                <w:color w:val="000000"/>
                <w:spacing w:val="0"/>
                <w:w w:val="100"/>
                <w:position w:val="0"/>
              </w:rPr>
              <w:t>（2018</w:t>
            </w:r>
            <w:r>
              <w:rPr>
                <w:color w:val="000000"/>
                <w:spacing w:val="0"/>
                <w:w w:val="100"/>
                <w:position w:val="0"/>
              </w:rPr>
              <w:t>年）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935,350.00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高效节能温室和智能</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化精细调控技术与装</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恶性肿瘤大数据处理 分析与应用研究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409,839.65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409,839.65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面向新型智慧城市的 软件互操作与集成平 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711,127.28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652,733.80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398,393.48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地级市市民公共服务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平台示范应用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386,852.83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1,277,494.18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1,346,581.80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317,765.21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704"/>
        <w:gridCol w:w="1133"/>
        <w:gridCol w:w="1138"/>
        <w:gridCol w:w="850"/>
        <w:gridCol w:w="1133"/>
        <w:gridCol w:w="994"/>
        <w:gridCol w:w="422"/>
        <w:gridCol w:w="1190"/>
        <w:gridCol w:w="1018"/>
      </w:tblGrid>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基于电子病历和信息 集成平台的医疗大数 据标准化采集和分析 处理研究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陆海接力鱼类精准养 殖关键技术集成与示 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269,500.00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基于分布式缓存数据 一致性技术的开放银 行平台项目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2,166,809.47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233,190.53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综合性科技服务协同 平台及构件库研发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32,714.17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面向智慧城市的云计</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算中心业务支撑平台</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研发及产业化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9,053,055.78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9,053,055.78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基于安全可靠软硬件 的集成开发工具</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IDE</w:t>
            </w:r>
            <w:r>
              <w:rPr>
                <w:color w:val="000000"/>
                <w:spacing w:val="0"/>
                <w:w w:val="100"/>
                <w:position w:val="0"/>
              </w:rPr>
              <w:t>）研发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453,030.94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453,030.94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基于大数据应用的电 子证照库综合服务平 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257,087.29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257,087.29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电子信息产业发展基</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金资助项目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110,053.28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110,053.28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杨凌示范区新型智慧</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构件化应用服务器技 术在市民卡运营平台 中应用实践和产业化 推广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27,407,105.90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11,465,611.18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18,811,657.55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20,061,059.53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230"/>
      <w:bookmarkEnd w:id="1231"/>
      <w:bookmarkEnd w:id="1233"/>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970,381,273.00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5,387,554.00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5,387,554.00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975,768,827.00</w:t>
            </w:r>
          </w:p>
        </w:tc>
      </w:tr>
    </w:tbl>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注：根据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日召开的第八届董事会第七次会议和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年度第二次股东大会决议的规定， 公司回购注销因个人离职的激励对象持有的限制性股票</w:t>
      </w:r>
      <w:r>
        <w:rPr>
          <w:rFonts w:ascii="Times New Roman" w:eastAsia="Times New Roman" w:hAnsi="Times New Roman" w:cs="Times New Roman"/>
          <w:color w:val="000000"/>
          <w:spacing w:val="0"/>
          <w:w w:val="100"/>
          <w:position w:val="0"/>
        </w:rPr>
        <w:t>300,000.00</w:t>
      </w:r>
      <w:r>
        <w:rPr>
          <w:color w:val="000000"/>
          <w:spacing w:val="0"/>
          <w:w w:val="100"/>
          <w:position w:val="0"/>
        </w:rPr>
        <w:t>股。上述回购注销限制性股票导致减少股本</w:t>
      </w:r>
      <w:r>
        <w:rPr>
          <w:rFonts w:ascii="Times New Roman" w:eastAsia="Times New Roman" w:hAnsi="Times New Roman" w:cs="Times New Roman"/>
          <w:color w:val="000000"/>
          <w:spacing w:val="0"/>
          <w:w w:val="100"/>
          <w:position w:val="0"/>
        </w:rPr>
        <w:t>300,000.00</w:t>
      </w:r>
      <w:r>
        <w:rPr>
          <w:color w:val="000000"/>
          <w:spacing w:val="0"/>
          <w:w w:val="100"/>
          <w:position w:val="0"/>
        </w:rPr>
        <w:t>元, 减少资本公积</w:t>
      </w:r>
      <w:r>
        <w:rPr>
          <w:rFonts w:ascii="Times New Roman" w:eastAsia="Times New Roman" w:hAnsi="Times New Roman" w:cs="Times New Roman"/>
          <w:color w:val="000000"/>
          <w:spacing w:val="0"/>
          <w:w w:val="100"/>
          <w:position w:val="0"/>
        </w:rPr>
        <w:t>1,591,800.00</w:t>
      </w:r>
      <w:r>
        <w:rPr>
          <w:color w:val="000000"/>
          <w:spacing w:val="0"/>
          <w:w w:val="100"/>
          <w:position w:val="0"/>
        </w:rPr>
        <w:t>元。本次股本变动业经中兴财光华会计师事务所（特殊普通合伙）审验，于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日出具</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了中兴财光华验字（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337002</w:t>
      </w:r>
      <w:r>
        <w:rPr>
          <w:color w:val="000000"/>
          <w:spacing w:val="0"/>
          <w:w w:val="100"/>
          <w:position w:val="0"/>
        </w:rPr>
        <w:t>号《验资报告》。上述回购的限制性股票于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 责任公司深圳分公司完成回购注销办理手续。</w:t>
      </w:r>
    </w:p>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 xml:space="preserve">根据公司股权激励计划的相关规定，公司股票期权第一个行权期激励对象中部分员工行权，合计行权股票期权数量为 </w:t>
      </w:r>
      <w:r>
        <w:rPr>
          <w:rFonts w:ascii="Times New Roman" w:eastAsia="Times New Roman" w:hAnsi="Times New Roman" w:cs="Times New Roman"/>
          <w:color w:val="000000"/>
          <w:spacing w:val="0"/>
          <w:w w:val="100"/>
          <w:position w:val="0"/>
        </w:rPr>
        <w:t>5,687,554.00</w:t>
      </w:r>
      <w:r>
        <w:rPr>
          <w:color w:val="000000"/>
          <w:spacing w:val="0"/>
          <w:w w:val="100"/>
          <w:position w:val="0"/>
        </w:rPr>
        <w:t>股。上述股票期权行权导致股本增加</w:t>
      </w:r>
      <w:r>
        <w:rPr>
          <w:rFonts w:ascii="Times New Roman" w:eastAsia="Times New Roman" w:hAnsi="Times New Roman" w:cs="Times New Roman"/>
          <w:color w:val="000000"/>
          <w:spacing w:val="0"/>
          <w:w w:val="100"/>
          <w:position w:val="0"/>
        </w:rPr>
        <w:t>5,687,554.00</w:t>
      </w:r>
      <w:r>
        <w:rPr>
          <w:color w:val="000000"/>
          <w:spacing w:val="0"/>
          <w:w w:val="100"/>
          <w:position w:val="0"/>
        </w:rPr>
        <w:t>元，资本公积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股本溢价增加</w:t>
      </w:r>
      <w:r>
        <w:rPr>
          <w:rFonts w:ascii="Times New Roman" w:eastAsia="Times New Roman" w:hAnsi="Times New Roman" w:cs="Times New Roman"/>
          <w:color w:val="000000"/>
          <w:spacing w:val="0"/>
          <w:w w:val="100"/>
          <w:position w:val="0"/>
        </w:rPr>
        <w:t>66,882,671.16</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234"/>
      <w:bookmarkEnd w:id="1235"/>
      <w:bookmarkEnd w:id="12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2,262,011,032.51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73,115,948.37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2,333,535,180.88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53,966,545.62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33,351,435.75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14,701,708.04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72,616,273.33</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2,315,977,578.13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106,467,384.12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16,293,508.04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2,406,151,454.21</w:t>
            </w:r>
          </w:p>
        </w:tc>
      </w:tr>
    </w:tbl>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股本溢价本年增加</w:t>
      </w:r>
      <w:r>
        <w:rPr>
          <w:rFonts w:ascii="Times New Roman" w:eastAsia="Times New Roman" w:hAnsi="Times New Roman" w:cs="Times New Roman"/>
          <w:color w:val="000000"/>
          <w:spacing w:val="0"/>
          <w:w w:val="100"/>
          <w:position w:val="0"/>
        </w:rPr>
        <w:t>73,115,948.37</w:t>
      </w:r>
      <w:r>
        <w:rPr>
          <w:color w:val="000000"/>
          <w:spacing w:val="0"/>
          <w:w w:val="100"/>
          <w:position w:val="0"/>
        </w:rPr>
        <w:t>元，主要系员工行权购买本公司股份</w:t>
      </w:r>
      <w:r>
        <w:rPr>
          <w:rFonts w:ascii="Times New Roman" w:eastAsia="Times New Roman" w:hAnsi="Times New Roman" w:cs="Times New Roman"/>
          <w:color w:val="000000"/>
          <w:spacing w:val="0"/>
          <w:w w:val="100"/>
          <w:position w:val="0"/>
        </w:rPr>
        <w:t>5,687,554.00</w:t>
      </w:r>
      <w:r>
        <w:rPr>
          <w:color w:val="000000"/>
          <w:spacing w:val="0"/>
          <w:w w:val="100"/>
          <w:position w:val="0"/>
        </w:rPr>
        <w:t>股，增加资本公积</w:t>
      </w:r>
      <w:r>
        <w:rPr>
          <w:rFonts w:ascii="Times New Roman" w:eastAsia="Times New Roman" w:hAnsi="Times New Roman" w:cs="Times New Roman"/>
          <w:color w:val="000000"/>
          <w:spacing w:val="0"/>
          <w:w w:val="100"/>
          <w:position w:val="0"/>
        </w:rPr>
        <w:t>-</w:t>
      </w:r>
      <w:r>
        <w:rPr>
          <w:color w:val="000000"/>
          <w:spacing w:val="0"/>
          <w:w w:val="100"/>
          <w:position w:val="0"/>
        </w:rPr>
        <w:t>股 本溢价</w:t>
      </w:r>
      <w:r>
        <w:rPr>
          <w:rFonts w:ascii="Times New Roman" w:eastAsia="Times New Roman" w:hAnsi="Times New Roman" w:cs="Times New Roman"/>
          <w:color w:val="000000"/>
          <w:spacing w:val="0"/>
          <w:w w:val="100"/>
          <w:position w:val="0"/>
        </w:rPr>
        <w:t>66,882,671.16</w:t>
      </w:r>
      <w:r>
        <w:rPr>
          <w:color w:val="000000"/>
          <w:spacing w:val="0"/>
          <w:w w:val="100"/>
          <w:position w:val="0"/>
        </w:rPr>
        <w:t>元。另外，因股票期权行权及限制性股票解锁，相应结转资本公积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其他资本资本公积至资本公积</w:t>
      </w:r>
      <w:r>
        <w:rPr>
          <w:rFonts w:ascii="Times New Roman" w:eastAsia="Times New Roman" w:hAnsi="Times New Roman" w:cs="Times New Roman"/>
          <w:color w:val="000000"/>
          <w:spacing w:val="0"/>
          <w:w w:val="100"/>
          <w:position w:val="0"/>
        </w:rPr>
        <w:t>-</w:t>
      </w:r>
      <w:r>
        <w:rPr>
          <w:color w:val="000000"/>
          <w:spacing w:val="0"/>
          <w:w w:val="100"/>
          <w:position w:val="0"/>
        </w:rPr>
        <w:t>股本 溢价</w:t>
      </w:r>
      <w:r>
        <w:rPr>
          <w:rFonts w:ascii="Times New Roman" w:eastAsia="Times New Roman" w:hAnsi="Times New Roman" w:cs="Times New Roman"/>
          <w:color w:val="000000"/>
          <w:spacing w:val="0"/>
          <w:w w:val="100"/>
          <w:position w:val="0"/>
        </w:rPr>
        <w:t xml:space="preserve">6,233,277.21 </w:t>
      </w:r>
      <w:r>
        <w:rPr>
          <w:color w:val="000000"/>
          <w:spacing w:val="0"/>
          <w:w w:val="100"/>
          <w:position w:val="0"/>
        </w:rPr>
        <w:t>元。</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股本溢价本年减少主要系公司回购注销因个人离职的激励对象持有的限制性股票</w:t>
      </w:r>
      <w:r>
        <w:rPr>
          <w:rFonts w:ascii="Times New Roman" w:eastAsia="Times New Roman" w:hAnsi="Times New Roman" w:cs="Times New Roman"/>
          <w:color w:val="000000"/>
          <w:spacing w:val="0"/>
          <w:w w:val="100"/>
          <w:position w:val="0"/>
        </w:rPr>
        <w:t>300,000.00</w:t>
      </w:r>
      <w:r>
        <w:rPr>
          <w:color w:val="000000"/>
          <w:spacing w:val="0"/>
          <w:w w:val="100"/>
          <w:position w:val="0"/>
        </w:rPr>
        <w:t>股。上述回购注 销限制性股票导致减少股本</w:t>
      </w:r>
      <w:r>
        <w:rPr>
          <w:rFonts w:ascii="Times New Roman" w:eastAsia="Times New Roman" w:hAnsi="Times New Roman" w:cs="Times New Roman"/>
          <w:color w:val="000000"/>
          <w:spacing w:val="0"/>
          <w:w w:val="100"/>
          <w:position w:val="0"/>
        </w:rPr>
        <w:t>300,000.00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,591,800.00</w:t>
      </w:r>
      <w:r>
        <w:rPr>
          <w:color w:val="000000"/>
          <w:spacing w:val="0"/>
          <w:w w:val="100"/>
          <w:position w:val="0"/>
        </w:rPr>
        <w:t>元。</w:t>
      </w:r>
    </w:p>
    <w:p>
      <w:pPr>
        <w:pStyle w:val="Style37"/>
        <w:keepNext w:val="0"/>
        <w:keepLines w:val="0"/>
        <w:widowControl w:val="0"/>
        <w:shd w:val="clear" w:color="auto" w:fill="auto"/>
        <w:bidi w:val="0"/>
        <w:spacing w:before="0" w:after="0" w:line="30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：其他资本公积本年增加系本集团向激励对象授予股票期权与限制性股票确认的股份支付费用</w:t>
      </w:r>
      <w:r>
        <w:rPr>
          <w:rFonts w:ascii="Times New Roman" w:eastAsia="Times New Roman" w:hAnsi="Times New Roman" w:cs="Times New Roman"/>
          <w:color w:val="000000"/>
          <w:spacing w:val="0"/>
          <w:w w:val="100"/>
          <w:position w:val="0"/>
        </w:rPr>
        <w:t>28,689,630.20</w:t>
      </w:r>
      <w:r>
        <w:rPr>
          <w:color w:val="000000"/>
          <w:spacing w:val="0"/>
          <w:w w:val="100"/>
          <w:position w:val="0"/>
        </w:rPr>
        <w:t>元，其 中增加其他资本公积</w:t>
      </w:r>
      <w:r>
        <w:rPr>
          <w:rFonts w:ascii="Times New Roman" w:eastAsia="Times New Roman" w:hAnsi="Times New Roman" w:cs="Times New Roman"/>
          <w:color w:val="000000"/>
          <w:spacing w:val="0"/>
          <w:w w:val="100"/>
          <w:position w:val="0"/>
        </w:rPr>
        <w:t>26,760,334.08</w:t>
      </w:r>
      <w:r>
        <w:rPr>
          <w:color w:val="000000"/>
          <w:spacing w:val="0"/>
          <w:w w:val="100"/>
          <w:position w:val="0"/>
        </w:rPr>
        <w:t>元</w:t>
      </w:r>
      <w:r>
        <w:rPr>
          <w:color w:val="000000"/>
          <w:spacing w:val="0"/>
          <w:w w:val="100"/>
          <w:position w:val="0"/>
        </w:rPr>
        <w:t>，</w:t>
      </w:r>
      <w:r>
        <w:rPr>
          <w:color w:val="000000"/>
          <w:spacing w:val="0"/>
          <w:w w:val="100"/>
          <w:position w:val="0"/>
        </w:rPr>
        <w:t>增加少数股东权益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,929,296.12</w:t>
      </w:r>
      <w:r>
        <w:rPr>
          <w:color w:val="000000"/>
          <w:spacing w:val="0"/>
          <w:w w:val="100"/>
          <w:position w:val="0"/>
        </w:rPr>
        <w:t>元；因股份支付费用确认递延所得税资产，增加其他资 本公积</w:t>
      </w:r>
      <w:r>
        <w:rPr>
          <w:rFonts w:ascii="Times New Roman" w:eastAsia="Times New Roman" w:hAnsi="Times New Roman" w:cs="Times New Roman"/>
          <w:color w:val="000000"/>
          <w:spacing w:val="0"/>
          <w:w w:val="100"/>
          <w:position w:val="0"/>
        </w:rPr>
        <w:t>780,840.9</w:t>
      </w:r>
      <w:r>
        <w:rPr>
          <w:rFonts w:ascii="Times New Roman" w:eastAsia="Times New Roman" w:hAnsi="Times New Roman" w:cs="Times New Roman"/>
          <w:color w:val="000000"/>
          <w:spacing w:val="0"/>
          <w:w w:val="100"/>
          <w:position w:val="0"/>
        </w:rPr>
        <w:t>2</w:t>
      </w:r>
      <w:r>
        <w:rPr>
          <w:color w:val="000000"/>
          <w:spacing w:val="0"/>
          <w:w w:val="100"/>
          <w:position w:val="0"/>
        </w:rPr>
        <w:t>元；因联营公司鼎捷软件资本公积变动和北京神州邦邦技术服务有限公司引入新的投资者导致本公司股权 稀释，增加其他资本公积</w:t>
      </w:r>
      <w:r>
        <w:rPr>
          <w:rFonts w:ascii="Times New Roman" w:eastAsia="Times New Roman" w:hAnsi="Times New Roman" w:cs="Times New Roman"/>
          <w:color w:val="000000"/>
          <w:spacing w:val="0"/>
          <w:w w:val="100"/>
          <w:position w:val="0"/>
        </w:rPr>
        <w:t>5,810,260.75</w:t>
      </w:r>
      <w:r>
        <w:rPr>
          <w:color w:val="000000"/>
          <w:spacing w:val="0"/>
          <w:w w:val="100"/>
          <w:position w:val="0"/>
        </w:rPr>
        <w:t>元。</w:t>
      </w:r>
    </w:p>
    <w:p>
      <w:pPr>
        <w:pStyle w:val="Style37"/>
        <w:keepNext w:val="0"/>
        <w:keepLines w:val="0"/>
        <w:widowControl w:val="0"/>
        <w:shd w:val="clear" w:color="auto" w:fill="auto"/>
        <w:bidi w:val="0"/>
        <w:spacing w:before="0" w:after="380" w:line="308" w:lineRule="exact"/>
        <w:ind w:left="0" w:right="0" w:firstLine="460"/>
        <w:jc w:val="both"/>
      </w:pPr>
      <w:r>
        <w:rPr>
          <w:color w:val="000000"/>
          <w:spacing w:val="0"/>
          <w:w w:val="100"/>
          <w:position w:val="0"/>
        </w:rPr>
        <w:t>其他资本公积本年减少包括因股票期权行权及限制性股票解锁，相应结转资本公积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其他资本资本公积至资本公积</w:t>
      </w:r>
      <w:r>
        <w:rPr>
          <w:rFonts w:ascii="Times New Roman" w:eastAsia="Times New Roman" w:hAnsi="Times New Roman" w:cs="Times New Roman"/>
          <w:color w:val="000000"/>
          <w:spacing w:val="0"/>
          <w:w w:val="100"/>
          <w:position w:val="0"/>
        </w:rPr>
        <w:t>-</w:t>
      </w:r>
      <w:r>
        <w:rPr>
          <w:color w:val="000000"/>
          <w:spacing w:val="0"/>
          <w:w w:val="100"/>
          <w:position w:val="0"/>
        </w:rPr>
        <w:t>股 本溢价</w:t>
      </w:r>
      <w:r>
        <w:rPr>
          <w:rFonts w:ascii="Times New Roman" w:eastAsia="Times New Roman" w:hAnsi="Times New Roman" w:cs="Times New Roman"/>
          <w:color w:val="000000"/>
          <w:spacing w:val="0"/>
          <w:w w:val="100"/>
          <w:position w:val="0"/>
        </w:rPr>
        <w:t>6,233,277.21</w:t>
      </w:r>
      <w:r>
        <w:rPr>
          <w:color w:val="000000"/>
          <w:spacing w:val="0"/>
          <w:w w:val="100"/>
          <w:position w:val="0"/>
        </w:rPr>
        <w:t>元；以及处置鼎捷软件股权导致资本公积减少</w:t>
      </w:r>
      <w:r>
        <w:rPr>
          <w:rFonts w:ascii="Times New Roman" w:eastAsia="Times New Roman" w:hAnsi="Times New Roman" w:cs="Times New Roman"/>
          <w:color w:val="000000"/>
          <w:spacing w:val="0"/>
          <w:w w:val="100"/>
          <w:position w:val="0"/>
        </w:rPr>
        <w:t>8,468,430.83</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238"/>
      <w:bookmarkEnd w:id="1239"/>
      <w:bookmarkEnd w:id="12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699"/>
        <w:gridCol w:w="1843"/>
        <w:gridCol w:w="1704"/>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回购流通股股票（注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139,237,351.44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139,237,351.44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44,097,750.00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23,130,300.00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20,967,450.00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44,097,750.00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139,237,351.44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23,130,300.00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160,204,801.44</w:t>
            </w:r>
          </w:p>
        </w:tc>
      </w:tr>
    </w:tbl>
    <w:p>
      <w:pPr>
        <w:pStyle w:val="Style26"/>
        <w:keepNext w:val="0"/>
        <w:keepLines w:val="0"/>
        <w:widowControl w:val="0"/>
        <w:shd w:val="clear" w:color="auto" w:fill="auto"/>
        <w:tabs>
          <w:tab w:pos="897" w:val="left"/>
        </w:tabs>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日，本公司召开的第八届董事会第七次会议审议通过了《关于以集中竞价交易方式回购公司股份方</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案的议案》，同意公司使用自有资金或自筹资金以集中竞价交易方式回购公司</w:t>
      </w:r>
      <w:r>
        <w:rPr>
          <w:rFonts w:ascii="Times New Roman" w:eastAsia="Times New Roman" w:hAnsi="Times New Roman" w:cs="Times New Roman"/>
          <w:color w:val="000000"/>
          <w:spacing w:val="0"/>
          <w:w w:val="100"/>
          <w:position w:val="0"/>
        </w:rPr>
        <w:t>A</w:t>
      </w:r>
      <w:r>
        <w:rPr>
          <w:color w:val="000000"/>
          <w:spacing w:val="0"/>
          <w:w w:val="100"/>
          <w:position w:val="0"/>
        </w:rPr>
        <w:t>股股份，用于实施公司员工持股计划或股权 激励。截至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日，公司累计回购股份</w:t>
      </w:r>
      <w:r>
        <w:rPr>
          <w:rFonts w:ascii="Times New Roman" w:eastAsia="Times New Roman" w:hAnsi="Times New Roman" w:cs="Times New Roman"/>
          <w:color w:val="000000"/>
          <w:spacing w:val="0"/>
          <w:w w:val="100"/>
          <w:position w:val="0"/>
        </w:rPr>
        <w:t>8,775,208</w:t>
      </w:r>
      <w:r>
        <w:rPr>
          <w:color w:val="000000"/>
          <w:spacing w:val="0"/>
          <w:w w:val="100"/>
          <w:position w:val="0"/>
        </w:rPr>
        <w:t>股，平均成本</w:t>
      </w:r>
      <w:r>
        <w:rPr>
          <w:rFonts w:ascii="Times New Roman" w:eastAsia="Times New Roman" w:hAnsi="Times New Roman" w:cs="Times New Roman"/>
          <w:color w:val="000000"/>
          <w:spacing w:val="0"/>
          <w:w w:val="100"/>
          <w:position w:val="0"/>
        </w:rPr>
        <w:t>15.87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股，支付总金额</w:t>
      </w:r>
      <w:r>
        <w:rPr>
          <w:rFonts w:ascii="Times New Roman" w:eastAsia="Times New Roman" w:hAnsi="Times New Roman" w:cs="Times New Roman"/>
          <w:color w:val="000000"/>
          <w:spacing w:val="0"/>
          <w:w w:val="100"/>
          <w:position w:val="0"/>
        </w:rPr>
        <w:t>139,237,351.44</w:t>
      </w:r>
      <w:r>
        <w:rPr>
          <w:color w:val="000000"/>
          <w:spacing w:val="0"/>
          <w:w w:val="100"/>
          <w:position w:val="0"/>
        </w:rPr>
        <w:t>元。</w:t>
      </w:r>
    </w:p>
    <w:p>
      <w:pPr>
        <w:pStyle w:val="Style37"/>
        <w:keepNext w:val="0"/>
        <w:keepLines w:val="0"/>
        <w:widowControl w:val="0"/>
        <w:shd w:val="clear" w:color="auto" w:fill="auto"/>
        <w:bidi w:val="0"/>
        <w:spacing w:before="0" w:line="240" w:lineRule="auto"/>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：本年减少主要系</w:t>
      </w:r>
      <w:r>
        <w:rPr>
          <w:rFonts w:ascii="Times New Roman" w:eastAsia="Times New Roman" w:hAnsi="Times New Roman" w:cs="Times New Roman"/>
          <w:color w:val="000000"/>
          <w:spacing w:val="0"/>
          <w:w w:val="100"/>
          <w:position w:val="0"/>
        </w:rPr>
        <w:t>2019</w:t>
      </w:r>
      <w:r>
        <w:rPr>
          <w:color w:val="000000"/>
          <w:spacing w:val="0"/>
          <w:w w:val="100"/>
          <w:position w:val="0"/>
        </w:rPr>
        <w:t>年股份激励计划中第一期限制性股票解锁以及回购因个人离职的激励对象持有的限制性股</w:t>
      </w:r>
    </w:p>
    <w:p>
      <w:pPr>
        <w:pStyle w:val="Style64"/>
        <w:keepNext w:val="0"/>
        <w:keepLines w:val="0"/>
        <w:widowControl w:val="0"/>
        <w:shd w:val="clear" w:color="auto" w:fill="auto"/>
        <w:bidi w:val="0"/>
        <w:spacing w:before="0" w:after="380" w:line="240" w:lineRule="auto"/>
        <w:ind w:left="0" w:right="0" w:firstLine="0"/>
        <w:jc w:val="both"/>
      </w:pPr>
      <w:r>
        <w:rPr>
          <w:rFonts w:ascii="SimSun" w:eastAsia="SimSun" w:hAnsi="SimSun" w:cs="SimSun"/>
          <w:color w:val="000000"/>
          <w:spacing w:val="0"/>
          <w:w w:val="100"/>
          <w:position w:val="0"/>
        </w:rPr>
        <w:t>票，导致库存股减少</w:t>
      </w:r>
      <w:r>
        <w:rPr>
          <w:color w:val="000000"/>
          <w:spacing w:val="0"/>
          <w:w w:val="100"/>
          <w:position w:val="0"/>
        </w:rPr>
        <w:t>23,130,300.00</w:t>
      </w:r>
      <w:r>
        <w:rPr>
          <w:rFonts w:ascii="SimSun" w:eastAsia="SimSun" w:hAnsi="SimSun" w:cs="SimSun"/>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242"/>
      <w:bookmarkEnd w:id="1243"/>
      <w:bookmarkEnd w:id="1245"/>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994"/>
        <w:gridCol w:w="5525"/>
        <w:gridCol w:w="103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bl>
    <w:p>
      <w:pPr>
        <w:spacing w:lineRule="exact" w:line="1"/>
        <w:rPr>
          <w:sz w:val="2"/>
          <w:szCs w:val="2"/>
        </w:rPr>
      </w:pPr>
      <w:r>
        <w:br w:type="page"/>
      </w:r>
    </w:p>
    <w:tbl>
      <w:tblPr>
        <w:tblOverlap w:val="never"/>
        <w:jc w:val="center"/>
        <w:tblLayout w:type="fixed"/>
      </w:tblPr>
      <w:tblGrid>
        <w:gridCol w:w="2131"/>
        <w:gridCol w:w="994"/>
        <w:gridCol w:w="989"/>
        <w:gridCol w:w="854"/>
        <w:gridCol w:w="989"/>
        <w:gridCol w:w="850"/>
        <w:gridCol w:w="994"/>
        <w:gridCol w:w="850"/>
        <w:gridCol w:w="1032"/>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本期所得税前</w:t>
            </w:r>
          </w:p>
          <w:p>
            <w:pPr>
              <w:pStyle w:val="Style2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减：前期计 入其他综合 收益当期转 入损益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减：前期计入 其他综合收益 当期转入留存 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减：所得税</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费用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60" w:line="240" w:lineRule="auto"/>
              <w:ind w:left="0" w:right="0" w:firstLine="0"/>
              <w:jc w:val="right"/>
              <w:rPr>
                <w:sz w:val="15"/>
                <w:szCs w:val="15"/>
              </w:rPr>
            </w:pPr>
            <w:r>
              <w:rPr>
                <w:color w:val="000000"/>
                <w:spacing w:val="0"/>
                <w:w w:val="100"/>
                <w:position w:val="0"/>
                <w:sz w:val="15"/>
                <w:szCs w:val="15"/>
              </w:rPr>
              <w:t>税后归属于母</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税后归属于</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―、不能重分类进损益的其他综</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-6,696,415.24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51,320,671.62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7,523,312.82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47,391,554.97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40,695,139.73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480"/>
              <w:jc w:val="left"/>
              <w:rPr>
                <w:sz w:val="15"/>
                <w:szCs w:val="15"/>
              </w:rPr>
            </w:pPr>
            <w:r>
              <w:rPr>
                <w:color w:val="000000"/>
                <w:spacing w:val="0"/>
                <w:w w:val="100"/>
                <w:position w:val="0"/>
                <w:sz w:val="15"/>
                <w:szCs w:val="15"/>
              </w:rPr>
              <w:t>权益法下不能转损益的</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480"/>
              <w:jc w:val="left"/>
              <w:rPr>
                <w:sz w:val="15"/>
                <w:szCs w:val="15"/>
              </w:rPr>
            </w:pPr>
            <w:r>
              <w:rPr>
                <w:color w:val="000000"/>
                <w:spacing w:val="0"/>
                <w:w w:val="100"/>
                <w:position w:val="0"/>
                <w:sz w:val="15"/>
                <w:szCs w:val="15"/>
              </w:rPr>
              <w:t>其他权益工具投资公允</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-3,102,219.07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51,320,671.62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7,523,312.82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43,797,358.80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40,695,139.73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二、将重分类进损益的其他综合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69,964,208.49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-6,494,840.73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5,171,455.25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-11,666,295.98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58,297,912.51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其中：权益法下可转损益的其他</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5,005,720.05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165,735.20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5,171,455.25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-5,005,720.05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64,958,488.44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-6,660,575.93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-6,660,575.93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58,297,912.51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63,267,793.25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44,825,830.89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5,171,455.25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-3,594,196.17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7,523,312.82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35,725,258.99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98,993,052.24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246"/>
      <w:bookmarkEnd w:id="1247"/>
      <w:bookmarkEnd w:id="1249"/>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27,819,745.05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7,138,280.17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34,958,025.22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250"/>
      <w:bookmarkEnd w:id="1251"/>
      <w:bookmarkEnd w:id="1253"/>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1,885,845,382.35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1,614,776,633.66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-83,463,583.36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-69,555,473.23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1,802,381,798.99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1,545,221,160.43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475,673,930.78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375,607,752.77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7,138,280.17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768,431.82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37,844,869.64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33,720,093.34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前期计入其他综合收益当期转入留存收益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-3,594,196.17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-495,005.69</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2,229,478,383.79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1,885,845,382.35</w:t>
            </w:r>
          </w:p>
        </w:tc>
      </w:tr>
    </w:tbl>
    <w:p>
      <w:pPr>
        <w:widowControl w:val="0"/>
        <w:spacing w:after="7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7"/>
        <w:keepNext w:val="0"/>
        <w:keepLines w:val="0"/>
        <w:widowControl w:val="0"/>
        <w:shd w:val="clear" w:color="auto" w:fill="auto"/>
        <w:tabs>
          <w:tab w:pos="330" w:val="left"/>
        </w:tabs>
        <w:bidi w:val="0"/>
        <w:spacing w:before="0" w:after="120" w:line="240" w:lineRule="auto"/>
        <w:ind w:left="0" w:right="0" w:firstLine="0"/>
        <w:jc w:val="left"/>
      </w:pPr>
      <w:bookmarkStart w:id="1254" w:name="bookmark1254"/>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val="0"/>
        <w:keepLines w:val="0"/>
        <w:widowControl w:val="0"/>
        <w:shd w:val="clear" w:color="auto" w:fill="auto"/>
        <w:tabs>
          <w:tab w:pos="349" w:val="left"/>
        </w:tabs>
        <w:bidi w:val="0"/>
        <w:spacing w:before="0" w:after="220" w:line="240" w:lineRule="auto"/>
        <w:ind w:left="0" w:right="0" w:firstLine="0"/>
        <w:jc w:val="left"/>
      </w:pPr>
      <w:bookmarkStart w:id="1255" w:name="bookmark1255"/>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-83,463,583.36</w:t>
      </w:r>
      <w:r>
        <w:rPr>
          <w:color w:val="000000"/>
          <w:spacing w:val="0"/>
          <w:w w:val="100"/>
          <w:position w:val="0"/>
        </w:rPr>
        <w:t>元。</w:t>
      </w:r>
      <w:r>
        <w:br w:type="page"/>
      </w:r>
    </w:p>
    <w:p>
      <w:pPr>
        <w:pStyle w:val="Style37"/>
        <w:keepNext w:val="0"/>
        <w:keepLines w:val="0"/>
        <w:widowControl w:val="0"/>
        <w:shd w:val="clear" w:color="auto" w:fill="auto"/>
        <w:tabs>
          <w:tab w:pos="339" w:val="left"/>
        </w:tabs>
        <w:bidi w:val="0"/>
        <w:spacing w:before="0" w:after="120" w:line="240" w:lineRule="auto"/>
        <w:ind w:left="0" w:right="0" w:firstLine="0"/>
        <w:jc w:val="left"/>
      </w:pPr>
      <w:bookmarkStart w:id="1256" w:name="bookmark1256"/>
      <w:r>
        <w:rPr>
          <w:rFonts w:ascii="Times New Roman" w:eastAsia="Times New Roman" w:hAnsi="Times New Roman" w:cs="Times New Roman"/>
          <w:color w:val="000000"/>
          <w:spacing w:val="0"/>
          <w:w w:val="100"/>
          <w:position w:val="0"/>
        </w:rPr>
        <w:t>3</w:t>
      </w:r>
      <w:bookmarkEnd w:id="125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val="0"/>
        <w:keepLines w:val="0"/>
        <w:widowControl w:val="0"/>
        <w:shd w:val="clear" w:color="auto" w:fill="auto"/>
        <w:tabs>
          <w:tab w:pos="349" w:val="left"/>
        </w:tabs>
        <w:bidi w:val="0"/>
        <w:spacing w:before="0" w:after="120" w:line="240" w:lineRule="auto"/>
        <w:ind w:left="0" w:right="0" w:firstLine="0"/>
        <w:jc w:val="left"/>
      </w:pPr>
      <w:bookmarkStart w:id="1257" w:name="bookmark1257"/>
      <w:r>
        <w:rPr>
          <w:rFonts w:ascii="Times New Roman" w:eastAsia="Times New Roman" w:hAnsi="Times New Roman" w:cs="Times New Roman"/>
          <w:color w:val="000000"/>
          <w:spacing w:val="0"/>
          <w:w w:val="100"/>
          <w:position w:val="0"/>
        </w:rPr>
        <w:t>4</w:t>
      </w:r>
      <w:bookmarkEnd w:id="125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val="0"/>
        <w:keepLines w:val="0"/>
        <w:widowControl w:val="0"/>
        <w:shd w:val="clear" w:color="auto" w:fill="auto"/>
        <w:tabs>
          <w:tab w:pos="349" w:val="left"/>
        </w:tabs>
        <w:bidi w:val="0"/>
        <w:spacing w:before="0" w:after="380" w:line="240" w:lineRule="auto"/>
        <w:ind w:left="0" w:right="0" w:firstLine="0"/>
        <w:jc w:val="left"/>
      </w:pPr>
      <w:bookmarkStart w:id="1258" w:name="bookmark1258"/>
      <w:r>
        <w:rPr>
          <w:rFonts w:ascii="Times New Roman" w:eastAsia="Times New Roman" w:hAnsi="Times New Roman" w:cs="Times New Roman"/>
          <w:color w:val="000000"/>
          <w:spacing w:val="0"/>
          <w:w w:val="100"/>
          <w:position w:val="0"/>
        </w:rPr>
        <w:t>5</w:t>
      </w:r>
      <w:bookmarkEnd w:id="125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259"/>
      <w:bookmarkEnd w:id="1260"/>
      <w:bookmarkEnd w:id="1262"/>
    </w:p>
    <w:p>
      <w:pPr>
        <w:pStyle w:val="Style41"/>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3" w:name="bookmark12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59"/>
      <w:bookmarkEnd w:id="1260"/>
      <w:bookmarkEnd w:id="12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10,679,984,813.94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8,859,232,129.93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10,139,884,706.88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8,261,358,887.15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5,992,018.06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6,123,464.03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371,450.70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10,685,976,832.00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8,859,603,580.61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10,146,008,170.91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8,261,730,337.85</w:t>
            </w:r>
          </w:p>
        </w:tc>
      </w:tr>
    </w:tbl>
    <w:p>
      <w:pPr>
        <w:pStyle w:val="Style37"/>
        <w:keepNext w:val="0"/>
        <w:keepLines w:val="0"/>
        <w:widowControl w:val="0"/>
        <w:shd w:val="clear" w:color="auto" w:fill="auto"/>
        <w:bidi w:val="0"/>
        <w:spacing w:before="0" w:after="0" w:line="350" w:lineRule="exact"/>
        <w:ind w:left="0" w:right="0" w:firstLine="380"/>
        <w:jc w:val="left"/>
      </w:pPr>
      <w:r>
        <w:rPr>
          <w:color w:val="000000"/>
          <w:spacing w:val="0"/>
          <w:w w:val="100"/>
          <w:position w:val="0"/>
        </w:rPr>
        <w:t>注：其他业务收入主要系餐厅和办公楼的房租收入，餐厅相关折旧成本部分在</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中核算。 经审计扣除非经常损益前后净利润孰低是否为负值</w:t>
      </w:r>
    </w:p>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3970"/>
        <w:gridCol w:w="355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6,081,206,555.56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6,081,206,555.56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4,598,778,258.38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4,598,778,258.38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5,992,018.06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5,992,018.06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按经营地区类型分类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10,555,957,619.70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10,555,957,619.70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130,019,212.30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130,019,212.30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4,243,847,549.86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4,243,847,549.86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3,525,238,962.48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3,525,238,962.48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2,483,716,545.79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2,483,716,545.79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433,173,773.87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433,173,773.87</w:t>
            </w:r>
          </w:p>
        </w:tc>
      </w:tr>
    </w:tbl>
    <w:p>
      <w:pPr>
        <w:pStyle w:val="Style37"/>
        <w:keepNext w:val="0"/>
        <w:keepLines w:val="0"/>
        <w:widowControl w:val="0"/>
        <w:shd w:val="clear" w:color="auto" w:fill="auto"/>
        <w:bidi w:val="0"/>
        <w:spacing w:before="0" w:after="240" w:line="355" w:lineRule="exact"/>
        <w:ind w:left="0" w:right="0" w:firstLine="0"/>
        <w:jc w:val="left"/>
      </w:pPr>
      <w:r>
        <w:rPr>
          <w:color w:val="000000"/>
          <w:spacing w:val="0"/>
          <w:w w:val="100"/>
          <w:position w:val="0"/>
        </w:rPr>
        <w:t>与履约义务相关的信息: 无</w:t>
      </w:r>
      <w:r>
        <w:br w:type="page"/>
      </w:r>
    </w:p>
    <w:p>
      <w:pPr>
        <w:pStyle w:val="Style37"/>
        <w:keepNext w:val="0"/>
        <w:keepLines w:val="0"/>
        <w:widowControl w:val="0"/>
        <w:shd w:val="clear" w:color="auto" w:fill="auto"/>
        <w:bidi w:val="0"/>
        <w:spacing w:before="0" w:after="60" w:line="307" w:lineRule="exact"/>
        <w:ind w:left="0" w:right="0" w:firstLine="0"/>
        <w:jc w:val="both"/>
      </w:pPr>
      <w:r>
        <w:rPr>
          <w:color w:val="000000"/>
          <w:spacing w:val="0"/>
          <w:w w:val="100"/>
          <w:position w:val="0"/>
        </w:rPr>
        <w:t>与分摊至剩余履约义务的交易价格相关的信息：</w:t>
      </w:r>
    </w:p>
    <w:p>
      <w:pPr>
        <w:pStyle w:val="Style37"/>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630,219.94</w:t>
      </w:r>
      <w:r>
        <w:rPr>
          <w:color w:val="000000"/>
          <w:spacing w:val="0"/>
          <w:w w:val="100"/>
          <w:position w:val="0"/>
        </w:rPr>
        <w:t>万元，其中，</w:t>
      </w:r>
      <w:r>
        <w:rPr>
          <w:rFonts w:ascii="Times New Roman" w:eastAsia="Times New Roman" w:hAnsi="Times New Roman" w:cs="Times New Roman"/>
          <w:color w:val="000000"/>
          <w:spacing w:val="0"/>
          <w:w w:val="100"/>
          <w:position w:val="0"/>
        </w:rPr>
        <w:t>577,099.67</w:t>
      </w:r>
      <w:r>
        <w:rPr>
          <w:color w:val="000000"/>
          <w:spacing w:val="0"/>
          <w:w w:val="100"/>
          <w:position w:val="0"/>
        </w:rPr>
        <w:t>万 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35,048.12</w:t>
      </w:r>
      <w:r>
        <w:rPr>
          <w:color w:val="000000"/>
          <w:spacing w:val="0"/>
          <w:w w:val="100"/>
          <w:position w:val="0"/>
        </w:rPr>
        <w:t>万元预计将于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13,878.34</w:t>
      </w:r>
      <w:r>
        <w:rPr>
          <w:color w:val="000000"/>
          <w:spacing w:val="0"/>
          <w:w w:val="100"/>
          <w:position w:val="0"/>
        </w:rPr>
        <w:t>万元预计将于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41"/>
        <w:keepNext/>
        <w:keepLines/>
        <w:widowControl w:val="0"/>
        <w:shd w:val="clear" w:color="auto" w:fill="auto"/>
        <w:bidi w:val="0"/>
        <w:spacing w:before="0" w:after="380" w:line="240" w:lineRule="auto"/>
        <w:ind w:left="0" w:right="0" w:firstLine="0"/>
        <w:jc w:val="both"/>
      </w:pPr>
      <w:bookmarkStart w:id="1264" w:name="bookmark1264"/>
      <w:bookmarkStart w:id="1265" w:name="bookmark1265"/>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）营业成本构成明细</w:t>
      </w:r>
      <w:bookmarkEnd w:id="1264"/>
      <w:bookmarkEnd w:id="1265"/>
      <w:bookmarkEnd w:id="12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设备类采购款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5,213,004,316.53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4,302,089,406.98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人工及技术协作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3,491,635,786.71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3,489,606,484.85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154,963,477.37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470,034,446.02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8,859,603,580.61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8,261,730,337.85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267"/>
      <w:bookmarkEnd w:id="1268"/>
      <w:bookmarkEnd w:id="1270"/>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20,096,924.45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17,505,146.08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8,617,368.71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7,507,583.08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7,386,068.96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4,919,260.77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5,744,101.76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4,995,836.85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2,480,149.42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3,018,594.78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109,814.21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109,188.59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25,445.21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47,285.19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44,459,872.72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38,102,895.34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271"/>
      <w:bookmarkEnd w:id="1272"/>
      <w:bookmarkEnd w:id="1274"/>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263,719,347.48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242,126,247.70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47,869,948.04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77,228,147.75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37,433,562.34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38,292,878.64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28,668,093.11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66,737,439.54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22,602,107.45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20,609,831.84</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15,535,677.61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13,810,775.73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运输及仓储费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13,594,468.03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11,915,411.05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6,378,279.19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6,407,871.19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5,831,047.34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10,984,014.00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3,559,111.68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5,829,887.00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3,153,074.11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3,460,662.33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1,722,436.59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6,521,700.49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450,067,152.97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503,924,867.26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275"/>
      <w:bookmarkEnd w:id="1276"/>
      <w:bookmarkEnd w:id="1278"/>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190,894,007.33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279,271,112.19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25,923,375.12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8,866,109.64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16,207,273.40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7,489,285.64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13,606,055.49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24,702,084.88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11,815,826.83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18,611,296.04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11,783,000.56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18,779,969.68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9,692,714.13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23,635,218.03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3,819,654.82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3,754,024.23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1,526,119.10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2,931,610.30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1,754,768.04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14,417,081.35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287,022,794.82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402,457,791.98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4</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279"/>
      <w:bookmarkEnd w:id="1280"/>
      <w:bookmarkEnd w:id="1282"/>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304,046,269.01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186,792,424.14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96,542,240.96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82,267,106.94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34,496,061.56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30,431,295.30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26,559,060.31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35,886,168.75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17,258,298.00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10,763,497.56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9,861,329.20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2,033,076.87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9,779,838.88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9,542,340.20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8,856,485.51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9,023,299.07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3,164,561.01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3,160,970.54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254,006.82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5,046,411.13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510,818,151.26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374,946,590.50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283"/>
      <w:bookmarkEnd w:id="1284"/>
      <w:bookmarkEnd w:id="128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43,683,205.49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80,376,342.55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5,028,679.76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6,360,293.56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加：汇兑损失（收益以填列）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-7,621,924.57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2,208,724.94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加：手续费支出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6,494,961.89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6,495,549.03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1,068,441.82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-1,234,164.47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38,596,004.87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81,486,158.49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287"/>
      <w:bookmarkEnd w:id="1288"/>
      <w:bookmarkEnd w:id="1290"/>
    </w:p>
    <w:p>
      <w:pPr>
        <w:pStyle w:val="Style41"/>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）其他收益明细</w:t>
      </w:r>
      <w:bookmarkEnd w:id="1287"/>
      <w:bookmarkEnd w:id="1288"/>
      <w:bookmarkEnd w:id="1291"/>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53,247,604.14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52,924,517.61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3,885,455.45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2,529,727.70</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57,133,059.59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55,454,245.31</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140"/>
        <w:jc w:val="both"/>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r>
        <w:rPr>
          <w:color w:val="000000"/>
          <w:spacing w:val="0"/>
          <w:w w:val="100"/>
          <w:position w:val="0"/>
        </w:rPr>
        <w:t>）政府补助明细</w:t>
      </w:r>
      <w:bookmarkEnd w:id="1292"/>
      <w:bookmarkEnd w:id="1293"/>
      <w:bookmarkEnd w:id="1294"/>
    </w:p>
    <w:tbl>
      <w:tblPr>
        <w:tblOverlap w:val="never"/>
        <w:jc w:val="center"/>
        <w:tblLayout w:type="fixed"/>
      </w:tblPr>
      <w:tblGrid>
        <w:gridCol w:w="6384"/>
        <w:gridCol w:w="2126"/>
        <w:gridCol w:w="107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11,406,836.61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面向智慧城市的云计算中心业务支撑平台研发及产业化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9,053,055.78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发展资金补助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7,803,969.00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3,850,064.77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稳定岗位补贴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2,968,529.20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基于分布式缓存数据一致性技术的开放银行平台项目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2,166,809.47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年海淀区重点培育企业资金事项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杨凌示范区新型智慧城市建设项目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6384"/>
        <w:gridCol w:w="2126"/>
        <w:gridCol w:w="1070"/>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地级市市民公共服务平台示范应用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1,346,581.80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Deeplan</w:t>
            </w:r>
            <w:r>
              <w:rPr>
                <w:color w:val="000000"/>
                <w:spacing w:val="0"/>
                <w:w w:val="100"/>
                <w:position w:val="0"/>
              </w:rPr>
              <w:t>通信大数据平台研发与产业化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1,297,624.65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年度区经济发展考核奖励</w:t>
            </w:r>
            <w:r>
              <w:rPr>
                <w:rFonts w:ascii="Times New Roman" w:eastAsia="Times New Roman" w:hAnsi="Times New Roman" w:cs="Times New Roman"/>
                <w:color w:val="000000"/>
                <w:spacing w:val="0"/>
                <w:w w:val="100"/>
                <w:position w:val="0"/>
              </w:rPr>
              <w:t>-</w:t>
            </w:r>
            <w:r>
              <w:rPr>
                <w:color w:val="000000"/>
                <w:spacing w:val="0"/>
                <w:w w:val="100"/>
                <w:position w:val="0"/>
              </w:rPr>
              <w:t>培育软件产业发展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1,138,700.00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FY19</w:t>
            </w:r>
            <w:r>
              <w:rPr>
                <w:color w:val="000000"/>
                <w:spacing w:val="0"/>
                <w:w w:val="100"/>
                <w:position w:val="0"/>
              </w:rPr>
              <w:t>工业</w:t>
            </w:r>
            <w:r>
              <w:rPr>
                <w:rFonts w:ascii="Times New Roman" w:eastAsia="Times New Roman" w:hAnsi="Times New Roman" w:cs="Times New Roman"/>
                <w:color w:val="000000"/>
                <w:spacing w:val="0"/>
                <w:w w:val="100"/>
                <w:position w:val="0"/>
              </w:rPr>
              <w:t>APP</w:t>
            </w:r>
            <w:r>
              <w:rPr>
                <w:color w:val="000000"/>
                <w:spacing w:val="0"/>
                <w:w w:val="100"/>
                <w:position w:val="0"/>
              </w:rPr>
              <w:t>标识管理服务系统项目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1,118,600.00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年中关村科技型小微企业研发补贴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面向新型智慧城市的软件互操作与集成平台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652,733.80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省级工业和信息产业转型升级专项资金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南京市软件行业协会专项补贴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年海淀区企业研发费用补贴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基于安全可靠软硬件的集成开发工具</w:t>
            </w:r>
            <w:r>
              <w:rPr>
                <w:color w:val="000000"/>
                <w:spacing w:val="0"/>
                <w:w w:val="100"/>
                <w:position w:val="0"/>
              </w:rPr>
              <w:t>（</w:t>
            </w:r>
            <w:r>
              <w:rPr>
                <w:rFonts w:ascii="Times New Roman" w:eastAsia="Times New Roman" w:hAnsi="Times New Roman" w:cs="Times New Roman"/>
                <w:color w:val="000000"/>
                <w:spacing w:val="0"/>
                <w:w w:val="100"/>
                <w:position w:val="0"/>
              </w:rPr>
              <w:t>IDE</w:t>
            </w:r>
            <w:r>
              <w:rPr>
                <w:color w:val="000000"/>
                <w:spacing w:val="0"/>
                <w:w w:val="100"/>
                <w:position w:val="0"/>
              </w:rPr>
              <w:t>）</w:t>
            </w:r>
            <w:r>
              <w:rPr>
                <w:color w:val="000000"/>
                <w:spacing w:val="0"/>
                <w:w w:val="100"/>
                <w:position w:val="0"/>
              </w:rPr>
              <w:t>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453,030.94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上海市临空经济园区企业扶持资金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447,000.00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年海淀区重大科技项目和创新平台奖励专项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年度区经济发展考核奖励</w:t>
            </w:r>
            <w:r>
              <w:rPr>
                <w:rFonts w:ascii="Times New Roman" w:eastAsia="Times New Roman" w:hAnsi="Times New Roman" w:cs="Times New Roman"/>
                <w:color w:val="000000"/>
                <w:spacing w:val="0"/>
                <w:w w:val="100"/>
                <w:position w:val="0"/>
              </w:rPr>
              <w:t>-</w:t>
            </w:r>
            <w:r>
              <w:rPr>
                <w:color w:val="000000"/>
                <w:spacing w:val="0"/>
                <w:w w:val="100"/>
                <w:position w:val="0"/>
              </w:rPr>
              <w:t>区级研发费用奖励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国家级苹果产业大数据中心一期（</w:t>
            </w:r>
            <w:r>
              <w:rPr>
                <w:rFonts w:ascii="Times New Roman" w:eastAsia="Times New Roman" w:hAnsi="Times New Roman" w:cs="Times New Roman"/>
                <w:color w:val="000000"/>
                <w:spacing w:val="0"/>
                <w:w w:val="100"/>
                <w:position w:val="0"/>
              </w:rPr>
              <w:t>2018</w:t>
            </w:r>
            <w:r>
              <w:rPr>
                <w:color w:val="000000"/>
                <w:spacing w:val="0"/>
                <w:w w:val="100"/>
                <w:position w:val="0"/>
              </w:rPr>
              <w:t>年）项目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257,400.00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基于大数据应用的电子证照库综合服务平台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257,087.29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两化融合贯标和企业上云切块奖励资金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构件化应用服务器技术在市民卡运营平台中应用实践和产业化推广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210,000.00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优秀雏鹰企业成长奖励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年农业科技小巨人企业奖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年度区经济发展考核奖励</w:t>
            </w:r>
            <w:r>
              <w:rPr>
                <w:rFonts w:ascii="Times New Roman" w:eastAsia="Times New Roman" w:hAnsi="Times New Roman" w:cs="Times New Roman"/>
                <w:color w:val="000000"/>
                <w:spacing w:val="0"/>
                <w:w w:val="100"/>
                <w:position w:val="0"/>
              </w:rPr>
              <w:t>-</w:t>
            </w:r>
            <w:r>
              <w:rPr>
                <w:color w:val="000000"/>
                <w:spacing w:val="0"/>
                <w:w w:val="100"/>
                <w:position w:val="0"/>
              </w:rPr>
              <w:t>产学研备案奖励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复杂社区环境场景感知和智能态势认知技术研发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146,007.79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电子信息产业发展基金资助项目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110,053.28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年度区经济发展考核奖励</w:t>
            </w:r>
            <w:r>
              <w:rPr>
                <w:rFonts w:ascii="Times New Roman" w:eastAsia="Times New Roman" w:hAnsi="Times New Roman" w:cs="Times New Roman"/>
                <w:color w:val="000000"/>
                <w:spacing w:val="0"/>
                <w:w w:val="100"/>
                <w:position w:val="0"/>
              </w:rPr>
              <w:t>-2019</w:t>
            </w:r>
            <w:r>
              <w:rPr>
                <w:color w:val="000000"/>
                <w:spacing w:val="0"/>
                <w:w w:val="100"/>
                <w:position w:val="0"/>
              </w:rPr>
              <w:t>年度科技创新创业平台绩效考核优秀奖励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校企合作人才共育项目奖励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年服务业奖励资金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企业知识产权管理体系贯标补贴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99,000.00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金义都市新区龙芯适配运维中心扶持项目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85,386.92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在京参保滞留湖北人员临时性岗位补贴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70,840.00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国家级高新企业认定奖励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综合性科技服务协同平台及构件库研发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57,285.83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年度经济发展考核奖励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156,007.01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53,247,604.14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295"/>
      <w:bookmarkEnd w:id="1296"/>
      <w:bookmarkEnd w:id="129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256,070,413.25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42,370,357.37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22,261,900.04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19,610,861.21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20,381,740.08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32,164,766.68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5,423,986.98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5,245,677.58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-50,155.91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-44,952.72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407,734.80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309,333,562.02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94,508,767.34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4</w:t>
      </w:r>
      <w:bookmarkEnd w:id="1301"/>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299"/>
      <w:bookmarkEnd w:id="1300"/>
      <w:bookmarkEnd w:id="1302"/>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-5,971,463.87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-1,959,628.15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4</w:t>
      </w:r>
      <w:bookmarkEnd w:id="1305"/>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03"/>
      <w:bookmarkEnd w:id="1304"/>
      <w:bookmarkEnd w:id="130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-48,982,802.87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-81,642,459.68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-7,070,817.18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-3,707,868.28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-2,251,106.00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111,661.59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-116,583.89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-58,193,064.46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-85,466,911.85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07"/>
      <w:bookmarkEnd w:id="1308"/>
      <w:bookmarkEnd w:id="1310"/>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-119,441,363.36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-95,699,379.37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-76,328,539.72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-76,890,945.74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-2,040,755.57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-292,031,688.47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-78,369,295.29</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311"/>
      <w:bookmarkEnd w:id="1312"/>
      <w:bookmarkEnd w:id="131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1,442,148.32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58,440.82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中农信达原股东补偿款（注）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19,517,744.74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19,517,744.74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2,977,329.79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4,622,998.03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2,977,329.79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22,553,515.35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6,065,146.35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22,553,515.35</w:t>
            </w:r>
          </w:p>
        </w:tc>
      </w:tr>
    </w:tbl>
    <w:p>
      <w:pPr>
        <w:pStyle w:val="Style37"/>
        <w:keepNext w:val="0"/>
        <w:keepLines w:val="0"/>
        <w:widowControl w:val="0"/>
        <w:shd w:val="clear" w:color="auto" w:fill="auto"/>
        <w:bidi w:val="0"/>
        <w:spacing w:before="0" w:after="360" w:line="312" w:lineRule="exact"/>
        <w:ind w:left="0" w:right="0" w:firstLine="240"/>
        <w:jc w:val="both"/>
      </w:pPr>
      <w:r>
        <w:rPr>
          <w:color w:val="000000"/>
          <w:spacing w:val="0"/>
          <w:w w:val="100"/>
          <w:position w:val="0"/>
        </w:rPr>
        <w:t>注：根据</w:t>
      </w:r>
      <w:r>
        <w:rPr>
          <w:rFonts w:ascii="Times New Roman" w:eastAsia="Times New Roman" w:hAnsi="Times New Roman" w:cs="Times New Roman"/>
          <w:color w:val="000000"/>
          <w:spacing w:val="0"/>
          <w:w w:val="100"/>
          <w:position w:val="0"/>
        </w:rPr>
        <w:t>2014</w:t>
      </w:r>
      <w:r>
        <w:rPr>
          <w:color w:val="000000"/>
          <w:spacing w:val="0"/>
          <w:w w:val="100"/>
          <w:position w:val="0"/>
        </w:rPr>
        <w:t>年公司与中农信达签订的《发行股份及支付现金购买资产》协议约定，以中农信达</w:t>
      </w:r>
      <w:r>
        <w:rPr>
          <w:rFonts w:ascii="Times New Roman" w:eastAsia="Times New Roman" w:hAnsi="Times New Roman" w:cs="Times New Roman"/>
          <w:color w:val="000000"/>
          <w:spacing w:val="0"/>
          <w:w w:val="100"/>
          <w:position w:val="0"/>
        </w:rPr>
        <w:t>2016</w:t>
      </w:r>
      <w:r>
        <w:rPr>
          <w:color w:val="000000"/>
          <w:spacing w:val="0"/>
          <w:w w:val="100"/>
          <w:position w:val="0"/>
        </w:rPr>
        <w:t>年末的应收账款净 额的</w:t>
      </w:r>
      <w:r>
        <w:rPr>
          <w:rFonts w:ascii="Times New Roman" w:eastAsia="Times New Roman" w:hAnsi="Times New Roman" w:cs="Times New Roman"/>
          <w:color w:val="000000"/>
          <w:spacing w:val="0"/>
          <w:w w:val="100"/>
          <w:position w:val="0"/>
        </w:rPr>
        <w:t>85%</w:t>
      </w:r>
      <w:r>
        <w:rPr>
          <w:color w:val="000000"/>
          <w:spacing w:val="0"/>
          <w:w w:val="100"/>
          <w:position w:val="0"/>
        </w:rPr>
        <w:t>为基数，截至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日若上述应收账款未能回款，由原五名股东向公司支付现金予以补足，补偿款为 </w:t>
      </w:r>
      <w:r>
        <w:rPr>
          <w:rFonts w:ascii="Times New Roman" w:eastAsia="Times New Roman" w:hAnsi="Times New Roman" w:cs="Times New Roman"/>
          <w:color w:val="000000"/>
          <w:spacing w:val="0"/>
          <w:w w:val="100"/>
          <w:position w:val="0"/>
        </w:rPr>
        <w:t>19,517,744.74</w:t>
      </w:r>
      <w:r>
        <w:rPr>
          <w:color w:val="000000"/>
          <w:spacing w:val="0"/>
          <w:w w:val="100"/>
          <w:position w:val="0"/>
        </w:rPr>
        <w:t>元。公司已全额收到上述补偿款。</w:t>
      </w:r>
    </w:p>
    <w:p>
      <w:pPr>
        <w:pStyle w:val="Style41"/>
        <w:keepNext/>
        <w:keepLines/>
        <w:widowControl w:val="0"/>
        <w:shd w:val="clear" w:color="auto" w:fill="auto"/>
        <w:bidi w:val="0"/>
        <w:spacing w:before="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315"/>
      <w:bookmarkEnd w:id="1316"/>
      <w:bookmarkEnd w:id="131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1,740,000.00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预计诉讼赔偿及实际诉讼赔 偿款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1,321,484.19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25,318,470.75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1,321,484.19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816,339.84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4,942,764.47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816,339.84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6,895,723.88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1,413,768.84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6,895,723.88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10,773,547.91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33,675,004.06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10,773,547.91</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5</w:t>
      </w:r>
      <w:bookmarkEnd w:id="1321"/>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319"/>
      <w:bookmarkEnd w:id="1320"/>
      <w:bookmarkEnd w:id="1322"/>
    </w:p>
    <w:p>
      <w:pPr>
        <w:pStyle w:val="Style41"/>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19"/>
      <w:bookmarkEnd w:id="1320"/>
      <w:bookmarkEnd w:id="1323"/>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86,765,315.75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57,223,631.36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-35,688,619.04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1,140,309.39</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51,076,696.71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58,363,940.75</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140"/>
        <w:jc w:val="left"/>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24"/>
      <w:bookmarkEnd w:id="1325"/>
      <w:bookmarkEnd w:id="132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517,459,647.00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129,364,911.75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-88,246,429.73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-5,942,580.57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59,753,447.88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-20,995,584.68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29,656,448.78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-52,513,516.72</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51,076,696.71</w:t>
            </w:r>
          </w:p>
        </w:tc>
      </w:tr>
    </w:tbl>
    <w:p>
      <w:pPr>
        <w:widowControl w:val="0"/>
        <w:spacing w:after="359" w:line="1" w:lineRule="exact"/>
      </w:pPr>
    </w:p>
    <w:p>
      <w:pPr>
        <w:pStyle w:val="Style41"/>
        <w:keepNext/>
        <w:keepLines/>
        <w:widowControl w:val="0"/>
        <w:shd w:val="clear" w:color="auto" w:fill="auto"/>
        <w:tabs>
          <w:tab w:pos="483" w:val="left"/>
        </w:tabs>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5</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327"/>
      <w:bookmarkEnd w:id="1328"/>
      <w:bookmarkEnd w:id="1330"/>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34</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41"/>
        <w:keepNext/>
        <w:keepLines/>
        <w:widowControl w:val="0"/>
        <w:shd w:val="clear" w:color="auto" w:fill="auto"/>
        <w:tabs>
          <w:tab w:pos="483"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5</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331"/>
      <w:bookmarkEnd w:id="1332"/>
      <w:bookmarkEnd w:id="1334"/>
    </w:p>
    <w:p>
      <w:pPr>
        <w:pStyle w:val="Style41"/>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31"/>
      <w:bookmarkEnd w:id="1332"/>
      <w:bookmarkEnd w:id="1335"/>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收到受限资金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68,138,515.65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10,305,565.14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30,644,270.36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44,383,986.46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5,028,679.76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6,360,293.56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22,877,376.88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32,903,225.31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126,688,842.65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93,953,070.47</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14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36"/>
      <w:bookmarkEnd w:id="1337"/>
      <w:bookmarkEnd w:id="133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174,117,082.96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199,925,660.92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158,093,776.59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74,243,173.69</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80,382,206.88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128,223,637.50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50,010,550.66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63,429,314.04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40,995,477.83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37,039,024.71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租金及租赁维修费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38,614,032.70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39,855,953.59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保证金、房租押金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35,628,885.98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475,725.77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交通费及运输仓储费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31,114,126.17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27,643,446.30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19,742,784.61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20,457,415.25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13,269,582.18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11,953,857.72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6,533,301.95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10,975,373.27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5,900,106.83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2,701,283.12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34,161,525.25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22,317,119.35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688,563,440.59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639,240,985.23</w:t>
            </w:r>
          </w:p>
        </w:tc>
      </w:tr>
    </w:tbl>
    <w:p>
      <w:pPr>
        <w:widowControl w:val="0"/>
        <w:spacing w:after="319" w:line="1" w:lineRule="exact"/>
      </w:pPr>
    </w:p>
    <w:p>
      <w:pPr>
        <w:pStyle w:val="Style41"/>
        <w:keepNext/>
        <w:keepLines/>
        <w:widowControl w:val="0"/>
        <w:numPr>
          <w:ilvl w:val="0"/>
          <w:numId w:val="35"/>
        </w:numPr>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收到的其他与投资活动有关的现金</w:t>
      </w:r>
      <w:bookmarkEnd w:id="1339"/>
      <w:bookmarkEnd w:id="1340"/>
      <w:bookmarkEnd w:id="1342"/>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收到的理财产品款项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11,700,600,000.00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12,705,680,000.00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收回对神州灵云的借款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17,010,871.24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收到投资保证金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11,718,610,871.24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12,705,680,000.00</w:t>
            </w:r>
          </w:p>
        </w:tc>
      </w:tr>
    </w:tbl>
    <w:p>
      <w:pPr>
        <w:widowControl w:val="0"/>
        <w:spacing w:after="319" w:line="1" w:lineRule="exact"/>
      </w:pPr>
    </w:p>
    <w:p>
      <w:pPr>
        <w:pStyle w:val="Style41"/>
        <w:keepNext/>
        <w:keepLines/>
        <w:widowControl w:val="0"/>
        <w:numPr>
          <w:ilvl w:val="0"/>
          <w:numId w:val="35"/>
        </w:numPr>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支付的其他与投资活动有关的现金</w:t>
      </w:r>
      <w:bookmarkEnd w:id="1343"/>
      <w:bookmarkEnd w:id="1344"/>
      <w:bookmarkEnd w:id="134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支付的理财产品以及衍生品款项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11,664,500,000.00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12,406,480,000.00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支付股权转让缴纳的所得税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39,843,264.50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11,704,343,264.50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12,406,480,000.00</w:t>
            </w:r>
          </w:p>
        </w:tc>
      </w:tr>
    </w:tbl>
    <w:p>
      <w:pPr>
        <w:widowControl w:val="0"/>
        <w:spacing w:after="319" w:line="1" w:lineRule="exact"/>
      </w:pPr>
    </w:p>
    <w:p>
      <w:pPr>
        <w:pStyle w:val="Style41"/>
        <w:keepNext/>
        <w:keepLines/>
        <w:widowControl w:val="0"/>
        <w:numPr>
          <w:ilvl w:val="0"/>
          <w:numId w:val="35"/>
        </w:numPr>
        <w:shd w:val="clear" w:color="auto" w:fill="auto"/>
        <w:bidi w:val="0"/>
        <w:spacing w:before="0" w:after="32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收到的其他与筹资活动有关的现金</w:t>
      </w:r>
      <w:bookmarkEnd w:id="1347"/>
      <w:bookmarkEnd w:id="1348"/>
      <w:bookmarkEnd w:id="135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诉讼案和解收回受限资金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27,202,401.40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神州灵云收到的其他股东借款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1,740,476.00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32,002,401.40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1,740,476.00</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w:t>
      </w:r>
      <w:bookmarkEnd w:id="135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51"/>
      <w:bookmarkEnd w:id="1352"/>
      <w:bookmarkEnd w:id="1354"/>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回购流通股股票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139,237,351.44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支付案件和解款（附注七、</w:t>
            </w:r>
            <w:r>
              <w:rPr>
                <w:rFonts w:ascii="Times New Roman" w:eastAsia="Times New Roman" w:hAnsi="Times New Roman" w:cs="Times New Roman"/>
                <w:color w:val="000000"/>
                <w:spacing w:val="0"/>
                <w:w w:val="100"/>
                <w:position w:val="0"/>
              </w:rPr>
              <w:t>29</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神州灵云偿还其他股东借款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2,077,568.55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因员工离职回购限制性股票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手续费及担保费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588,091.61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2,058,972.79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因未决诉讼被冻结的资金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410,754.32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购买中能国电（北京）新能源投资有限 公司少数股东股权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71,677.20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164,794,811.60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2,541,404.31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5</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355"/>
      <w:bookmarkEnd w:id="1356"/>
      <w:bookmarkEnd w:id="1358"/>
    </w:p>
    <w:p>
      <w:pPr>
        <w:pStyle w:val="Style41"/>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55"/>
      <w:bookmarkEnd w:id="1356"/>
      <w:bookmarkEnd w:id="1359"/>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466,382,950.29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381,552,908.39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350,224,752.93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163,836,207.14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49,546,268.51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50,268,520.03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41,693,958.99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42,166,174.94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8,016,705.90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9,559,233.46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757,899.02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3,500,616.15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5,971,463.87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1,959,628.15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43,683,205.49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80,376,342.55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-309,333,562.02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-94,508,767.34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-36,964,622.16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2,677,927.07</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1,276,003.12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-1,537,617.68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-17,425,672.65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-158,544,120.88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-647,435,532.24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774,818,394.73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经营性应付项目的增加（减少以</w:t>
            </w:r>
          </w:p>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365,462,923.52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-966,157,894.51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321,856,742.57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289,967,552.20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1,779,836,593.55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1,350,168,474.15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1,350,168,474.15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1,483,675,206.37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429,668,119.40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-133,506,732.22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60"/>
      <w:bookmarkEnd w:id="1361"/>
      <w:bookmarkEnd w:id="1362"/>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北京云核网络技术有限公司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1,473,837.51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北京云核网络技术有限公司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1,473,837.51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42,026,162.49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363"/>
      <w:bookmarkEnd w:id="1364"/>
      <w:bookmarkEnd w:id="1366"/>
    </w:p>
    <w:p>
      <w:pPr>
        <w:pStyle w:val="Style3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11,825,000.00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枣强县农村产权交易服务有限公司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神州邦邦技术服务有限公司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1,942,214.07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枣强县农村产权交易服务有限公司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70,033.89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1,101,133.59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771,046.59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9,882,785.93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367"/>
      <w:bookmarkEnd w:id="1368"/>
      <w:bookmarkEnd w:id="1370"/>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1,779,836,593.55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1,350,168,474.15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1,779,836,593.55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1,350,168,474.15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1,779,836,593.55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1,350,168,474.15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371"/>
      <w:bookmarkEnd w:id="1372"/>
      <w:bookmarkEnd w:id="137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161,476,574.49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两年期定期存款、国内信用证付款保证 金、保函保证金、共管户资金、诉讼冻 结款及诉讼担保抵押资金</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375"/>
      <w:bookmarkEnd w:id="1376"/>
      <w:bookmarkEnd w:id="1378"/>
    </w:p>
    <w:p>
      <w:pPr>
        <w:pStyle w:val="Style41"/>
        <w:keepNext/>
        <w:keepLines/>
        <w:widowControl w:val="0"/>
        <w:shd w:val="clear" w:color="auto" w:fill="auto"/>
        <w:bidi w:val="0"/>
        <w:spacing w:before="0" w:after="380" w:line="240" w:lineRule="auto"/>
        <w:ind w:left="0" w:right="0" w:firstLine="0"/>
        <w:jc w:val="both"/>
      </w:pPr>
      <w:bookmarkStart w:id="1375" w:name="bookmark1375"/>
      <w:bookmarkStart w:id="1376" w:name="bookmark1376"/>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75"/>
      <w:bookmarkEnd w:id="1376"/>
      <w:bookmarkEnd w:id="1379"/>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738,207.47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4,835,258.96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13,304.22</w:t>
            </w: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1,083,752.55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915,944.31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1,199,311,794.00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550,105.18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2,091,899.40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13,701,941.07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663,739.35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560,965.95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210,314.58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0.81872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172,188.75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2,152,782,512.34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987,446.98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289,655.63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244,805.35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2,351,568.08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0.81872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1,925,275.82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8,505.69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532,713,785.78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244,347.31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1,160,020.66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7,598,135.34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5,429,575.13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4,588,859.72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133,990.22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113,243.18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3,673,640,980.98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1,685,040.49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42,258,000.00</w:t>
            </w:r>
          </w:p>
        </w:tc>
      </w:tr>
    </w:tbl>
    <w:p>
      <w:pPr>
        <w:widowControl w:val="0"/>
        <w:spacing w:after="239" w:line="1" w:lineRule="exact"/>
      </w:pPr>
    </w:p>
    <w:p>
      <w:pPr>
        <w:pStyle w:val="Style41"/>
        <w:keepNext/>
        <w:keepLines/>
        <w:widowControl w:val="0"/>
        <w:shd w:val="clear" w:color="auto" w:fill="auto"/>
        <w:bidi w:val="0"/>
        <w:spacing w:before="0" w:line="331" w:lineRule="exact"/>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80"/>
      <w:bookmarkEnd w:id="1381"/>
      <w:bookmarkEnd w:id="1382"/>
    </w:p>
    <w:p>
      <w:pPr>
        <w:pStyle w:val="Style3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280" w:line="331" w:lineRule="exact"/>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5</w:t>
      </w:r>
      <w:bookmarkEnd w:id="1385"/>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383"/>
      <w:bookmarkEnd w:id="1384"/>
      <w:bookmarkEnd w:id="1386"/>
    </w:p>
    <w:p>
      <w:pPr>
        <w:pStyle w:val="Style41"/>
        <w:keepNext/>
        <w:keepLines/>
        <w:widowControl w:val="0"/>
        <w:shd w:val="clear" w:color="auto" w:fill="auto"/>
        <w:bidi w:val="0"/>
        <w:spacing w:before="0" w:line="331" w:lineRule="exact"/>
        <w:ind w:left="0" w:right="0" w:firstLine="0"/>
        <w:jc w:val="left"/>
      </w:pPr>
      <w:bookmarkStart w:id="1383" w:name="bookmark1383"/>
      <w:bookmarkStart w:id="1384" w:name="bookmark1384"/>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83"/>
      <w:bookmarkEnd w:id="1384"/>
      <w:bookmarkEnd w:id="1387"/>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10,425,647.28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1,640,411.57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9,635,412.25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17,171,245.98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34,435,946.59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34,435,946.59</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both"/>
      </w:pPr>
      <w:bookmarkStart w:id="1388" w:name="bookmark1388"/>
      <w:bookmarkStart w:id="1389" w:name="bookmark1389"/>
      <w:bookmarkStart w:id="1390" w:name="bookmark1390"/>
      <w:bookmarkStart w:id="1391" w:name="bookmark1391"/>
      <w:r>
        <w:rPr>
          <w:color w:val="000000"/>
          <w:spacing w:val="0"/>
          <w:w w:val="100"/>
          <w:position w:val="0"/>
          <w:sz w:val="24"/>
          <w:szCs w:val="24"/>
        </w:rPr>
        <w:t>八</w:t>
      </w:r>
      <w:bookmarkEnd w:id="1390"/>
      <w:r>
        <w:rPr>
          <w:color w:val="000000"/>
          <w:spacing w:val="0"/>
          <w:w w:val="100"/>
          <w:position w:val="0"/>
          <w:sz w:val="24"/>
          <w:szCs w:val="24"/>
        </w:rPr>
        <w:t>、合并范围的变更</w:t>
      </w:r>
      <w:bookmarkEnd w:id="1388"/>
      <w:bookmarkEnd w:id="1389"/>
      <w:bookmarkEnd w:id="1391"/>
    </w:p>
    <w:p>
      <w:pPr>
        <w:pStyle w:val="Style41"/>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92"/>
      <w:bookmarkEnd w:id="1393"/>
      <w:bookmarkEnd w:id="1394"/>
    </w:p>
    <w:p>
      <w:pPr>
        <w:pStyle w:val="Style41"/>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92"/>
      <w:bookmarkEnd w:id="1393"/>
      <w:bookmarkEnd w:id="1395"/>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1277"/>
        <w:gridCol w:w="850"/>
        <w:gridCol w:w="1133"/>
        <w:gridCol w:w="998"/>
        <w:gridCol w:w="1061"/>
        <w:gridCol w:w="1061"/>
        <w:gridCol w:w="1070"/>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购买日至期 末被购买方</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北京云核网络</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现金购买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9,058,743.23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-579,061.61</w:t>
            </w:r>
          </w:p>
        </w:tc>
      </w:tr>
    </w:tbl>
    <w:p>
      <w:pPr>
        <w:pStyle w:val="Style37"/>
        <w:keepNext w:val="0"/>
        <w:keepLines w:val="0"/>
        <w:widowControl w:val="0"/>
        <w:shd w:val="clear" w:color="auto" w:fill="auto"/>
        <w:bidi w:val="0"/>
        <w:spacing w:before="0" w:after="380" w:line="315"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月，本公司之孙公司北京神州数字科技有限公司与戴林巧、罗勇、王战冬、杨长专、王雪松、张甜、常保 丰及宁波梅山保税港区云核新锐投资管理合伙企业（有限合伙）签订《股权转让协议》，北京神州数字科技有限公司以</w:t>
      </w:r>
      <w:r>
        <w:rPr>
          <w:rFonts w:ascii="Times New Roman" w:eastAsia="Times New Roman" w:hAnsi="Times New Roman" w:cs="Times New Roman"/>
          <w:color w:val="000000"/>
          <w:spacing w:val="0"/>
          <w:w w:val="100"/>
          <w:position w:val="0"/>
        </w:rPr>
        <w:t xml:space="preserve">4,350.00 </w:t>
      </w:r>
      <w:r>
        <w:rPr>
          <w:color w:val="000000"/>
          <w:spacing w:val="0"/>
          <w:w w:val="100"/>
          <w:position w:val="0"/>
        </w:rPr>
        <w:t>万元的对价购买北京云核网络技术有限公司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股权。上述对价系参考中瑞世联资产评估集团有限公司于2020年7月出 具的中瑞评报字【2020】第000594号《股东全部权益价值项目资产评估报告》确定的。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月，北京神州数字科技有限 公司接管北京云核网络技术有限公司的账务及相关印鉴，并完成工商变更，北京云核网络技术有限公司成为北京神州数字科 技有限公司的全资子公司。</w:t>
      </w:r>
    </w:p>
    <w:p>
      <w:pPr>
        <w:pStyle w:val="Style41"/>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96"/>
      <w:bookmarkEnd w:id="1397"/>
      <w:bookmarkEnd w:id="139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北京云核网络技术有限公司</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43,500,000.00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43,500,000.00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22,666,786.74</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20,833,213.26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w:t>
      </w:r>
      <w:bookmarkEnd w:id="140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99"/>
      <w:bookmarkEnd w:id="1400"/>
      <w:bookmarkEnd w:id="14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北京云核网络技术有限公司</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1,473,837.51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1,473,837.51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9,929,497.02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9,929,497.02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26,624.03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26,624.03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1,048,051.52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1,048,051.52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14,000,379.71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14,000,379.71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10,700,504.83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10,700,504.83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81,170.83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111,170.83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6,901,057.08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4,645,757.08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2,633,915.54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2,633,915.54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9,017,810.96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9,017,810.96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2,851,191.67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2,851,191.67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653,566.68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653,566.68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2,421,897.94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2,421,897.94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595,587.89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595,587.89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264,675.58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264,675.58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7,989,725.61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7,989,725.61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333,795.00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22,666,786.74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20,775,281.74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22,666,786.74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20,775,281.74</w:t>
            </w:r>
          </w:p>
        </w:tc>
      </w:tr>
    </w:tbl>
    <w:p>
      <w:pPr>
        <w:pStyle w:val="Style26"/>
        <w:keepNext w:val="0"/>
        <w:keepLines w:val="0"/>
        <w:widowControl w:val="0"/>
        <w:shd w:val="clear" w:color="auto" w:fill="auto"/>
        <w:bidi w:val="0"/>
        <w:spacing w:before="0" w:after="0" w:line="240" w:lineRule="auto"/>
        <w:ind w:left="206" w:right="0" w:firstLine="0"/>
        <w:jc w:val="left"/>
      </w:pPr>
      <w:r>
        <w:rPr>
          <w:color w:val="000000"/>
          <w:spacing w:val="0"/>
          <w:w w:val="100"/>
          <w:position w:val="0"/>
        </w:rPr>
        <w:t>注：上述北京云核网络技术有限公司购买日公允价值的确定系根据中瑞世联资产评估集团有限公司出具的中瑞评报字</w:t>
      </w:r>
    </w:p>
    <w:p>
      <w:pPr>
        <w:widowControl w:val="0"/>
        <w:spacing w:after="59" w:line="1" w:lineRule="exact"/>
      </w:pP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001050</w:t>
      </w:r>
      <w:r>
        <w:rPr>
          <w:color w:val="000000"/>
          <w:spacing w:val="0"/>
          <w:w w:val="100"/>
          <w:position w:val="0"/>
        </w:rPr>
        <w:t>号《可辨认净资产公允价值分摊报告》确定的。</w:t>
      </w:r>
    </w:p>
    <w:p>
      <w:pPr>
        <w:pStyle w:val="Style41"/>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403"/>
      <w:bookmarkEnd w:id="1404"/>
      <w:bookmarkEnd w:id="1405"/>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850"/>
        <w:gridCol w:w="422"/>
        <w:gridCol w:w="427"/>
        <w:gridCol w:w="710"/>
        <w:gridCol w:w="422"/>
        <w:gridCol w:w="994"/>
        <w:gridCol w:w="566"/>
        <w:gridCol w:w="854"/>
        <w:gridCol w:w="850"/>
        <w:gridCol w:w="850"/>
        <w:gridCol w:w="850"/>
        <w:gridCol w:w="720"/>
      </w:tblGrid>
      <w:tr>
        <w:trPr>
          <w:trHeight w:val="228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股权处置价</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股权</w:t>
            </w:r>
          </w:p>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处置</w:t>
            </w:r>
          </w:p>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股权</w:t>
            </w:r>
          </w:p>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处置</w:t>
            </w:r>
          </w:p>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丧失控制</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权的时点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丧失 控制 权时 点的 确定 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处置价款与处 置投资对应的 合并财务报表 层面享有该子 公司净资产份 额的差额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5"/>
                <w:szCs w:val="15"/>
              </w:rPr>
            </w:pPr>
            <w:r>
              <w:rPr>
                <w:color w:val="000000"/>
                <w:spacing w:val="0"/>
                <w:w w:val="100"/>
                <w:position w:val="0"/>
                <w:sz w:val="15"/>
                <w:szCs w:val="15"/>
              </w:rPr>
              <w:t>丧失控 制权之 日剩余 股权的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丧失控制权 之日剩余股 权的账面价</w:t>
            </w:r>
          </w:p>
          <w:p>
            <w:pPr>
              <w:pStyle w:val="Style29"/>
              <w:keepNext w:val="0"/>
              <w:keepLines w:val="0"/>
              <w:widowControl w:val="0"/>
              <w:shd w:val="clear" w:color="auto" w:fill="auto"/>
              <w:bidi w:val="0"/>
              <w:spacing w:before="0" w:after="0" w:line="310" w:lineRule="exact"/>
              <w:ind w:left="0" w:right="340" w:firstLine="0"/>
              <w:jc w:val="right"/>
              <w:rPr>
                <w:sz w:val="15"/>
                <w:szCs w:val="15"/>
              </w:rPr>
            </w:pPr>
            <w:r>
              <w:rPr>
                <w:color w:val="000000"/>
                <w:spacing w:val="0"/>
                <w:w w:val="100"/>
                <w:position w:val="0"/>
                <w:sz w:val="15"/>
                <w:szCs w:val="15"/>
              </w:rPr>
              <w:t>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丧失控制权 之日剩余股 权的公允价</w:t>
            </w:r>
          </w:p>
          <w:p>
            <w:pPr>
              <w:pStyle w:val="Style29"/>
              <w:keepNext w:val="0"/>
              <w:keepLines w:val="0"/>
              <w:widowControl w:val="0"/>
              <w:shd w:val="clear" w:color="auto" w:fill="auto"/>
              <w:bidi w:val="0"/>
              <w:spacing w:before="0" w:after="0" w:line="314" w:lineRule="exact"/>
              <w:ind w:left="0" w:right="340" w:firstLine="0"/>
              <w:jc w:val="right"/>
              <w:rPr>
                <w:sz w:val="15"/>
                <w:szCs w:val="15"/>
              </w:rPr>
            </w:pPr>
            <w:r>
              <w:rPr>
                <w:color w:val="000000"/>
                <w:spacing w:val="0"/>
                <w:w w:val="100"/>
                <w:position w:val="0"/>
                <w:sz w:val="15"/>
                <w:szCs w:val="15"/>
              </w:rPr>
              <w:t>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按照公允价 值重新计量 剩余股权产 生的利得或</w:t>
            </w:r>
          </w:p>
          <w:p>
            <w:pPr>
              <w:pStyle w:val="Style29"/>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丧失控制权 之日剩余股 权公允价值 的确定方法 及主要假设</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rPr>
                <w:sz w:val="15"/>
                <w:szCs w:val="15"/>
              </w:rPr>
            </w:pPr>
            <w:r>
              <w:rPr>
                <w:color w:val="000000"/>
                <w:spacing w:val="0"/>
                <w:w w:val="100"/>
                <w:position w:val="0"/>
                <w:sz w:val="15"/>
                <w:szCs w:val="15"/>
              </w:rPr>
              <w:t>与原子公 司股权投 资相关的 其他综合 收益转入 投资损益 的金额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神州灵云（北京）</w:t>
            </w:r>
          </w:p>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48.00</w:t>
            </w:r>
          </w:p>
          <w:p>
            <w:pPr>
              <w:pStyle w:val="Style2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出售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13,736,653.57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北京神州邦邦技</w:t>
            </w:r>
          </w:p>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w:t>
            </w:r>
          </w:p>
          <w:p>
            <w:pPr>
              <w:pStyle w:val="Style2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出售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5,423,986.98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576,013.02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5,423,986.98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参考股权转</w:t>
            </w:r>
          </w:p>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让协议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10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枣强县农村产权 交易服务有限公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625,000.00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w:t>
            </w:r>
          </w:p>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出售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11</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工商</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变更</w:t>
            </w:r>
          </w:p>
          <w:p>
            <w:pPr>
              <w:pStyle w:val="Style2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完成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547,675.36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bl>
    <w:p>
      <w:pPr>
        <w:pStyle w:val="Style26"/>
        <w:keepNext w:val="0"/>
        <w:keepLines w:val="0"/>
        <w:widowControl w:val="0"/>
        <w:shd w:val="clear" w:color="auto" w:fill="auto"/>
        <w:tabs>
          <w:tab w:pos="485" w:val="left"/>
        </w:tabs>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日，本公司与康军签订股权转让协议，以人民币</w:t>
      </w:r>
      <w:r>
        <w:rPr>
          <w:rFonts w:ascii="Times New Roman" w:eastAsia="Times New Roman" w:hAnsi="Times New Roman" w:cs="Times New Roman"/>
          <w:color w:val="000000"/>
          <w:spacing w:val="0"/>
          <w:w w:val="100"/>
          <w:position w:val="0"/>
        </w:rPr>
        <w:t>720.00</w:t>
      </w:r>
      <w:r>
        <w:rPr>
          <w:color w:val="000000"/>
          <w:spacing w:val="0"/>
          <w:w w:val="100"/>
          <w:position w:val="0"/>
        </w:rPr>
        <w:t>万元转让本公司所持有神州灵云</w:t>
      </w:r>
      <w:r>
        <w:rPr>
          <w:rFonts w:ascii="Times New Roman" w:eastAsia="Times New Roman" w:hAnsi="Times New Roman" w:cs="Times New Roman"/>
          <w:color w:val="000000"/>
          <w:spacing w:val="0"/>
          <w:w w:val="100"/>
          <w:position w:val="0"/>
        </w:rPr>
        <w:t>48%</w:t>
      </w:r>
      <w:r>
        <w:rPr>
          <w:color w:val="000000"/>
          <w:spacing w:val="0"/>
          <w:w w:val="100"/>
          <w:position w:val="0"/>
        </w:rPr>
        <w:t>的股权,</w:t>
      </w:r>
    </w:p>
    <w:p>
      <w:pPr>
        <w:pStyle w:val="Style37"/>
        <w:keepNext w:val="0"/>
        <w:keepLines w:val="0"/>
        <w:widowControl w:val="0"/>
        <w:shd w:val="clear" w:color="auto" w:fill="auto"/>
        <w:bidi w:val="0"/>
        <w:spacing w:before="0" w:after="0" w:line="331"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日收到大部分股权转让款，于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日完成工商变更。</w:t>
      </w:r>
    </w:p>
    <w:p>
      <w:pPr>
        <w:pStyle w:val="Style37"/>
        <w:keepNext w:val="0"/>
        <w:keepLines w:val="0"/>
        <w:widowControl w:val="0"/>
        <w:shd w:val="clear" w:color="auto" w:fill="auto"/>
        <w:tabs>
          <w:tab w:pos="542" w:val="left"/>
        </w:tabs>
        <w:bidi w:val="0"/>
        <w:spacing w:before="0" w:after="0" w:line="33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日，本公司与曹宏屹签订股权转让协议，向曹宏屹转让本公司持有的北京神州邦邦技术服务有限公司</w:t>
      </w:r>
    </w:p>
    <w:p>
      <w:pPr>
        <w:pStyle w:val="Style3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的股权，详见附注七、</w:t>
      </w:r>
      <w:r>
        <w:rPr>
          <w:rFonts w:ascii="Times New Roman" w:eastAsia="Times New Roman" w:hAnsi="Times New Roman" w:cs="Times New Roman"/>
          <w:color w:val="000000"/>
          <w:spacing w:val="0"/>
          <w:w w:val="100"/>
          <w:position w:val="0"/>
        </w:rPr>
        <w:t>11</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日收到大部分股权转让款，于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日完成工商 变更。</w:t>
      </w:r>
    </w:p>
    <w:p>
      <w:pPr>
        <w:pStyle w:val="Style37"/>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是否存在通过多次交易分步处置对子公司投资且在本期丧失控制权的情形</w:t>
      </w:r>
    </w:p>
    <w:p>
      <w:pPr>
        <w:pStyle w:val="Style37"/>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keepLines/>
        <w:widowControl w:val="0"/>
        <w:shd w:val="clear" w:color="auto" w:fill="auto"/>
        <w:bidi w:val="0"/>
        <w:spacing w:before="0" w:after="30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color w:val="000000"/>
          <w:spacing w:val="0"/>
          <w:w w:val="100"/>
          <w:position w:val="0"/>
        </w:rPr>
        <w:t>、其他原因的合并范围变动</w:t>
      </w:r>
      <w:bookmarkEnd w:id="1406"/>
      <w:bookmarkEnd w:id="1407"/>
      <w:bookmarkEnd w:id="1409"/>
    </w:p>
    <w:p>
      <w:pPr>
        <w:pStyle w:val="Style37"/>
        <w:keepNext w:val="0"/>
        <w:keepLines w:val="0"/>
        <w:widowControl w:val="0"/>
        <w:shd w:val="clear" w:color="auto" w:fill="auto"/>
        <w:tabs>
          <w:tab w:pos="830" w:val="left"/>
        </w:tabs>
        <w:bidi w:val="0"/>
        <w:spacing w:before="0" w:after="0" w:line="314" w:lineRule="exact"/>
        <w:ind w:left="0" w:right="0" w:firstLine="520"/>
        <w:jc w:val="left"/>
      </w:pPr>
      <w:bookmarkStart w:id="1410" w:name="bookmark1410"/>
      <w:r>
        <w:rPr>
          <w:rFonts w:ascii="Times New Roman" w:eastAsia="Times New Roman" w:hAnsi="Times New Roman" w:cs="Times New Roman"/>
          <w:color w:val="000000"/>
          <w:spacing w:val="0"/>
          <w:w w:val="100"/>
          <w:position w:val="0"/>
        </w:rPr>
        <w:t>1</w:t>
      </w:r>
      <w:bookmarkEnd w:id="141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日，神州数码信息系统有限公司出资设立子公司神州龙安（成都）信息技术服务有限公司，注册资本 </w:t>
      </w:r>
      <w:r>
        <w:rPr>
          <w:rFonts w:ascii="Times New Roman" w:eastAsia="Times New Roman" w:hAnsi="Times New Roman" w:cs="Times New Roman"/>
          <w:color w:val="000000"/>
          <w:spacing w:val="0"/>
          <w:w w:val="100"/>
          <w:position w:val="0"/>
        </w:rPr>
        <w:t>1,000.00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。该公司经营范围主要为信息技术开发、技术咨询、技术转让、技术服务、技术推广等。</w:t>
      </w:r>
    </w:p>
    <w:p>
      <w:pPr>
        <w:pStyle w:val="Style37"/>
        <w:keepNext w:val="0"/>
        <w:keepLines w:val="0"/>
        <w:widowControl w:val="0"/>
        <w:shd w:val="clear" w:color="auto" w:fill="auto"/>
        <w:tabs>
          <w:tab w:pos="839" w:val="left"/>
        </w:tabs>
        <w:bidi w:val="0"/>
        <w:spacing w:before="0" w:after="0" w:line="314" w:lineRule="exact"/>
        <w:ind w:left="0" w:right="0" w:firstLine="520"/>
        <w:jc w:val="left"/>
      </w:pPr>
      <w:bookmarkStart w:id="1411" w:name="bookmark1411"/>
      <w:r>
        <w:rPr>
          <w:rFonts w:ascii="Times New Roman" w:eastAsia="Times New Roman" w:hAnsi="Times New Roman" w:cs="Times New Roman"/>
          <w:color w:val="000000"/>
          <w:spacing w:val="0"/>
          <w:w w:val="100"/>
          <w:position w:val="0"/>
        </w:rPr>
        <w:t>2</w:t>
      </w:r>
      <w:bookmarkEnd w:id="141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日，神州数码信息系统有限公司出资设立神州龙安（青海）信息技术服务有限公司，注册资本</w:t>
      </w:r>
      <w:r>
        <w:rPr>
          <w:rFonts w:ascii="Times New Roman" w:eastAsia="Times New Roman" w:hAnsi="Times New Roman" w:cs="Times New Roman"/>
          <w:color w:val="000000"/>
          <w:spacing w:val="0"/>
          <w:w w:val="100"/>
          <w:position w:val="0"/>
        </w:rPr>
        <w:t xml:space="preserve">1,000.00 </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。该公司经营范围主要为信息技术开发、技术咨询、技术转让、技术服务、技术推广等。</w:t>
      </w:r>
    </w:p>
    <w:p>
      <w:pPr>
        <w:pStyle w:val="Style37"/>
        <w:keepNext w:val="0"/>
        <w:keepLines w:val="0"/>
        <w:widowControl w:val="0"/>
        <w:shd w:val="clear" w:color="auto" w:fill="auto"/>
        <w:tabs>
          <w:tab w:pos="849" w:val="left"/>
        </w:tabs>
        <w:bidi w:val="0"/>
        <w:spacing w:before="0" w:after="0" w:line="314" w:lineRule="exact"/>
        <w:ind w:left="0" w:right="0" w:firstLine="520"/>
        <w:jc w:val="left"/>
      </w:pPr>
      <w:bookmarkStart w:id="1412" w:name="bookmark1412"/>
      <w:r>
        <w:rPr>
          <w:rFonts w:ascii="Times New Roman" w:eastAsia="Times New Roman" w:hAnsi="Times New Roman" w:cs="Times New Roman"/>
          <w:color w:val="000000"/>
          <w:spacing w:val="0"/>
          <w:w w:val="100"/>
          <w:position w:val="0"/>
        </w:rPr>
        <w:t>3</w:t>
      </w:r>
      <w:bookmarkEnd w:id="141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日，神州数码信息系统有限公司出资设立子公司神州国信（北京）信息科技有限公司，注册资本</w:t>
      </w:r>
      <w:r>
        <w:rPr>
          <w:rFonts w:ascii="Times New Roman" w:eastAsia="Times New Roman" w:hAnsi="Times New Roman" w:cs="Times New Roman"/>
          <w:color w:val="000000"/>
          <w:spacing w:val="0"/>
          <w:w w:val="100"/>
          <w:position w:val="0"/>
        </w:rPr>
        <w:t xml:space="preserve">3,000.00 </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。该公司经营范围主要为信息技术开发、技术咨询、技术转让、技术推广等。</w:t>
      </w:r>
    </w:p>
    <w:p>
      <w:pPr>
        <w:pStyle w:val="Style37"/>
        <w:keepNext w:val="0"/>
        <w:keepLines w:val="0"/>
        <w:widowControl w:val="0"/>
        <w:shd w:val="clear" w:color="auto" w:fill="auto"/>
        <w:tabs>
          <w:tab w:pos="839" w:val="left"/>
        </w:tabs>
        <w:bidi w:val="0"/>
        <w:spacing w:before="0" w:after="0" w:line="314" w:lineRule="exact"/>
        <w:ind w:left="0" w:right="0" w:firstLine="520"/>
        <w:jc w:val="left"/>
      </w:pPr>
      <w:bookmarkStart w:id="1413" w:name="bookmark1413"/>
      <w:r>
        <w:rPr>
          <w:rFonts w:ascii="Times New Roman" w:eastAsia="Times New Roman" w:hAnsi="Times New Roman" w:cs="Times New Roman"/>
          <w:color w:val="000000"/>
          <w:spacing w:val="0"/>
          <w:w w:val="100"/>
          <w:position w:val="0"/>
        </w:rPr>
        <w:t>4</w:t>
      </w:r>
      <w:bookmarkEnd w:id="141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日，神州数码信息系统有限公司出资设立子公司神州龙安（内蒙古）信息技术服务有限公司，注册资 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。该公司经营范围主要为制冷设备、空调设备的制造、计算机软件及辅助设备的批发、 销售等。</w:t>
      </w:r>
    </w:p>
    <w:p>
      <w:pPr>
        <w:pStyle w:val="Style37"/>
        <w:keepNext w:val="0"/>
        <w:keepLines w:val="0"/>
        <w:widowControl w:val="0"/>
        <w:shd w:val="clear" w:color="auto" w:fill="auto"/>
        <w:tabs>
          <w:tab w:pos="849" w:val="left"/>
        </w:tabs>
        <w:bidi w:val="0"/>
        <w:spacing w:before="0" w:after="0" w:line="314" w:lineRule="exact"/>
        <w:ind w:left="0" w:right="0" w:firstLine="520"/>
        <w:jc w:val="left"/>
      </w:pPr>
      <w:bookmarkStart w:id="1414" w:name="bookmark1414"/>
      <w:r>
        <w:rPr>
          <w:rFonts w:ascii="Times New Roman" w:eastAsia="Times New Roman" w:hAnsi="Times New Roman" w:cs="Times New Roman"/>
          <w:color w:val="000000"/>
          <w:spacing w:val="0"/>
          <w:w w:val="100"/>
          <w:position w:val="0"/>
        </w:rPr>
        <w:t>5</w:t>
      </w:r>
      <w:bookmarkEnd w:id="141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日，神州数码信息系统有限公司出资设立子公司神州龙安（江苏）信息技术服务有限公司，注册资本 </w:t>
      </w:r>
      <w:r>
        <w:rPr>
          <w:rFonts w:ascii="Times New Roman" w:eastAsia="Times New Roman" w:hAnsi="Times New Roman" w:cs="Times New Roman"/>
          <w:color w:val="000000"/>
          <w:spacing w:val="0"/>
          <w:w w:val="100"/>
          <w:position w:val="0"/>
        </w:rPr>
        <w:t>1,000.00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。该公司经营范围主要为信息系统集成服务、技术服务、技术开发、技术咨询、技术交 流、技术转让、技术推广等。</w:t>
      </w:r>
    </w:p>
    <w:p>
      <w:pPr>
        <w:pStyle w:val="Style37"/>
        <w:keepNext w:val="0"/>
        <w:keepLines w:val="0"/>
        <w:widowControl w:val="0"/>
        <w:shd w:val="clear" w:color="auto" w:fill="auto"/>
        <w:tabs>
          <w:tab w:pos="844" w:val="left"/>
        </w:tabs>
        <w:bidi w:val="0"/>
        <w:spacing w:before="0" w:after="0" w:line="314" w:lineRule="exact"/>
        <w:ind w:left="0" w:right="0" w:firstLine="520"/>
        <w:jc w:val="left"/>
      </w:pPr>
      <w:bookmarkStart w:id="1415" w:name="bookmark1415"/>
      <w:r>
        <w:rPr>
          <w:rFonts w:ascii="Times New Roman" w:eastAsia="Times New Roman" w:hAnsi="Times New Roman" w:cs="Times New Roman"/>
          <w:color w:val="000000"/>
          <w:spacing w:val="0"/>
          <w:w w:val="100"/>
          <w:position w:val="0"/>
        </w:rPr>
        <w:t>6</w:t>
      </w:r>
      <w:bookmarkEnd w:id="141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日，神州数码信息系统有限公司出资设立子公司神州龙安（河北）信息技术服务有限公司，注册资本 </w:t>
      </w:r>
      <w:r>
        <w:rPr>
          <w:rFonts w:ascii="Times New Roman" w:eastAsia="Times New Roman" w:hAnsi="Times New Roman" w:cs="Times New Roman"/>
          <w:color w:val="000000"/>
          <w:spacing w:val="0"/>
          <w:w w:val="100"/>
          <w:position w:val="0"/>
        </w:rPr>
        <w:t>1,000.00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。该公司经营范围主要为互联网数据服务、信息技术及计算机软件技术开发、技术咨询、 技术转让、技术服务、技术推广等。</w:t>
      </w:r>
    </w:p>
    <w:p>
      <w:pPr>
        <w:pStyle w:val="Style37"/>
        <w:keepNext w:val="0"/>
        <w:keepLines w:val="0"/>
        <w:widowControl w:val="0"/>
        <w:shd w:val="clear" w:color="auto" w:fill="auto"/>
        <w:tabs>
          <w:tab w:pos="844" w:val="left"/>
        </w:tabs>
        <w:bidi w:val="0"/>
        <w:spacing w:before="0" w:after="0" w:line="314" w:lineRule="exact"/>
        <w:ind w:left="0" w:right="0" w:firstLine="520"/>
        <w:jc w:val="left"/>
      </w:pPr>
      <w:bookmarkStart w:id="1416" w:name="bookmark1416"/>
      <w:r>
        <w:rPr>
          <w:rFonts w:ascii="Times New Roman" w:eastAsia="Times New Roman" w:hAnsi="Times New Roman" w:cs="Times New Roman"/>
          <w:color w:val="000000"/>
          <w:spacing w:val="0"/>
          <w:w w:val="100"/>
          <w:position w:val="0"/>
        </w:rPr>
        <w:t>7</w:t>
      </w:r>
      <w:bookmarkEnd w:id="141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日，神州数码信息系统有限公司出资设立子公司神州龙安（山西）信息技术服务有限公司，注册资本 </w:t>
      </w:r>
      <w:r>
        <w:rPr>
          <w:rFonts w:ascii="Times New Roman" w:eastAsia="Times New Roman" w:hAnsi="Times New Roman" w:cs="Times New Roman"/>
          <w:color w:val="000000"/>
          <w:spacing w:val="0"/>
          <w:w w:val="100"/>
          <w:position w:val="0"/>
        </w:rPr>
        <w:t>1,000.00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。该公司经营范围主要为计算机系统集成、计算机系统服务、计算机软硬件的技术开发、 技术咨询、技术服务、技术转让、技术推广等。</w:t>
      </w:r>
    </w:p>
    <w:p>
      <w:pPr>
        <w:pStyle w:val="Style37"/>
        <w:keepNext w:val="0"/>
        <w:keepLines w:val="0"/>
        <w:widowControl w:val="0"/>
        <w:shd w:val="clear" w:color="auto" w:fill="auto"/>
        <w:tabs>
          <w:tab w:pos="849" w:val="left"/>
        </w:tabs>
        <w:bidi w:val="0"/>
        <w:spacing w:before="0" w:after="0" w:line="314" w:lineRule="exact"/>
        <w:ind w:left="0" w:right="0" w:firstLine="520"/>
        <w:jc w:val="left"/>
      </w:pPr>
      <w:bookmarkStart w:id="1417" w:name="bookmark1417"/>
      <w:r>
        <w:rPr>
          <w:rFonts w:ascii="Times New Roman" w:eastAsia="Times New Roman" w:hAnsi="Times New Roman" w:cs="Times New Roman"/>
          <w:color w:val="000000"/>
          <w:spacing w:val="0"/>
          <w:w w:val="100"/>
          <w:position w:val="0"/>
        </w:rPr>
        <w:t>8</w:t>
      </w:r>
      <w:bookmarkEnd w:id="141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日，神州数码信息系统有限公司出资设立子公司北京神州数字科技有限公司，注册资本</w:t>
      </w:r>
      <w:r>
        <w:rPr>
          <w:rFonts w:ascii="Times New Roman" w:eastAsia="Times New Roman" w:hAnsi="Times New Roman" w:cs="Times New Roman"/>
          <w:color w:val="000000"/>
          <w:spacing w:val="0"/>
          <w:w w:val="100"/>
          <w:position w:val="0"/>
        </w:rPr>
        <w:t>10,000.00</w:t>
      </w:r>
      <w:r>
        <w:rPr>
          <w:color w:val="000000"/>
          <w:spacing w:val="0"/>
          <w:w w:val="100"/>
          <w:position w:val="0"/>
        </w:rPr>
        <w:t>万元, 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。该公司经营范围主要为技术开发、技术转让、技术推广、技术咨询、软件开发等。</w:t>
      </w:r>
    </w:p>
    <w:p>
      <w:pPr>
        <w:pStyle w:val="Style37"/>
        <w:keepNext w:val="0"/>
        <w:keepLines w:val="0"/>
        <w:widowControl w:val="0"/>
        <w:shd w:val="clear" w:color="auto" w:fill="auto"/>
        <w:bidi w:val="0"/>
        <w:spacing w:before="0" w:after="0" w:line="314" w:lineRule="exact"/>
        <w:ind w:left="0" w:right="0" w:firstLine="520"/>
        <w:jc w:val="left"/>
      </w:pPr>
      <w:bookmarkStart w:id="1418" w:name="bookmark1418"/>
      <w:r>
        <w:rPr>
          <w:rFonts w:ascii="Times New Roman" w:eastAsia="Times New Roman" w:hAnsi="Times New Roman" w:cs="Times New Roman"/>
          <w:color w:val="000000"/>
          <w:spacing w:val="0"/>
          <w:w w:val="100"/>
          <w:position w:val="0"/>
        </w:rPr>
        <w:t>9</w:t>
      </w:r>
      <w:bookmarkEnd w:id="1418"/>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日，北京神州数字科技有限公司出资设立子公司北京神州数码方圆科技有限公司，注册资本</w:t>
      </w:r>
      <w:r>
        <w:rPr>
          <w:rFonts w:ascii="Times New Roman" w:eastAsia="Times New Roman" w:hAnsi="Times New Roman" w:cs="Times New Roman"/>
          <w:color w:val="000000"/>
          <w:spacing w:val="0"/>
          <w:w w:val="100"/>
          <w:position w:val="0"/>
        </w:rPr>
        <w:t xml:space="preserve">10,000.00 </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100.00%</w:t>
      </w:r>
      <w:r>
        <w:rPr>
          <w:color w:val="000000"/>
          <w:spacing w:val="0"/>
          <w:w w:val="100"/>
          <w:position w:val="0"/>
        </w:rPr>
        <w:t>。该公司经营范围主要为技术咨询、技术转让、技术推广、技术服务、软件开发、基础软件服务 等。</w:t>
      </w:r>
    </w:p>
    <w:p>
      <w:pPr>
        <w:pStyle w:val="Style64"/>
        <w:keepNext w:val="0"/>
        <w:keepLines w:val="0"/>
        <w:widowControl w:val="0"/>
        <w:shd w:val="clear" w:color="auto" w:fill="auto"/>
        <w:tabs>
          <w:tab w:pos="935" w:val="left"/>
        </w:tabs>
        <w:bidi w:val="0"/>
        <w:spacing w:before="0" w:after="360" w:line="314" w:lineRule="exact"/>
        <w:ind w:left="0" w:right="0" w:firstLine="520"/>
        <w:jc w:val="left"/>
      </w:pPr>
      <w:bookmarkStart w:id="1419" w:name="bookmark1419"/>
      <w:r>
        <w:rPr>
          <w:color w:val="000000"/>
          <w:spacing w:val="0"/>
          <w:w w:val="100"/>
          <w:position w:val="0"/>
        </w:rPr>
        <w:t>1</w:t>
      </w:r>
      <w:bookmarkEnd w:id="1419"/>
      <w:r>
        <w:rPr>
          <w:color w:val="000000"/>
          <w:spacing w:val="0"/>
          <w:w w:val="100"/>
          <w:position w:val="0"/>
        </w:rPr>
        <w:t>0</w:t>
      </w:r>
      <w:r>
        <w:rPr>
          <w:rFonts w:ascii="SimSun" w:eastAsia="SimSun" w:hAnsi="SimSun" w:cs="SimSun"/>
          <w:color w:val="000000"/>
          <w:spacing w:val="0"/>
          <w:w w:val="100"/>
          <w:position w:val="0"/>
        </w:rPr>
        <w:t>）</w:t>
        <w:tab/>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rPr>
        <w:t>日，</w:t>
      </w:r>
      <w:r>
        <w:rPr>
          <w:color w:val="000000"/>
          <w:spacing w:val="0"/>
          <w:w w:val="100"/>
          <w:position w:val="0"/>
        </w:rPr>
        <w:t>Digital China Advanced Systems Limited</w:t>
      </w:r>
      <w:r>
        <w:rPr>
          <w:rFonts w:ascii="SimSun" w:eastAsia="SimSun" w:hAnsi="SimSun" w:cs="SimSun"/>
          <w:color w:val="000000"/>
          <w:spacing w:val="0"/>
          <w:w w:val="100"/>
          <w:position w:val="0"/>
        </w:rPr>
        <w:t>在中国香港设立子公司</w:t>
      </w:r>
      <w:r>
        <w:rPr>
          <w:color w:val="000000"/>
          <w:spacing w:val="0"/>
          <w:w w:val="100"/>
          <w:position w:val="0"/>
        </w:rPr>
        <w:t>Digital China Information Technology Co.Limited</w:t>
      </w:r>
      <w:r>
        <w:rPr>
          <w:rFonts w:ascii="SimSun" w:eastAsia="SimSun" w:hAnsi="SimSun" w:cs="SimSun"/>
          <w:color w:val="000000"/>
          <w:spacing w:val="0"/>
          <w:w w:val="100"/>
          <w:position w:val="0"/>
        </w:rPr>
        <w:t>，持股比例</w:t>
      </w:r>
      <w:r>
        <w:rPr>
          <w:color w:val="000000"/>
          <w:spacing w:val="0"/>
          <w:w w:val="100"/>
          <w:position w:val="0"/>
        </w:rPr>
        <w:t>100.00%</w:t>
      </w:r>
      <w:r>
        <w:rPr>
          <w:rFonts w:ascii="SimSun" w:eastAsia="SimSun" w:hAnsi="SimSun" w:cs="SimSun"/>
          <w:color w:val="000000"/>
          <w:spacing w:val="0"/>
          <w:w w:val="100"/>
          <w:position w:val="0"/>
        </w:rPr>
        <w:t>。该公司经营范围主要为信息系统集成服务与技术服务。</w:t>
      </w:r>
    </w:p>
    <w:p>
      <w:pPr>
        <w:pStyle w:val="Style35"/>
        <w:keepNext/>
        <w:keepLines/>
        <w:widowControl w:val="0"/>
        <w:shd w:val="clear" w:color="auto" w:fill="auto"/>
        <w:bidi w:val="0"/>
        <w:spacing w:before="0" w:after="36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sz w:val="24"/>
          <w:szCs w:val="24"/>
        </w:rPr>
        <w:t>九</w:t>
      </w:r>
      <w:bookmarkEnd w:id="1422"/>
      <w:r>
        <w:rPr>
          <w:color w:val="000000"/>
          <w:spacing w:val="0"/>
          <w:w w:val="100"/>
          <w:position w:val="0"/>
          <w:sz w:val="24"/>
          <w:szCs w:val="24"/>
        </w:rPr>
        <w:t>、在其他主体中的权益</w:t>
      </w:r>
      <w:bookmarkEnd w:id="1420"/>
      <w:bookmarkEnd w:id="1421"/>
      <w:bookmarkEnd w:id="1423"/>
    </w:p>
    <w:p>
      <w:pPr>
        <w:pStyle w:val="Style41"/>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24"/>
      <w:bookmarkEnd w:id="1425"/>
      <w:bookmarkEnd w:id="1426"/>
    </w:p>
    <w:p>
      <w:pPr>
        <w:pStyle w:val="Style41"/>
        <w:keepNext/>
        <w:keepLines/>
        <w:widowControl w:val="0"/>
        <w:shd w:val="clear" w:color="auto" w:fill="auto"/>
        <w:bidi w:val="0"/>
        <w:spacing w:before="0" w:after="300" w:line="240" w:lineRule="auto"/>
        <w:ind w:left="0" w:right="0" w:firstLine="0"/>
        <w:jc w:val="left"/>
      </w:pPr>
      <w:bookmarkStart w:id="1424" w:name="bookmark1424"/>
      <w:bookmarkStart w:id="1425" w:name="bookmark1425"/>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24"/>
      <w:bookmarkEnd w:id="1425"/>
      <w:bookmarkEnd w:id="1427"/>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神州数码系统集 成服务有限公司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中农信达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测绘服务软件销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上海神州数码信 息技术服务有限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江苏神州数码国 信信息技术有限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神州数码金信科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金融专用设备销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南京神州金信电</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金融专用设备销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广州神州金信电 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金融专用设备销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07" w:lineRule="exact"/>
              <w:ind w:left="0" w:right="0" w:firstLine="0"/>
              <w:jc w:val="both"/>
            </w:pPr>
            <w:r>
              <w:rPr>
                <w:color w:val="000000"/>
                <w:spacing w:val="0"/>
                <w:w w:val="100"/>
                <w:position w:val="0"/>
              </w:rPr>
              <w:t>神州数码信息系 统有限公司（注</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神州数码信息系 统（扬州）有限 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Digital China</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Software (BVI)</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BVI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BVI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深圳神州数码信 息技术服务有限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Digital China</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Advanced</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Systems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Digital China</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Financial Service</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Holding</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投资控股、技术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神州数码融信软 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北京旗硕基业科 技股份有限公司</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技术服务、设备 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网络优化服务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南京华苏软件有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西安远景信息技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中能国电（北京） 新能源投资有限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神州土地（北京） 信息技术有限公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北京云核网络技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北京神州数码锐 行快捷信息技术 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湖南中农信达信 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测绘服务、软件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贵州中农信达信 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测绘服务、软件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杨凌农业云服务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北京神州数码信 息技术服务有限 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神州国信（北京） 量子科技有限公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神州远景</w:t>
            </w:r>
            <w:r>
              <w:rPr>
                <w:rFonts w:ascii="Times New Roman" w:eastAsia="Times New Roman" w:hAnsi="Times New Roman" w:cs="Times New Roman"/>
                <w:color w:val="000000"/>
                <w:spacing w:val="0"/>
                <w:w w:val="100"/>
                <w:position w:val="0"/>
              </w:rPr>
              <w:t>（</w:t>
            </w:r>
            <w:r>
              <w:rPr>
                <w:color w:val="000000"/>
                <w:spacing w:val="0"/>
                <w:w w:val="100"/>
                <w:position w:val="0"/>
              </w:rPr>
              <w:t>西安</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科技发展有限公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香河旗硕智能科 技有限公司（注</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南京瑞擎科技有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神州龙安（金华） 信息技术服务有 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智慧神州天融</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（北京）监测技</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北京神州通慧科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新疆神州三宝信 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神州龙安（成都） 信息技术服务有 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神州龙安（青海） 信息技术服务有 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神州国信（北京） 信息科技有限公 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神州龙安（内蒙 古）信息技术服 务有限公司（注</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神州龙安（江苏） 信息技术服务有 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神州龙安（河北） 信息服务有限公 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神州龙安（山西） 信息技术服务有 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北京神州数字科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DigitalChinaInfbr mationTechnolog yIndonesia,PT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印度尼西亚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印度尼西亚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DigitalChinaInfbr mationTechnolog yCo.Limited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系统集成、技术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北京神州数码方 圆科技有限公司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北京华旗电子科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技术开发、计算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北京中智创展管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杨凌安全农产品 溯源标识管理有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：本公司之全资子公司中农信达对北京旗硕基业科技股份有限公司（以下简称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旗硕科技</w:t>
      </w:r>
      <w:r>
        <w:rPr>
          <w:rFonts w:ascii="Times New Roman" w:eastAsia="Times New Roman" w:hAnsi="Times New Roman" w:cs="Times New Roman"/>
          <w:color w:val="000000"/>
          <w:spacing w:val="0"/>
          <w:w w:val="100"/>
          <w:position w:val="0"/>
        </w:rPr>
        <w:t>”</w:t>
      </w:r>
      <w:r>
        <w:rPr>
          <w:color w:val="000000"/>
          <w:spacing w:val="0"/>
          <w:w w:val="100"/>
          <w:position w:val="0"/>
        </w:rPr>
        <w:t>）持股比例</w:t>
      </w:r>
      <w:r>
        <w:rPr>
          <w:rFonts w:ascii="Times New Roman" w:eastAsia="Times New Roman" w:hAnsi="Times New Roman" w:cs="Times New Roman"/>
          <w:color w:val="000000"/>
          <w:spacing w:val="0"/>
          <w:w w:val="100"/>
          <w:position w:val="0"/>
        </w:rPr>
        <w:t>40.81%</w:t>
      </w:r>
      <w:r>
        <w:rPr>
          <w:color w:val="000000"/>
          <w:spacing w:val="0"/>
          <w:w w:val="100"/>
          <w:position w:val="0"/>
        </w:rPr>
        <w:t>,张丹 丹、冯健刚、王宇飞分别持有旗硕科技</w:t>
      </w:r>
      <w:r>
        <w:rPr>
          <w:rFonts w:ascii="Times New Roman" w:eastAsia="Times New Roman" w:hAnsi="Times New Roman" w:cs="Times New Roman"/>
          <w:color w:val="000000"/>
          <w:spacing w:val="0"/>
          <w:w w:val="100"/>
          <w:position w:val="0"/>
        </w:rPr>
        <w:t>3.4008%</w:t>
      </w:r>
      <w:r>
        <w:rPr>
          <w:color w:val="000000"/>
          <w:spacing w:val="0"/>
          <w:w w:val="100"/>
          <w:position w:val="0"/>
        </w:rPr>
        <w:t>、</w:t>
      </w:r>
      <w:r>
        <w:rPr>
          <w:rFonts w:ascii="Times New Roman" w:eastAsia="Times New Roman" w:hAnsi="Times New Roman" w:cs="Times New Roman"/>
          <w:color w:val="000000"/>
          <w:spacing w:val="0"/>
          <w:w w:val="100"/>
          <w:position w:val="0"/>
        </w:rPr>
        <w:t>3.4008%</w:t>
      </w:r>
      <w:r>
        <w:rPr>
          <w:color w:val="000000"/>
          <w:spacing w:val="0"/>
          <w:w w:val="100"/>
          <w:position w:val="0"/>
        </w:rPr>
        <w:t>、</w:t>
      </w:r>
      <w:r>
        <w:rPr>
          <w:rFonts w:ascii="Times New Roman" w:eastAsia="Times New Roman" w:hAnsi="Times New Roman" w:cs="Times New Roman"/>
          <w:color w:val="000000"/>
          <w:spacing w:val="0"/>
          <w:w w:val="100"/>
          <w:position w:val="0"/>
        </w:rPr>
        <w:t>3.4008%</w:t>
      </w:r>
      <w:r>
        <w:rPr>
          <w:color w:val="000000"/>
          <w:spacing w:val="0"/>
          <w:w w:val="100"/>
          <w:position w:val="0"/>
        </w:rPr>
        <w:t>的股权，合计持有旗硕科技股权</w:t>
      </w:r>
      <w:r>
        <w:rPr>
          <w:rFonts w:ascii="Times New Roman" w:eastAsia="Times New Roman" w:hAnsi="Times New Roman" w:cs="Times New Roman"/>
          <w:color w:val="000000"/>
          <w:spacing w:val="0"/>
          <w:w w:val="100"/>
          <w:position w:val="0"/>
        </w:rPr>
        <w:t>51.0124%</w:t>
      </w:r>
      <w:r>
        <w:rPr>
          <w:color w:val="000000"/>
          <w:spacing w:val="0"/>
          <w:w w:val="100"/>
          <w:position w:val="0"/>
        </w:rPr>
        <w:t>。根据张丹丹、 冯健刚、王宇飞与中农信达签署的《一致行动人协议》，中农信达能够控制旗硕科技，故本公司将其纳入合并范围。香河旗 硕智能科技有限公司为旗硕科技的子公司。</w:t>
      </w:r>
    </w:p>
    <w:p>
      <w:pPr>
        <w:pStyle w:val="Style37"/>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：本公司之全资子公司神州数码系统集成服务有限公司对北京神州数码信息技术服务有限公司持股比例</w:t>
      </w:r>
      <w:r>
        <w:rPr>
          <w:rFonts w:ascii="Times New Roman" w:eastAsia="Times New Roman" w:hAnsi="Times New Roman" w:cs="Times New Roman"/>
          <w:color w:val="000000"/>
          <w:spacing w:val="0"/>
          <w:w w:val="100"/>
          <w:position w:val="0"/>
        </w:rPr>
        <w:t>46.00%</w:t>
      </w:r>
      <w:r>
        <w:rPr>
          <w:color w:val="000000"/>
          <w:spacing w:val="0"/>
          <w:w w:val="100"/>
          <w:position w:val="0"/>
        </w:rPr>
        <w:t>，但 由于神州数码系统集成服务有限公司为北京神州数码信息技术服务有限公司的第一大股东，且北京神州数码信息技术服务有 限公司董事会成员中半数以上系本公司委派，董事会决议由半数以上董事表决通过即可，神州数码系统集成服务有限公司能 够控制北京神州数码信息技术服务有限公司，故本公司将其纳入合并范围。神州数码信息系统有限公司、神州数码信息系统 （扬州）有限公司、神州龙安（金华）信息技术服务有限公司、神州龙安（成都）信息技术服务有限公司、神州龙安（青海） 信息技术服务有限公司、神州国信（北京）信息科技有限公司、神州龙安（内蒙古）信息技术服务有限公司、神州龙安（江 苏）信息技术服务有限公司、神州龙安（河北）信息服务有限公司、神州龙安（山西）信息技术服务有限公司为北京神州数 码信息技术服务有限公司的子公司。</w:t>
      </w:r>
    </w:p>
    <w:p>
      <w:pPr>
        <w:pStyle w:val="Style41"/>
        <w:keepNext/>
        <w:keepLines/>
        <w:widowControl w:val="0"/>
        <w:shd w:val="clear" w:color="auto" w:fill="auto"/>
        <w:bidi w:val="0"/>
        <w:spacing w:before="0" w:line="240" w:lineRule="auto"/>
        <w:ind w:left="0" w:right="0" w:firstLine="0"/>
        <w:jc w:val="both"/>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28"/>
      <w:bookmarkEnd w:id="1429"/>
      <w:bookmarkEnd w:id="14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7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1,170,945.51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39.663.777.61</w:t>
            </w:r>
          </w:p>
        </w:tc>
      </w:tr>
    </w:tbl>
    <w:p>
      <w:pPr>
        <w:pStyle w:val="Style26"/>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注：本公司之子公司神州数码系统集成服务有限公司、珠海市时代新科实业有限公司及珠海市捷通无限科技有限公司分 别持有北京神州数码信息技术服务有限公司</w:t>
      </w:r>
      <w:r>
        <w:rPr>
          <w:rFonts w:ascii="Times New Roman" w:eastAsia="Times New Roman" w:hAnsi="Times New Roman" w:cs="Times New Roman"/>
          <w:color w:val="000000"/>
          <w:spacing w:val="0"/>
          <w:w w:val="100"/>
          <w:position w:val="0"/>
        </w:rPr>
        <w:t>46%</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及</w:t>
      </w:r>
      <w:r>
        <w:rPr>
          <w:rFonts w:ascii="Times New Roman" w:eastAsia="Times New Roman" w:hAnsi="Times New Roman" w:cs="Times New Roman"/>
          <w:color w:val="000000"/>
          <w:spacing w:val="0"/>
          <w:w w:val="100"/>
          <w:position w:val="0"/>
        </w:rPr>
        <w:t>44%</w:t>
      </w:r>
      <w:r>
        <w:rPr>
          <w:color w:val="000000"/>
          <w:spacing w:val="0"/>
          <w:w w:val="100"/>
          <w:position w:val="0"/>
        </w:rPr>
        <w:t>股权，根据北京神州数码信息技术服务有限公司</w:t>
      </w:r>
      <w:r>
        <w:rPr>
          <w:rFonts w:ascii="Times New Roman" w:eastAsia="Times New Roman" w:hAnsi="Times New Roman" w:cs="Times New Roman"/>
          <w:color w:val="000000"/>
          <w:spacing w:val="0"/>
          <w:w w:val="100"/>
          <w:position w:val="0"/>
        </w:rPr>
        <w:t>2017</w:t>
      </w:r>
      <w:r>
        <w:rPr>
          <w:color w:val="000000"/>
          <w:spacing w:val="0"/>
          <w:w w:val="100"/>
          <w:position w:val="0"/>
        </w:rPr>
        <w:t>年第四次 股东会决议，确定股东红利按协议约定比例执行，其他权利仍按出资比例执行。</w:t>
      </w:r>
    </w:p>
    <w:p>
      <w:pPr>
        <w:widowControl w:val="0"/>
        <w:spacing w:after="299" w:line="1" w:lineRule="exact"/>
      </w:pPr>
    </w:p>
    <w:p>
      <w:pPr>
        <w:pStyle w:val="Style41"/>
        <w:keepNext/>
        <w:keepLines/>
        <w:widowControl w:val="0"/>
        <w:shd w:val="clear" w:color="auto" w:fill="auto"/>
        <w:bidi w:val="0"/>
        <w:spacing w:before="0" w:line="240" w:lineRule="auto"/>
        <w:ind w:left="0" w:right="0" w:firstLine="140"/>
        <w:jc w:val="both"/>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31"/>
      <w:bookmarkEnd w:id="1432"/>
      <w:bookmarkEnd w:id="143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6"/>
        <w:gridCol w:w="1277"/>
        <w:gridCol w:w="1416"/>
        <w:gridCol w:w="1277"/>
        <w:gridCol w:w="1277"/>
        <w:gridCol w:w="128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北京神州数码信息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1,021,771,962.08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50,451,495.30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1,072,223,457.38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985,034,287.36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3,833,583.94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988,867,871.30</w:t>
            </w:r>
          </w:p>
        </w:tc>
      </w:tr>
    </w:tbl>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1565"/>
        <w:gridCol w:w="1416"/>
        <w:gridCol w:w="1277"/>
        <w:gridCol w:w="1416"/>
        <w:gridCol w:w="1277"/>
        <w:gridCol w:w="1277"/>
        <w:gridCol w:w="128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北京神州数码信息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494,274,507.97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39,311,143.23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533,585,651.20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428,102,387.99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10,014,183.06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438,116,571.05</w:t>
            </w:r>
          </w:p>
        </w:tc>
      </w:tr>
    </w:tbl>
    <w:tbl>
      <w:tblPr>
        <w:tblOverlap w:val="never"/>
        <w:jc w:val="center"/>
        <w:tblLayout w:type="fixed"/>
      </w:tblPr>
      <w:tblGrid>
        <w:gridCol w:w="1565"/>
        <w:gridCol w:w="1416"/>
        <w:gridCol w:w="1277"/>
        <w:gridCol w:w="1416"/>
        <w:gridCol w:w="1277"/>
        <w:gridCol w:w="1277"/>
        <w:gridCol w:w="1286"/>
      </w:tblGrid>
      <w:tr>
        <w:trPr>
          <w:trHeight w:val="3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699"/>
        <w:gridCol w:w="1704"/>
        <w:gridCol w:w="1416"/>
        <w:gridCol w:w="17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北京神州数码信息技术服务有限公司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962,101,353.66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8,131,566.05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8,131,566.05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-45,681,586.72</w:t>
            </w:r>
          </w:p>
        </w:tc>
      </w:tr>
    </w:tbl>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981"/>
        <w:gridCol w:w="1699"/>
        <w:gridCol w:w="1704"/>
        <w:gridCol w:w="1416"/>
        <w:gridCol w:w="17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北京神州数码信息技术服务有限公司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535,535,381.48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13,133,199.74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13,133,199.74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112,981,980.86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35"/>
      <w:bookmarkEnd w:id="1436"/>
      <w:bookmarkEnd w:id="1437"/>
    </w:p>
    <w:p>
      <w:pPr>
        <w:pStyle w:val="Style41"/>
        <w:keepNext/>
        <w:keepLines/>
        <w:widowControl w:val="0"/>
        <w:shd w:val="clear" w:color="auto" w:fill="auto"/>
        <w:tabs>
          <w:tab w:pos="493" w:val="left"/>
        </w:tabs>
        <w:bidi w:val="0"/>
        <w:spacing w:before="0" w:line="240" w:lineRule="auto"/>
        <w:ind w:left="0" w:right="0" w:firstLine="0"/>
        <w:jc w:val="both"/>
      </w:pPr>
      <w:bookmarkStart w:id="1435" w:name="bookmark1435"/>
      <w:bookmarkStart w:id="1436" w:name="bookmark1436"/>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435"/>
      <w:bookmarkEnd w:id="1436"/>
      <w:bookmarkEnd w:id="1439"/>
    </w:p>
    <w:p>
      <w:pPr>
        <w:pStyle w:val="Style37"/>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本年，公司将持有的鼎捷软件股权全部转让完毕，故年末无重要的联营企业。</w:t>
      </w:r>
    </w:p>
    <w:p>
      <w:pPr>
        <w:pStyle w:val="Style41"/>
        <w:keepNext/>
        <w:keepLines/>
        <w:widowControl w:val="0"/>
        <w:shd w:val="clear" w:color="auto" w:fill="auto"/>
        <w:tabs>
          <w:tab w:pos="493" w:val="left"/>
        </w:tabs>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w:t>
        <w:tab/>
        <w:t>不重要的合营企业和联营企业的汇总财务信息</w:t>
      </w:r>
      <w:bookmarkEnd w:id="1440"/>
      <w:bookmarkEnd w:id="1441"/>
      <w:bookmarkEnd w:id="1443"/>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163,000,470.68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133,403,906.91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2,743,122.27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3,153,394.08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2,743,122.27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3,153,394.08</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1444" w:name="bookmark1444"/>
      <w:bookmarkStart w:id="1445" w:name="bookmark1445"/>
      <w:bookmarkStart w:id="1446" w:name="bookmark1446"/>
      <w:r>
        <w:rPr>
          <w:color w:val="000000"/>
          <w:spacing w:val="0"/>
          <w:w w:val="100"/>
          <w:position w:val="0"/>
          <w:sz w:val="24"/>
          <w:szCs w:val="24"/>
        </w:rPr>
        <w:t>十、与金融工具相关的风险</w:t>
      </w:r>
      <w:bookmarkEnd w:id="1444"/>
      <w:bookmarkEnd w:id="1445"/>
      <w:bookmarkEnd w:id="1446"/>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本集团的主要金融工具包括货币资金、交易性金融资产、应收票据、应收账款、其他应收款、其他权益工具投资、短 期借款、应付票据、应付账款、其他应付款、一年内到期的非流动负债、长期借款、长期应付款等，各项金融工具的详细情 况说明见附注七。本集团金融工具所产生的主要风险为汇率风险和利率风险。本集团为降低这些风险所采取的风险管理政策 如下所述。</w:t>
      </w:r>
    </w:p>
    <w:p>
      <w:pPr>
        <w:pStyle w:val="Style37"/>
        <w:keepNext w:val="0"/>
        <w:keepLines w:val="0"/>
        <w:widowControl w:val="0"/>
        <w:shd w:val="clear" w:color="auto" w:fill="auto"/>
        <w:tabs>
          <w:tab w:pos="905" w:val="left"/>
        </w:tabs>
        <w:bidi w:val="0"/>
        <w:spacing w:before="0" w:after="0" w:line="313" w:lineRule="exact"/>
        <w:ind w:left="0" w:right="0" w:firstLine="460"/>
        <w:jc w:val="both"/>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w:t>
        <w:tab/>
        <w:t>风险管理目标和政策</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本集团从事风险管理的目标是在风险和收益之间取得适当的平衡，将风险对本集团经营业绩的负面影响降低到最低水 平，使股东及其它权益投资者的利益最大化。基于该风险管理目标，本集团风险管理的基本策略是确定和分析本集团所面临 的各种风险，建立适当的风险承受底线并进行风险管理，并及时可靠地对各种风险进行监督，将风险控制在限定的范围之内。</w:t>
      </w:r>
    </w:p>
    <w:p>
      <w:pPr>
        <w:pStyle w:val="Style37"/>
        <w:keepNext w:val="0"/>
        <w:keepLines w:val="0"/>
        <w:widowControl w:val="0"/>
        <w:shd w:val="clear" w:color="auto" w:fill="auto"/>
        <w:tabs>
          <w:tab w:pos="905" w:val="left"/>
        </w:tabs>
        <w:bidi w:val="0"/>
        <w:spacing w:before="0" w:after="80" w:line="313" w:lineRule="exact"/>
        <w:ind w:left="0" w:right="0" w:firstLine="460"/>
        <w:jc w:val="both"/>
      </w:pPr>
      <w:bookmarkStart w:id="1448" w:name="bookmark1448"/>
      <w:r>
        <w:rPr>
          <w:color w:val="000000"/>
          <w:spacing w:val="0"/>
          <w:w w:val="100"/>
          <w:position w:val="0"/>
        </w:rPr>
        <w:t>（</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w:t>
        <w:tab/>
        <w:t>市场风险</w:t>
      </w:r>
    </w:p>
    <w:p>
      <w:pPr>
        <w:pStyle w:val="Style37"/>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37"/>
        <w:keepNext w:val="0"/>
        <w:keepLines w:val="0"/>
        <w:widowControl w:val="0"/>
        <w:shd w:val="clear" w:color="auto" w:fill="auto"/>
        <w:bidi w:val="0"/>
        <w:spacing w:before="0" w:after="180" w:line="313" w:lineRule="exact"/>
        <w:ind w:left="0" w:right="0" w:firstLine="460"/>
        <w:jc w:val="both"/>
      </w:pPr>
      <w:r>
        <w:rPr>
          <w:color w:val="000000"/>
          <w:spacing w:val="0"/>
          <w:w w:val="100"/>
          <w:position w:val="0"/>
        </w:rPr>
        <w:t>外汇风险指因汇率变动产生损失的风险。本集团承受外汇风险主要与美元、港币有关。于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日，资产及负 </w:t>
      </w:r>
      <w:r>
        <w:rPr>
          <w:color w:val="000000"/>
          <w:spacing w:val="0"/>
          <w:w w:val="100"/>
          <w:position w:val="0"/>
        </w:rPr>
        <w:t>债的美元、港币如下表所述</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984"/>
        <w:gridCol w:w="1867"/>
        <w:gridCol w:w="1862"/>
        <w:gridCol w:w="2011"/>
        <w:gridCol w:w="2021"/>
      </w:tblGrid>
      <w:tr>
        <w:trPr>
          <w:trHeight w:val="4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币种</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18,537,200.03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7,598,135.34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99,778,386.90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10,756,241.09</w:t>
            </w:r>
          </w:p>
        </w:tc>
      </w:tr>
      <w:tr>
        <w:trPr>
          <w:trHeight w:val="48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1,730,221.30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46,960,102.90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1,345,299.48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140,029,099.61</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本集团目前并无外币对冲政策，但管理层监控外币汇兑风险并将考虑在需要时对冲重大外币风险。</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7"/>
        <w:keepNext w:val="0"/>
        <w:keepLines w:val="0"/>
        <w:widowControl w:val="0"/>
        <w:shd w:val="clear" w:color="auto" w:fill="auto"/>
        <w:bidi w:val="0"/>
        <w:spacing w:before="0" w:after="0" w:line="322" w:lineRule="exact"/>
        <w:ind w:left="0" w:right="0" w:firstLine="540"/>
        <w:jc w:val="both"/>
      </w:pPr>
      <w:r>
        <w:rPr>
          <w:color w:val="000000"/>
          <w:spacing w:val="0"/>
          <w:w w:val="100"/>
          <w:position w:val="0"/>
        </w:rPr>
        <w:t>本集团的利率风险主要与本集团以浮动利率计息的负债有关。于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0，本集团的带息债务主要为人民币和 港币计价的浮动利率借款合同，金额合计为</w:t>
      </w:r>
      <w:r>
        <w:rPr>
          <w:rFonts w:ascii="Times New Roman" w:eastAsia="Times New Roman" w:hAnsi="Times New Roman" w:cs="Times New Roman"/>
          <w:color w:val="000000"/>
          <w:spacing w:val="0"/>
          <w:w w:val="100"/>
          <w:position w:val="0"/>
        </w:rPr>
        <w:t>31,970.41</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日金额为</w:t>
      </w:r>
      <w:r>
        <w:rPr>
          <w:rFonts w:ascii="Times New Roman" w:eastAsia="Times New Roman" w:hAnsi="Times New Roman" w:cs="Times New Roman"/>
          <w:color w:val="000000"/>
          <w:spacing w:val="0"/>
          <w:w w:val="100"/>
          <w:position w:val="0"/>
        </w:rPr>
        <w:t>94,121.6</w:t>
      </w:r>
      <w:r>
        <w:rPr>
          <w:rFonts w:ascii="Times New Roman" w:eastAsia="Times New Roman" w:hAnsi="Times New Roman" w:cs="Times New Roman"/>
          <w:color w:val="000000"/>
          <w:spacing w:val="0"/>
          <w:w w:val="100"/>
          <w:position w:val="0"/>
        </w:rPr>
        <w:t>1</w:t>
      </w:r>
      <w:r>
        <w:rPr>
          <w:color w:val="000000"/>
          <w:spacing w:val="0"/>
          <w:w w:val="100"/>
          <w:position w:val="0"/>
        </w:rPr>
        <w:t>万元)。本集团目前没有利率对冲 政策，然而，管理层对利率风险实施监察，若预期将会出现重大利率风险，将会考虑采取其他必要的行动。</w:t>
      </w:r>
    </w:p>
    <w:p>
      <w:pPr>
        <w:pStyle w:val="Style37"/>
        <w:keepNext w:val="0"/>
        <w:keepLines w:val="0"/>
        <w:widowControl w:val="0"/>
        <w:numPr>
          <w:ilvl w:val="0"/>
          <w:numId w:val="37"/>
        </w:numPr>
        <w:shd w:val="clear" w:color="auto" w:fill="auto"/>
        <w:tabs>
          <w:tab w:pos="912" w:val="left"/>
        </w:tabs>
        <w:bidi w:val="0"/>
        <w:spacing w:before="0" w:after="0" w:line="322" w:lineRule="exact"/>
        <w:ind w:left="0" w:right="0" w:firstLine="520"/>
        <w:jc w:val="both"/>
      </w:pPr>
      <w:bookmarkStart w:id="1449" w:name="bookmark1449"/>
      <w:bookmarkEnd w:id="1449"/>
      <w:r>
        <w:rPr>
          <w:color w:val="000000"/>
          <w:spacing w:val="0"/>
          <w:w w:val="100"/>
          <w:position w:val="0"/>
        </w:rPr>
        <w:t>信用风险</w:t>
      </w:r>
    </w:p>
    <w:p>
      <w:pPr>
        <w:pStyle w:val="Style37"/>
        <w:keepNext w:val="0"/>
        <w:keepLines w:val="0"/>
        <w:widowControl w:val="0"/>
        <w:shd w:val="clear" w:color="auto" w:fill="auto"/>
        <w:bidi w:val="0"/>
        <w:spacing w:before="0" w:after="0" w:line="322" w:lineRule="exact"/>
        <w:ind w:left="0" w:right="0" w:firstLine="5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0，可能引起本集团财务损失的最大信用风险敞口主要来自于合同另一方未能履行义务而导致本集团 金融资产产生的损失。</w:t>
      </w:r>
    </w:p>
    <w:p>
      <w:pPr>
        <w:pStyle w:val="Style37"/>
        <w:keepNext w:val="0"/>
        <w:keepLines w:val="0"/>
        <w:widowControl w:val="0"/>
        <w:shd w:val="clear" w:color="auto" w:fill="auto"/>
        <w:bidi w:val="0"/>
        <w:spacing w:before="0" w:after="0" w:line="309" w:lineRule="exact"/>
        <w:ind w:left="0" w:right="0" w:firstLine="540"/>
        <w:jc w:val="both"/>
      </w:pPr>
      <w:r>
        <w:rPr>
          <w:color w:val="000000"/>
          <w:spacing w:val="0"/>
          <w:w w:val="100"/>
          <w:position w:val="0"/>
        </w:rPr>
        <w:t>本集团仅与经认可的、信誉良好的第三方进行交易。按照本集团政策，需对所有要求采用信用方式进行交易的客户进 行信用审核。另外，本集团对应收账款余额进行持续监控，以确保本集团不致面临重大坏账风险。对于未采用相关经营单位 的记账本位币结算的交易，除非本集团信用控制部门特别批准，否则本集团不提供信用交易条件。</w:t>
      </w:r>
    </w:p>
    <w:p>
      <w:pPr>
        <w:pStyle w:val="Style37"/>
        <w:keepNext w:val="0"/>
        <w:keepLines w:val="0"/>
        <w:widowControl w:val="0"/>
        <w:shd w:val="clear" w:color="auto" w:fill="auto"/>
        <w:bidi w:val="0"/>
        <w:spacing w:before="0" w:after="0" w:line="309" w:lineRule="exact"/>
        <w:ind w:left="0" w:right="0" w:firstLine="540"/>
        <w:jc w:val="both"/>
      </w:pPr>
      <w:r>
        <w:rPr>
          <w:color w:val="000000"/>
          <w:spacing w:val="0"/>
          <w:w w:val="100"/>
          <w:position w:val="0"/>
        </w:rPr>
        <w:t>本集团其他金融资产包括货币资金、交易性金融资产、应收票据、其他应收款及其他权益工具投资，这些金融资产的 信用风险源自交易对手违约，最大风险敞口等于这些工具的账面金额。本公司还因给予关联方财务担保而面临信用风险，详 见十二、</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)关联担保情况中披露。</w:t>
      </w:r>
    </w:p>
    <w:p>
      <w:pPr>
        <w:pStyle w:val="Style37"/>
        <w:keepNext w:val="0"/>
        <w:keepLines w:val="0"/>
        <w:widowControl w:val="0"/>
        <w:shd w:val="clear" w:color="auto" w:fill="auto"/>
        <w:bidi w:val="0"/>
        <w:spacing w:before="0" w:after="0" w:line="309" w:lineRule="exact"/>
        <w:ind w:left="0" w:right="0" w:firstLine="540"/>
        <w:jc w:val="both"/>
      </w:pPr>
      <w:r>
        <w:rPr>
          <w:color w:val="000000"/>
          <w:spacing w:val="0"/>
          <w:w w:val="100"/>
          <w:position w:val="0"/>
        </w:rPr>
        <w:t>由于本集团仅与经认可的且信誉良好的第三方进行交易，所以无需担保物。信用风险集中按照客户</w:t>
      </w:r>
      <w:r>
        <w:rPr>
          <w:rFonts w:ascii="Times New Roman" w:eastAsia="Times New Roman" w:hAnsi="Times New Roman" w:cs="Times New Roman"/>
          <w:color w:val="000000"/>
          <w:spacing w:val="0"/>
          <w:w w:val="100"/>
          <w:position w:val="0"/>
        </w:rPr>
        <w:t>/</w:t>
      </w:r>
      <w:r>
        <w:rPr>
          <w:color w:val="000000"/>
          <w:spacing w:val="0"/>
          <w:w w:val="100"/>
          <w:position w:val="0"/>
        </w:rPr>
        <w:t>交易对手、地理区 域和行业进行管理。由于本集团的应收账款客户群广泛地分散于不同的部门和行业中，因此在本集团内部不存在重大信用风 险集中。本集团对应收账款余额未持有其他信用增级。</w:t>
      </w:r>
    </w:p>
    <w:p>
      <w:pPr>
        <w:pStyle w:val="Style37"/>
        <w:keepNext w:val="0"/>
        <w:keepLines w:val="0"/>
        <w:widowControl w:val="0"/>
        <w:numPr>
          <w:ilvl w:val="0"/>
          <w:numId w:val="37"/>
        </w:numPr>
        <w:shd w:val="clear" w:color="auto" w:fill="auto"/>
        <w:tabs>
          <w:tab w:pos="932" w:val="left"/>
        </w:tabs>
        <w:bidi w:val="0"/>
        <w:spacing w:before="0" w:after="0" w:line="309" w:lineRule="exact"/>
        <w:ind w:left="0" w:right="0" w:firstLine="540"/>
        <w:jc w:val="both"/>
      </w:pPr>
      <w:bookmarkStart w:id="1450" w:name="bookmark1450"/>
      <w:bookmarkEnd w:id="1450"/>
      <w:r>
        <w:rPr>
          <w:color w:val="000000"/>
          <w:spacing w:val="0"/>
          <w:w w:val="100"/>
          <w:position w:val="0"/>
        </w:rPr>
        <w:t>流动风险</w:t>
      </w:r>
    </w:p>
    <w:p>
      <w:pPr>
        <w:pStyle w:val="Style37"/>
        <w:keepNext w:val="0"/>
        <w:keepLines w:val="0"/>
        <w:widowControl w:val="0"/>
        <w:shd w:val="clear" w:color="auto" w:fill="auto"/>
        <w:bidi w:val="0"/>
        <w:spacing w:before="0" w:after="60" w:line="309" w:lineRule="exact"/>
        <w:ind w:left="0" w:right="0" w:firstLine="540"/>
        <w:jc w:val="both"/>
      </w:pPr>
      <w:r>
        <w:rPr>
          <w:color w:val="000000"/>
          <w:spacing w:val="0"/>
          <w:w w:val="100"/>
          <w:position w:val="0"/>
        </w:rPr>
        <w:t>流动风险为本集团在到期日无法履行其财务义务的风险。本集团管理流动性风险的方法是采用循环流动性资金计划工 具监控资金短缺的风险。该工具考虑其涉及金融工具与金融资产(如应收账款及应收票据)的到期日以及来自营运业务的预 期营运现金流量。本集团的目标是透过使用附息银行贷款以及其他可取得的资金来源，维持资金延续性与灵活性的平衡。此 外，本集团还取得银行额度以供应急之用。</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日本集团持有的金融负债按未折现剩余合同义务的到期期限分析如下:</w:t>
      </w:r>
    </w:p>
    <w:tbl>
      <w:tblPr>
        <w:tblOverlap w:val="never"/>
        <w:jc w:val="center"/>
        <w:tblLayout w:type="fixed"/>
      </w:tblPr>
      <w:tblGrid>
        <w:gridCol w:w="1253"/>
        <w:gridCol w:w="2126"/>
        <w:gridCol w:w="1699"/>
        <w:gridCol w:w="1699"/>
        <w:gridCol w:w="1963"/>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一至三年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三年以上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722,279,881.25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722,279,881.25</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552,013,491.84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552,013,491.84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1,714,586,604.78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468,441,643.40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152,376,921.42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2,335,405,169.60</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172,447,116.46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79,873,452.22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7,426,146.90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259,746,715.58</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)敏感性分析</w:t>
      </w:r>
    </w:p>
    <w:p>
      <w:pPr>
        <w:pStyle w:val="Style37"/>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本集团采用敏感性分析技术分析风险变量的合理、可能变化对当期损益或所有者权益可能产生的影响。由于任何风险 变量很少孤立的发生变化，而变量之间存在的相关性对某一风险变量变化的最终影响金额将产生重大作用，因此下述内容是 在假设每一变量的变化是独立的情况下进行的。</w:t>
      </w:r>
    </w:p>
    <w:p>
      <w:pPr>
        <w:pStyle w:val="Style37"/>
        <w:keepNext w:val="0"/>
        <w:keepLines w:val="0"/>
        <w:widowControl w:val="0"/>
        <w:shd w:val="clear" w:color="auto" w:fill="auto"/>
        <w:bidi w:val="0"/>
        <w:spacing w:before="0" w:after="0" w:line="312" w:lineRule="exact"/>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外汇风险敏感性分析</w:t>
      </w:r>
    </w:p>
    <w:p>
      <w:pPr>
        <w:pStyle w:val="Style37"/>
        <w:keepNext w:val="0"/>
        <w:keepLines w:val="0"/>
        <w:widowControl w:val="0"/>
        <w:shd w:val="clear" w:color="auto" w:fill="auto"/>
        <w:bidi w:val="0"/>
        <w:spacing w:before="0" w:after="0" w:line="312" w:lineRule="exact"/>
        <w:ind w:left="0" w:right="0" w:firstLine="540"/>
        <w:jc w:val="both"/>
      </w:pPr>
      <w:r>
        <w:rPr>
          <w:color w:val="000000"/>
          <w:spacing w:val="0"/>
          <w:w w:val="100"/>
          <w:position w:val="0"/>
        </w:rPr>
        <w:t>下表为汇率风险的敏感性分析，反映了在其它变量不变的假设下，美元、港币汇率发生合理、可能的变动时，将对利 润总额的影响如下：</w:t>
      </w:r>
    </w:p>
    <w:p>
      <w:pPr>
        <w:pStyle w:val="Style37"/>
        <w:keepNext w:val="0"/>
        <w:keepLines w:val="0"/>
        <w:widowControl w:val="0"/>
        <w:shd w:val="clear" w:color="auto" w:fill="auto"/>
        <w:bidi w:val="0"/>
        <w:spacing w:before="0" w:after="60" w:line="312" w:lineRule="exact"/>
        <w:ind w:left="0" w:right="300" w:firstLine="0"/>
        <w:jc w:val="right"/>
      </w:pPr>
      <w:r>
        <w:rPr>
          <w:color w:val="000000"/>
          <w:spacing w:val="0"/>
          <w:w w:val="100"/>
          <w:position w:val="0"/>
        </w:rPr>
        <w:t>单位：万元</w:t>
      </w:r>
    </w:p>
    <w:tbl>
      <w:tblPr>
        <w:tblOverlap w:val="never"/>
        <w:jc w:val="center"/>
        <w:tblLayout w:type="fixed"/>
      </w:tblPr>
      <w:tblGrid>
        <w:gridCol w:w="1430"/>
        <w:gridCol w:w="1560"/>
        <w:gridCol w:w="3259"/>
        <w:gridCol w:w="3130"/>
      </w:tblGrid>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币种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汇率变动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bl>
    <w:p>
      <w:pPr>
        <w:spacing w:lineRule="exact" w:line="1"/>
        <w:rPr>
          <w:sz w:val="2"/>
          <w:szCs w:val="2"/>
        </w:rPr>
      </w:pPr>
      <w:r>
        <w:br w:type="page"/>
      </w:r>
    </w:p>
    <w:tbl>
      <w:tblPr>
        <w:tblOverlap w:val="never"/>
        <w:jc w:val="center"/>
        <w:tblLayout w:type="fixed"/>
      </w:tblPr>
      <w:tblGrid>
        <w:gridCol w:w="1430"/>
        <w:gridCol w:w="1560"/>
        <w:gridCol w:w="1560"/>
        <w:gridCol w:w="1699"/>
        <w:gridCol w:w="1421"/>
        <w:gridCol w:w="1709"/>
      </w:tblGrid>
      <w:tr>
        <w:trPr>
          <w:trHeight w:val="64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对净利润的影响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对所有者权益的影</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对净利润的影 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对所有者权益的影</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响</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若人民币升值</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593.98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-2,256.27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646.50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550.94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若人民币贬值</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-649.21</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w:t>
            </w: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-593.98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2,256.27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-646.50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-550.94</w:t>
            </w:r>
          </w:p>
        </w:tc>
      </w:tr>
    </w:tbl>
    <w:p>
      <w:pPr>
        <w:pStyle w:val="Style26"/>
        <w:keepNext w:val="0"/>
        <w:keepLines w:val="0"/>
        <w:widowControl w:val="0"/>
        <w:shd w:val="clear" w:color="auto" w:fill="auto"/>
        <w:bidi w:val="0"/>
        <w:spacing w:before="0" w:after="0" w:line="317" w:lineRule="exact"/>
        <w:ind w:left="10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利率风险敏感性分析</w:t>
      </w:r>
    </w:p>
    <w:p>
      <w:pPr>
        <w:pStyle w:val="Style37"/>
        <w:keepNext w:val="0"/>
        <w:keepLines w:val="0"/>
        <w:widowControl w:val="0"/>
        <w:shd w:val="clear" w:color="auto" w:fill="auto"/>
        <w:bidi w:val="0"/>
        <w:spacing w:before="0" w:after="80" w:line="317" w:lineRule="exact"/>
        <w:ind w:left="0" w:right="0" w:firstLine="560"/>
        <w:jc w:val="left"/>
      </w:pPr>
      <w:r>
        <w:rPr>
          <w:color w:val="000000"/>
          <w:spacing w:val="0"/>
          <w:w w:val="100"/>
          <w:position w:val="0"/>
        </w:rPr>
        <w:t>下表为利率风险的敏感性分析，反映了在其它变量不变的假设下，利率发生合理、可能的变动时，将对净利润的影响 如下：</w:t>
      </w:r>
    </w:p>
    <w:p>
      <w:pPr>
        <w:pStyle w:val="Style26"/>
        <w:keepNext w:val="0"/>
        <w:keepLines w:val="0"/>
        <w:widowControl w:val="0"/>
        <w:shd w:val="clear" w:color="auto" w:fill="auto"/>
        <w:bidi w:val="0"/>
        <w:spacing w:before="0" w:after="0" w:line="240" w:lineRule="auto"/>
        <w:ind w:left="8448" w:right="0" w:firstLine="0"/>
        <w:jc w:val="left"/>
      </w:pPr>
      <w:r>
        <w:rPr>
          <w:color w:val="000000"/>
          <w:spacing w:val="0"/>
          <w:w w:val="100"/>
          <w:position w:val="0"/>
        </w:rPr>
        <w:t>单位：万元</w:t>
      </w:r>
    </w:p>
    <w:tbl>
      <w:tblPr>
        <w:tblOverlap w:val="never"/>
        <w:jc w:val="center"/>
        <w:tblLayout w:type="fixed"/>
      </w:tblPr>
      <w:tblGrid>
        <w:gridCol w:w="1570"/>
        <w:gridCol w:w="1704"/>
        <w:gridCol w:w="2126"/>
        <w:gridCol w:w="1843"/>
        <w:gridCol w:w="2131"/>
      </w:tblGrid>
      <w:tr>
        <w:trPr>
          <w:trHeight w:val="35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利率变动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对净利润的影响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对所有者权益的影响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对净利润的影响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对所有者权益的影响</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若利率增加</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-603.38</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若利率减少</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376.83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603.38</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451" w:name="bookmark1451"/>
      <w:bookmarkStart w:id="1452" w:name="bookmark1452"/>
      <w:bookmarkStart w:id="1453" w:name="bookmark1453"/>
      <w:r>
        <w:rPr>
          <w:color w:val="000000"/>
          <w:spacing w:val="0"/>
          <w:w w:val="100"/>
          <w:position w:val="0"/>
          <w:sz w:val="24"/>
          <w:szCs w:val="24"/>
        </w:rPr>
        <w:t>十^一、公允价值的披露</w:t>
      </w:r>
      <w:bookmarkEnd w:id="1451"/>
      <w:bookmarkEnd w:id="1452"/>
      <w:bookmarkEnd w:id="1453"/>
    </w:p>
    <w:p>
      <w:pPr>
        <w:pStyle w:val="Style41"/>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54"/>
      <w:bookmarkEnd w:id="1455"/>
      <w:bookmarkEnd w:id="14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987"/>
        <w:gridCol w:w="1982"/>
        <w:gridCol w:w="1987"/>
        <w:gridCol w:w="135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510,825,150.68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239,182,511.80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750,007,662.48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154,829,413.56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154,829,413.56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持续以公允价值计量的资产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510,825,150.68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394,011,925.36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904,837,076.04</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r>
        <w:rPr>
          <w:color w:val="000000"/>
          <w:spacing w:val="0"/>
          <w:w w:val="100"/>
          <w:position w:val="0"/>
        </w:rPr>
        <w:t>、持续和非持续第二层次公允价值计量项目，采用的估值技术和重要参数的定性及定量信息</w:t>
      </w:r>
      <w:bookmarkEnd w:id="1457"/>
      <w:bookmarkEnd w:id="1458"/>
      <w:bookmarkEnd w:id="1459"/>
    </w:p>
    <w:p>
      <w:pPr>
        <w:pStyle w:val="Style37"/>
        <w:keepNext w:val="0"/>
        <w:keepLines w:val="0"/>
        <w:widowControl w:val="0"/>
        <w:shd w:val="clear" w:color="auto" w:fill="auto"/>
        <w:bidi w:val="0"/>
        <w:spacing w:before="0" w:after="0" w:line="310" w:lineRule="exact"/>
        <w:ind w:left="0" w:right="0" w:firstLine="560"/>
        <w:jc w:val="left"/>
      </w:pPr>
      <w:r>
        <w:rPr>
          <w:color w:val="000000"/>
          <w:spacing w:val="0"/>
          <w:w w:val="100"/>
          <w:position w:val="0"/>
        </w:rPr>
        <w:t>每个资产负债表日，财务部门从金融机构或第三方机构取得金融工具的公允价值，按照金融机构或第三方机构出具的 公允值确认。</w:t>
      </w:r>
    </w:p>
    <w:p>
      <w:pPr>
        <w:pStyle w:val="Style37"/>
        <w:keepNext w:val="0"/>
        <w:keepLines w:val="0"/>
        <w:widowControl w:val="0"/>
        <w:shd w:val="clear" w:color="auto" w:fill="auto"/>
        <w:bidi w:val="0"/>
        <w:spacing w:before="0" w:after="360" w:line="310" w:lineRule="exact"/>
        <w:ind w:left="0" w:right="0" w:firstLine="560"/>
        <w:jc w:val="left"/>
      </w:pPr>
      <w:r>
        <w:rPr>
          <w:color w:val="000000"/>
          <w:spacing w:val="0"/>
          <w:w w:val="100"/>
          <w:position w:val="0"/>
        </w:rPr>
        <w:t>金融资产和金融负债的公允价值，以在公平交易中，熟悉情况的交易双方自愿进行资产交换或者债务清偿的金额确定, 而不是被迫出售或清算情况下的金额。</w:t>
      </w:r>
    </w:p>
    <w:p>
      <w:pPr>
        <w:pStyle w:val="Style41"/>
        <w:keepNext/>
        <w:keepLines/>
        <w:widowControl w:val="0"/>
        <w:shd w:val="clear" w:color="auto" w:fill="auto"/>
        <w:bidi w:val="0"/>
        <w:spacing w:before="0" w:after="30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color w:val="000000"/>
          <w:spacing w:val="0"/>
          <w:w w:val="100"/>
          <w:position w:val="0"/>
        </w:rPr>
        <w:t>、持续和非持续第三层次公允价值计量项目，采用的估值技术和重要参数的定性及定量信息</w:t>
      </w:r>
      <w:bookmarkEnd w:id="1460"/>
      <w:bookmarkEnd w:id="1461"/>
      <w:bookmarkEnd w:id="1463"/>
    </w:p>
    <w:p>
      <w:pPr>
        <w:pStyle w:val="Style37"/>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对于非上市股权投资、基金投资等，本集团从交易对手处询价或者采用估值技术来确定其公允价值，估值技术包括收 益法和市场法等。</w:t>
      </w:r>
    </w:p>
    <w:p>
      <w:pPr>
        <w:pStyle w:val="Style37"/>
        <w:keepNext w:val="0"/>
        <w:keepLines w:val="0"/>
        <w:widowControl w:val="0"/>
        <w:shd w:val="clear" w:color="auto" w:fill="auto"/>
        <w:bidi w:val="0"/>
        <w:spacing w:before="0" w:after="300" w:line="312" w:lineRule="exact"/>
        <w:ind w:left="0" w:right="0" w:firstLine="560"/>
        <w:jc w:val="left"/>
      </w:pPr>
      <w:r>
        <w:rPr>
          <w:color w:val="000000"/>
          <w:spacing w:val="0"/>
          <w:w w:val="100"/>
          <w:position w:val="0"/>
        </w:rPr>
        <w:t>本集团以第三层次公允价值计量的项目系认购的“弘坤稳健7号私募投资基金”及其他权益工具投资。</w:t>
      </w:r>
      <w:r>
        <w:br w:type="page"/>
      </w:r>
    </w:p>
    <w:p>
      <w:pPr>
        <w:pStyle w:val="Style35"/>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color w:val="000000"/>
          <w:spacing w:val="0"/>
          <w:w w:val="100"/>
          <w:position w:val="0"/>
          <w:sz w:val="24"/>
          <w:szCs w:val="24"/>
        </w:rPr>
        <w:t>十二、关联方及关联交易</w:t>
      </w:r>
      <w:bookmarkEnd w:id="1464"/>
      <w:bookmarkEnd w:id="1465"/>
      <w:bookmarkEnd w:id="1466"/>
    </w:p>
    <w:p>
      <w:pPr>
        <w:pStyle w:val="Style41"/>
        <w:keepNext/>
        <w:keepLines/>
        <w:widowControl w:val="0"/>
        <w:shd w:val="clear" w:color="auto" w:fill="auto"/>
        <w:bidi w:val="0"/>
        <w:spacing w:before="0" w:after="32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67"/>
      <w:bookmarkEnd w:id="1468"/>
      <w:bookmarkEnd w:id="1469"/>
    </w:p>
    <w:tbl>
      <w:tblPr>
        <w:tblOverlap w:val="never"/>
        <w:jc w:val="center"/>
        <w:tblLayout w:type="fixed"/>
      </w:tblPr>
      <w:tblGrid>
        <w:gridCol w:w="1987"/>
        <w:gridCol w:w="1205"/>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39.92%</w:t>
            </w:r>
          </w:p>
        </w:tc>
      </w:tr>
    </w:tbl>
    <w:p>
      <w:pPr>
        <w:widowControl w:val="0"/>
        <w:spacing w:after="79" w:line="1" w:lineRule="exact"/>
      </w:pPr>
    </w:p>
    <w:p>
      <w:pPr>
        <w:pStyle w:val="Style64"/>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 xml:space="preserve">本企业最终控制方是 </w:t>
      </w:r>
      <w:r>
        <w:rPr>
          <w:color w:val="000000"/>
          <w:spacing w:val="0"/>
          <w:w w:val="100"/>
          <w:position w:val="0"/>
        </w:rPr>
        <w:t xml:space="preserve">Digital China Holdings Limited </w:t>
      </w:r>
      <w:r>
        <w:rPr>
          <w:rFonts w:ascii="SimSun" w:eastAsia="SimSun" w:hAnsi="SimSun" w:cs="SimSun"/>
          <w:color w:val="000000"/>
          <w:spacing w:val="0"/>
          <w:w w:val="100"/>
          <w:position w:val="0"/>
        </w:rPr>
        <w:t>o</w:t>
      </w:r>
    </w:p>
    <w:p>
      <w:pPr>
        <w:pStyle w:val="Style41"/>
        <w:keepNext/>
        <w:keepLines/>
        <w:widowControl w:val="0"/>
        <w:shd w:val="clear" w:color="auto" w:fill="auto"/>
        <w:tabs>
          <w:tab w:pos="378" w:val="left"/>
        </w:tabs>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color w:val="000000"/>
          <w:spacing w:val="0"/>
          <w:w w:val="100"/>
          <w:position w:val="0"/>
        </w:rPr>
        <w:t>、</w:t>
        <w:tab/>
        <w:t>本企业的子公司情况</w:t>
      </w:r>
      <w:bookmarkEnd w:id="1470"/>
      <w:bookmarkEnd w:id="1471"/>
      <w:bookmarkEnd w:id="1473"/>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rPr>
        <w:t>”</w:t>
      </w:r>
      <w:r>
        <w:rPr>
          <w:color w:val="000000"/>
          <w:spacing w:val="0"/>
          <w:w w:val="100"/>
          <w:position w:val="0"/>
        </w:rPr>
        <w:t>相关内容</w:t>
      </w:r>
      <w:r>
        <w:rPr>
          <w:color w:val="000000"/>
          <w:spacing w:val="0"/>
          <w:w w:val="100"/>
          <w:position w:val="0"/>
        </w:rPr>
        <w:t>。o</w:t>
      </w:r>
    </w:p>
    <w:p>
      <w:pPr>
        <w:pStyle w:val="Style41"/>
        <w:keepNext/>
        <w:keepLines/>
        <w:widowControl w:val="0"/>
        <w:shd w:val="clear" w:color="auto" w:fill="auto"/>
        <w:tabs>
          <w:tab w:pos="378" w:val="left"/>
        </w:tabs>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color w:val="000000"/>
          <w:spacing w:val="0"/>
          <w:w w:val="100"/>
          <w:position w:val="0"/>
        </w:rPr>
        <w:t>、</w:t>
        <w:tab/>
        <w:t>本企业合营和联营企业情况</w:t>
      </w:r>
      <w:bookmarkEnd w:id="1474"/>
      <w:bookmarkEnd w:id="1475"/>
      <w:bookmarkEnd w:id="1477"/>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）重要的联营企业</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平湖神州数码博海科技有限公司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天津国科量子科技有限公司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color w:val="000000"/>
          <w:spacing w:val="0"/>
          <w:w w:val="100"/>
          <w:position w:val="0"/>
        </w:rPr>
        <w:t>、其他关联方情况</w:t>
      </w:r>
      <w:bookmarkEnd w:id="1478"/>
      <w:bookmarkEnd w:id="1479"/>
      <w:bookmarkEnd w:id="148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智慧徐州建设投资发展有限公司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智慧神州（秦皇岛）信息技术有限公司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智慧神州（成都）运营服务有限公司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昆山神州数码实业有限公司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北京因特睿软件有限公司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北京神州数码科捷技术服务有限公司深圳分公司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Instant Technology Supply Chain Hong Kong Limited </w:t>
            </w:r>
            <w:r>
              <w:rPr>
                <w:color w:val="000000"/>
                <w:spacing w:val="0"/>
                <w:w w:val="100"/>
                <w:position w:val="0"/>
              </w:rPr>
              <w:t>香港科捷 供应链有限公司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Charter Base Development Limited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内蒙古呼和浩特金谷农村商业银行股份有限公司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龙岩市神州融信科技有限公司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神州数码医疗科技股份有限公司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（HK） Limited</w:t>
            </w:r>
            <w:r>
              <w:rPr>
                <w:color w:val="000000"/>
                <w:spacing w:val="0"/>
                <w:w w:val="100"/>
                <w:position w:val="0"/>
              </w:rPr>
              <w:t>神州数码（香港）有限公司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深圳海联讯科技股份有限公司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上海华瑞银行股份有限公司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南京红松信息技术有限公司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江苏中江信息技术培训学校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神州数码（中国）有限公司西安分公司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神州鲲泰（厦门）信息技术有限公司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北京神州数码云角信息技术有限公司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北京神州数码云计算有限公司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威海智慧北洋信息技术有限公司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广州城投智慧城市科技发展有限公司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量子数聚（北京）科技有限公司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神州数码（中国）有限公司杭州分公司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北京鼎捷软件有限公司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注：向关联方采购商品的价格和接受关联方技术服务支出以市场价格确认</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5</w:t>
      </w:r>
      <w:bookmarkEnd w:id="1484"/>
      <w:r>
        <w:rPr>
          <w:color w:val="000000"/>
          <w:spacing w:val="0"/>
          <w:w w:val="100"/>
          <w:position w:val="0"/>
        </w:rPr>
        <w:t>、关联交易情况</w:t>
      </w:r>
      <w:bookmarkEnd w:id="1482"/>
      <w:bookmarkEnd w:id="1483"/>
      <w:bookmarkEnd w:id="1485"/>
    </w:p>
    <w:p>
      <w:pPr>
        <w:pStyle w:val="Style41"/>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82"/>
      <w:bookmarkEnd w:id="1483"/>
      <w:bookmarkEnd w:id="1486"/>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神州数码（中国）</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42,082,697.49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134,025,423.02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神州鲲泰（厦门） 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18,648,459.52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北京神州数码有限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12,806,416.62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44,885,634.73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上海云角信息技术</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2,626,765.25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1,715,865.50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北京神州数码云角</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205,849.06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411,698.11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上海神州数码有限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68,252.21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360,000,000.00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493,576.46</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广州神州数码信息</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327,320.69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北京神州数码云计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169,811.32</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神州数码（中国） 有限公司杭州分公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24,778.76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北京神州数码云科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-256,741.03</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智慧神州（北京）</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99,362,307.78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42,770,606.30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北京因特睿软件有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11,169,560.86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357,000,000.00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4,104,433.96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广州智慧神州科技</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14,700,000.00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福建智慧海西信息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3,095,525.00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5,104,900.00</w:t>
            </w:r>
          </w:p>
        </w:tc>
      </w:tr>
    </w:tbl>
    <w:p>
      <w:pPr>
        <w:spacing w:lineRule="exact" w:line="1"/>
        <w:rPr>
          <w:sz w:val="2"/>
          <w:szCs w:val="2"/>
        </w:rPr>
      </w:pPr>
      <w:r>
        <w:br w:type="page"/>
      </w:r>
    </w:p>
    <w:tbl>
      <w:tblPr>
        <w:tblOverlap w:val="never"/>
        <w:jc w:val="center"/>
        <w:tblLayout w:type="fixed"/>
      </w:tblPr>
      <w:tblGrid>
        <w:gridCol w:w="1546"/>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北京神州数码科捷</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1,763,604.41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1,020,376.78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北京科捷物流有限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北京神州数码科捷</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技术服务有限公司</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58,593.20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北京神州邦邦技术</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64,700,555.50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龙岩市神州融信科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26,405,537.16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平湖神州数码博海</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1,235,741.08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不超</w:t>
            </w:r>
            <w:r>
              <w:rPr>
                <w:rFonts w:ascii="Times New Roman" w:eastAsia="Times New Roman" w:hAnsi="Times New Roman" w:cs="Times New Roman"/>
                <w:color w:val="000000"/>
                <w:spacing w:val="0"/>
                <w:w w:val="100"/>
                <w:position w:val="0"/>
              </w:rPr>
              <w:t>300</w:t>
            </w:r>
            <w:r>
              <w:rPr>
                <w:color w:val="000000"/>
                <w:spacing w:val="0"/>
                <w:w w:val="100"/>
                <w:position w:val="0"/>
              </w:rPr>
              <w:t>万且不超过</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净资产</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南京红松信息技术</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采购培训服务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1,062,086.19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不超</w:t>
            </w:r>
            <w:r>
              <w:rPr>
                <w:rFonts w:ascii="Times New Roman" w:eastAsia="Times New Roman" w:hAnsi="Times New Roman" w:cs="Times New Roman"/>
                <w:color w:val="000000"/>
                <w:spacing w:val="0"/>
                <w:w w:val="100"/>
                <w:position w:val="0"/>
              </w:rPr>
              <w:t>300</w:t>
            </w:r>
            <w:r>
              <w:rPr>
                <w:color w:val="000000"/>
                <w:spacing w:val="0"/>
                <w:w w:val="100"/>
                <w:position w:val="0"/>
              </w:rPr>
              <w:t>万且不超过</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净资产</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4,116,506.19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江苏中江信息技术</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培训学校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采购培训服务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933,855.47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不超</w:t>
            </w:r>
            <w:r>
              <w:rPr>
                <w:rFonts w:ascii="Times New Roman" w:eastAsia="Times New Roman" w:hAnsi="Times New Roman" w:cs="Times New Roman"/>
                <w:color w:val="000000"/>
                <w:spacing w:val="0"/>
                <w:w w:val="100"/>
                <w:position w:val="0"/>
              </w:rPr>
              <w:t>300</w:t>
            </w:r>
            <w:r>
              <w:rPr>
                <w:color w:val="000000"/>
                <w:spacing w:val="0"/>
                <w:w w:val="100"/>
                <w:position w:val="0"/>
              </w:rPr>
              <w:t>万且不超过</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净资产</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2,062,794.82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神州数码融信云技 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神州灵云（北京）</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372,509.43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不超</w:t>
            </w:r>
            <w:r>
              <w:rPr>
                <w:rFonts w:ascii="Times New Roman" w:eastAsia="Times New Roman" w:hAnsi="Times New Roman" w:cs="Times New Roman"/>
                <w:color w:val="000000"/>
                <w:spacing w:val="0"/>
                <w:w w:val="100"/>
                <w:position w:val="0"/>
              </w:rPr>
              <w:t>300</w:t>
            </w:r>
            <w:r>
              <w:rPr>
                <w:color w:val="000000"/>
                <w:spacing w:val="0"/>
                <w:w w:val="100"/>
                <w:position w:val="0"/>
              </w:rPr>
              <w:t>万且不超过</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净资产</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量子数聚（北京）</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198,113.21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不超</w:t>
            </w:r>
            <w:r>
              <w:rPr>
                <w:rFonts w:ascii="Times New Roman" w:eastAsia="Times New Roman" w:hAnsi="Times New Roman" w:cs="Times New Roman"/>
                <w:color w:val="000000"/>
                <w:spacing w:val="0"/>
                <w:w w:val="100"/>
                <w:position w:val="0"/>
              </w:rPr>
              <w:t>300</w:t>
            </w:r>
            <w:r>
              <w:rPr>
                <w:color w:val="000000"/>
                <w:spacing w:val="0"/>
                <w:w w:val="100"/>
                <w:position w:val="0"/>
              </w:rPr>
              <w:t>万且不超过</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净资产</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神州数码医疗科技</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105,880.00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不超</w:t>
            </w:r>
            <w:r>
              <w:rPr>
                <w:rFonts w:ascii="Times New Roman" w:eastAsia="Times New Roman" w:hAnsi="Times New Roman" w:cs="Times New Roman"/>
                <w:color w:val="000000"/>
                <w:spacing w:val="0"/>
                <w:w w:val="100"/>
                <w:position w:val="0"/>
              </w:rPr>
              <w:t>300</w:t>
            </w:r>
            <w:r>
              <w:rPr>
                <w:color w:val="000000"/>
                <w:spacing w:val="0"/>
                <w:w w:val="100"/>
                <w:position w:val="0"/>
              </w:rPr>
              <w:t>万且不超过</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净资产</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506,375.59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北京鼎捷软件有限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不超</w:t>
            </w:r>
            <w:r>
              <w:rPr>
                <w:rFonts w:ascii="Times New Roman" w:eastAsia="Times New Roman" w:hAnsi="Times New Roman" w:cs="Times New Roman"/>
                <w:color w:val="000000"/>
                <w:spacing w:val="0"/>
                <w:w w:val="100"/>
                <w:position w:val="0"/>
              </w:rPr>
              <w:t>300</w:t>
            </w:r>
            <w:r>
              <w:rPr>
                <w:color w:val="000000"/>
                <w:spacing w:val="0"/>
                <w:w w:val="100"/>
                <w:position w:val="0"/>
              </w:rPr>
              <w:t>万且不超过</w:t>
            </w:r>
          </w:p>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净资产</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28,562.26</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292,627,278.50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256,321,516.66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上海华瑞银行股份有限公司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应用软件开发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14,444,857.21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神州数码融信云技术服务有限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w:t>
            </w:r>
            <w:r>
              <w:rPr>
                <w:rFonts w:ascii="Times New Roman" w:eastAsia="Times New Roman" w:hAnsi="Times New Roman" w:cs="Times New Roman"/>
                <w:color w:val="000000"/>
                <w:spacing w:val="0"/>
                <w:w w:val="100"/>
                <w:position w:val="0"/>
              </w:rPr>
              <w:t>/</w:t>
            </w: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应用软 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11,713,160.47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18,904,836.76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北京神州数码置业发展有限公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r>
              <w:rPr>
                <w:rFonts w:ascii="Times New Roman" w:eastAsia="Times New Roman" w:hAnsi="Times New Roman" w:cs="Times New Roman"/>
                <w:color w:val="000000"/>
                <w:spacing w:val="0"/>
                <w:w w:val="100"/>
                <w:position w:val="0"/>
              </w:rPr>
              <w:t>/</w:t>
            </w: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10,701,559.72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应用软件开发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1,664,880.67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261"/>
        <w:gridCol w:w="2256"/>
        <w:gridCol w:w="2664"/>
      </w:tblGrid>
      <w:tr>
        <w:trPr>
          <w:trHeight w:val="36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江苏中江信息技术培训学校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1,535,450.36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890,711.15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w:t>
            </w:r>
            <w:r>
              <w:rPr>
                <w:rFonts w:ascii="Times New Roman" w:eastAsia="Times New Roman" w:hAnsi="Times New Roman" w:cs="Times New Roman"/>
                <w:color w:val="000000"/>
                <w:spacing w:val="0"/>
                <w:w w:val="100"/>
                <w:position w:val="0"/>
              </w:rPr>
              <w:t>/</w:t>
            </w: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应用软 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1,153,353.80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599,202.70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北京神州邦邦技术服务有限公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1,100,225.31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辽宁智慧山水城科技发展有限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685,570.53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1,347,169.81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南京红松信息技术有限公司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591,952.83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797,849.06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511,149.06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深圳海联讯科技股份有限公司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282,820.75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内蒙古呼和浩特金谷农村商业 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188,226.42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广州城投智慧城市科技发展有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169,811.31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254,716.99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北京神州数码云计算有限公司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43,648.05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15,486.73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智慧神州（秦皇岛）信息技术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15,433.02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北京神州数码云科信息技术有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182,726.36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170,383.02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智慧徐州建设投资发展有限公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61,320.75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智慧神州（成都）运营服务有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39,622.64</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44,838,720.81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23,264,025.97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注：向关联方销售商品价格和向关联方提供关联方技术服务收入以市场价格确认。</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87"/>
      <w:bookmarkEnd w:id="1488"/>
      <w:bookmarkEnd w:id="1489"/>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837"/>
        <w:gridCol w:w="1982"/>
        <w:gridCol w:w="20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神州数码融信云技术服务有限公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4,693,472.18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4,810,669.82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498,903.19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576,807.79</w:t>
            </w:r>
          </w:p>
        </w:tc>
      </w:tr>
    </w:tbl>
    <w:p>
      <w:pPr>
        <w:spacing w:lineRule="exact" w:line="1"/>
        <w:rPr>
          <w:sz w:val="2"/>
          <w:szCs w:val="2"/>
        </w:rPr>
      </w:pPr>
      <w:r>
        <w:br w:type="page"/>
      </w:r>
    </w:p>
    <w:tbl>
      <w:tblPr>
        <w:tblOverlap w:val="never"/>
        <w:jc w:val="center"/>
        <w:tblLayout w:type="fixed"/>
      </w:tblPr>
      <w:tblGrid>
        <w:gridCol w:w="2698"/>
        <w:gridCol w:w="2837"/>
        <w:gridCol w:w="1982"/>
        <w:gridCol w:w="2064"/>
      </w:tblGrid>
      <w:tr>
        <w:trPr>
          <w:trHeight w:val="37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0"/>
        <w:jc w:val="both"/>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490"/>
      <w:bookmarkEnd w:id="1491"/>
      <w:bookmarkEnd w:id="1493"/>
    </w:p>
    <w:p>
      <w:pPr>
        <w:pStyle w:val="Style37"/>
        <w:keepNext w:val="0"/>
        <w:keepLines w:val="0"/>
        <w:widowControl w:val="0"/>
        <w:shd w:val="clear" w:color="auto" w:fill="auto"/>
        <w:bidi w:val="0"/>
        <w:spacing w:before="0" w:after="400" w:line="302" w:lineRule="exact"/>
        <w:ind w:left="0" w:right="0" w:firstLine="0"/>
        <w:jc w:val="left"/>
      </w:pPr>
      <w:r>
        <w:rPr>
          <w:color w:val="000000"/>
          <w:spacing w:val="0"/>
          <w:w w:val="100"/>
          <w:position w:val="0"/>
        </w:rPr>
        <w:t>本公司及其子公司不存在对外担保情况。本公司与子公司之间的担保情况、子公司与子公司之间的担保情况详见本报告第五 节</w:t>
      </w:r>
      <w:r>
        <w:rPr>
          <w:rFonts w:ascii="Times New Roman" w:eastAsia="Times New Roman" w:hAnsi="Times New Roman" w:cs="Times New Roman"/>
          <w:color w:val="000000"/>
          <w:spacing w:val="0"/>
          <w:w w:val="100"/>
          <w:position w:val="0"/>
        </w:rPr>
        <w:t>“</w:t>
      </w:r>
      <w:r>
        <w:rPr>
          <w:color w:val="000000"/>
          <w:spacing w:val="0"/>
          <w:w w:val="100"/>
          <w:position w:val="0"/>
        </w:rPr>
        <w:t>十七、</w:t>
      </w:r>
      <w:r>
        <w:rPr>
          <w:rFonts w:ascii="Times New Roman" w:eastAsia="Times New Roman" w:hAnsi="Times New Roman" w:cs="Times New Roman"/>
          <w:color w:val="000000"/>
          <w:spacing w:val="0"/>
          <w:w w:val="100"/>
          <w:position w:val="0"/>
        </w:rPr>
        <w:t>2</w:t>
      </w:r>
      <w:r>
        <w:rPr>
          <w:color w:val="000000"/>
          <w:spacing w:val="0"/>
          <w:w w:val="100"/>
          <w:position w:val="0"/>
        </w:rPr>
        <w:t>、重大担保</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keepLines/>
        <w:widowControl w:val="0"/>
        <w:shd w:val="clear" w:color="auto" w:fill="auto"/>
        <w:tabs>
          <w:tab w:pos="485" w:val="left"/>
        </w:tabs>
        <w:bidi w:val="0"/>
        <w:spacing w:before="0" w:after="30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4</w:t>
      </w:r>
      <w:r>
        <w:rPr>
          <w:color w:val="000000"/>
          <w:spacing w:val="0"/>
          <w:w w:val="100"/>
          <w:position w:val="0"/>
        </w:rPr>
        <w:t>）</w:t>
        <w:tab/>
        <w:t>关联商标使用情况</w:t>
      </w:r>
      <w:bookmarkEnd w:id="1494"/>
      <w:bookmarkEnd w:id="1495"/>
      <w:bookmarkEnd w:id="1497"/>
    </w:p>
    <w:p>
      <w:pPr>
        <w:pStyle w:val="Style37"/>
        <w:keepNext w:val="0"/>
        <w:keepLines w:val="0"/>
        <w:widowControl w:val="0"/>
        <w:shd w:val="clear" w:color="auto" w:fill="auto"/>
        <w:bidi w:val="0"/>
        <w:spacing w:before="0" w:after="400" w:line="311"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日，神州信息与神州数码（中国）签署了《注册商标许可使用合同》，以普通使用许可的方式授权神 州信息在商标有效期内无限期无偿使用</w:t>
      </w:r>
      <w:r>
        <w:rPr>
          <w:rFonts w:ascii="Times New Roman" w:eastAsia="Times New Roman" w:hAnsi="Times New Roman" w:cs="Times New Roman"/>
          <w:color w:val="000000"/>
          <w:spacing w:val="0"/>
          <w:w w:val="100"/>
          <w:position w:val="0"/>
        </w:rPr>
        <w:t>“</w:t>
      </w:r>
      <w:r>
        <w:rPr>
          <w:color w:val="000000"/>
          <w:spacing w:val="0"/>
          <w:w w:val="100"/>
          <w:position w:val="0"/>
        </w:rPr>
        <w:t>风火轮</w:t>
      </w:r>
      <w:r>
        <w:rPr>
          <w:rFonts w:ascii="Times New Roman" w:eastAsia="Times New Roman" w:hAnsi="Times New Roman" w:cs="Times New Roman"/>
          <w:color w:val="000000"/>
          <w:spacing w:val="0"/>
          <w:w w:val="100"/>
          <w:position w:val="0"/>
        </w:rPr>
        <w:t>”</w:t>
      </w:r>
      <w:r>
        <w:rPr>
          <w:color w:val="000000"/>
          <w:spacing w:val="0"/>
          <w:w w:val="100"/>
          <w:position w:val="0"/>
        </w:rPr>
        <w:t>图案相关的</w:t>
      </w:r>
      <w:r>
        <w:rPr>
          <w:rFonts w:ascii="Times New Roman" w:eastAsia="Times New Roman" w:hAnsi="Times New Roman" w:cs="Times New Roman"/>
          <w:color w:val="000000"/>
          <w:spacing w:val="0"/>
          <w:w w:val="100"/>
          <w:position w:val="0"/>
        </w:rPr>
        <w:t>6</w:t>
      </w:r>
      <w:r>
        <w:rPr>
          <w:color w:val="000000"/>
          <w:spacing w:val="0"/>
          <w:w w:val="100"/>
          <w:position w:val="0"/>
        </w:rPr>
        <w:t>项商标（注册号分别为：</w:t>
      </w:r>
      <w:r>
        <w:rPr>
          <w:rFonts w:ascii="Times New Roman" w:eastAsia="Times New Roman" w:hAnsi="Times New Roman" w:cs="Times New Roman"/>
          <w:color w:val="000000"/>
          <w:spacing w:val="0"/>
          <w:w w:val="100"/>
          <w:position w:val="0"/>
        </w:rPr>
        <w:t>1981387</w:t>
      </w:r>
      <w:r>
        <w:rPr>
          <w:color w:val="000000"/>
          <w:spacing w:val="0"/>
          <w:w w:val="100"/>
          <w:position w:val="0"/>
        </w:rPr>
        <w:t>、</w:t>
      </w:r>
      <w:r>
        <w:rPr>
          <w:rFonts w:ascii="Times New Roman" w:eastAsia="Times New Roman" w:hAnsi="Times New Roman" w:cs="Times New Roman"/>
          <w:color w:val="000000"/>
          <w:spacing w:val="0"/>
          <w:w w:val="100"/>
          <w:position w:val="0"/>
        </w:rPr>
        <w:t>1958296</w:t>
      </w:r>
      <w:r>
        <w:rPr>
          <w:color w:val="000000"/>
          <w:spacing w:val="0"/>
          <w:w w:val="100"/>
          <w:position w:val="0"/>
        </w:rPr>
        <w:t>、</w:t>
      </w:r>
      <w:r>
        <w:rPr>
          <w:rFonts w:ascii="Times New Roman" w:eastAsia="Times New Roman" w:hAnsi="Times New Roman" w:cs="Times New Roman"/>
          <w:color w:val="000000"/>
          <w:spacing w:val="0"/>
          <w:w w:val="100"/>
          <w:position w:val="0"/>
        </w:rPr>
        <w:t>1958736</w:t>
      </w:r>
      <w:r>
        <w:rPr>
          <w:color w:val="000000"/>
          <w:spacing w:val="0"/>
          <w:w w:val="100"/>
          <w:position w:val="0"/>
        </w:rPr>
        <w:t>、</w:t>
      </w:r>
      <w:r>
        <w:rPr>
          <w:rFonts w:ascii="Times New Roman" w:eastAsia="Times New Roman" w:hAnsi="Times New Roman" w:cs="Times New Roman"/>
          <w:color w:val="000000"/>
          <w:spacing w:val="0"/>
          <w:w w:val="100"/>
          <w:position w:val="0"/>
        </w:rPr>
        <w:t>1958790</w:t>
      </w:r>
      <w:r>
        <w:rPr>
          <w:color w:val="000000"/>
          <w:spacing w:val="0"/>
          <w:w w:val="100"/>
          <w:position w:val="0"/>
        </w:rPr>
        <w:t xml:space="preserve">、 </w:t>
      </w:r>
      <w:r>
        <w:rPr>
          <w:rFonts w:ascii="Times New Roman" w:eastAsia="Times New Roman" w:hAnsi="Times New Roman" w:cs="Times New Roman"/>
          <w:color w:val="000000"/>
          <w:spacing w:val="0"/>
          <w:w w:val="100"/>
          <w:position w:val="0"/>
        </w:rPr>
        <w:t>1956439</w:t>
      </w:r>
      <w:r>
        <w:rPr>
          <w:color w:val="000000"/>
          <w:spacing w:val="0"/>
          <w:w w:val="100"/>
          <w:position w:val="0"/>
        </w:rPr>
        <w:t>、</w:t>
      </w:r>
      <w:r>
        <w:rPr>
          <w:rFonts w:ascii="Times New Roman" w:eastAsia="Times New Roman" w:hAnsi="Times New Roman" w:cs="Times New Roman"/>
          <w:color w:val="000000"/>
          <w:spacing w:val="0"/>
          <w:w w:val="100"/>
          <w:position w:val="0"/>
        </w:rPr>
        <w:t>1964768</w:t>
      </w:r>
      <w:r>
        <w:rPr>
          <w:color w:val="000000"/>
          <w:spacing w:val="0"/>
          <w:w w:val="100"/>
          <w:position w:val="0"/>
        </w:rPr>
        <w:t>），目前此系列商标均在有效期内；在前述合同中，神州数码（中国）以普通使用许可的方式授权神州信 息在商标有效期内无限期无偿使用</w:t>
      </w:r>
      <w:r>
        <w:rPr>
          <w:rFonts w:ascii="Times New Roman" w:eastAsia="Times New Roman" w:hAnsi="Times New Roman" w:cs="Times New Roman"/>
          <w:color w:val="000000"/>
          <w:spacing w:val="0"/>
          <w:w w:val="100"/>
          <w:position w:val="0"/>
        </w:rPr>
        <w:t>“</w:t>
      </w:r>
      <w:r>
        <w:rPr>
          <w:color w:val="000000"/>
          <w:spacing w:val="0"/>
          <w:w w:val="100"/>
          <w:position w:val="0"/>
        </w:rPr>
        <w:t>风火轮神州数码</w:t>
      </w:r>
      <w:r>
        <w:rPr>
          <w:rFonts w:ascii="Times New Roman" w:eastAsia="Times New Roman" w:hAnsi="Times New Roman" w:cs="Times New Roman"/>
          <w:color w:val="000000"/>
          <w:spacing w:val="0"/>
          <w:w w:val="100"/>
          <w:position w:val="0"/>
        </w:rPr>
        <w:t>”</w:t>
      </w:r>
      <w:r>
        <w:rPr>
          <w:color w:val="000000"/>
          <w:spacing w:val="0"/>
          <w:w w:val="100"/>
          <w:position w:val="0"/>
        </w:rPr>
        <w:t>商标（注册号：</w:t>
      </w:r>
      <w:r>
        <w:rPr>
          <w:rFonts w:ascii="Times New Roman" w:eastAsia="Times New Roman" w:hAnsi="Times New Roman" w:cs="Times New Roman"/>
          <w:color w:val="000000"/>
          <w:spacing w:val="0"/>
          <w:w w:val="100"/>
          <w:position w:val="0"/>
        </w:rPr>
        <w:t>3030645</w:t>
      </w:r>
      <w:r>
        <w:rPr>
          <w:color w:val="000000"/>
          <w:spacing w:val="0"/>
          <w:w w:val="100"/>
          <w:position w:val="0"/>
        </w:rPr>
        <w:t>），该商标在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日已经到期，神州 数码（中国）已对该商标进行续展，续展注册有效期自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41"/>
        <w:keepNext/>
        <w:keepLines/>
        <w:widowControl w:val="0"/>
        <w:shd w:val="clear" w:color="auto" w:fill="auto"/>
        <w:tabs>
          <w:tab w:pos="485" w:val="left"/>
        </w:tabs>
        <w:bidi w:val="0"/>
        <w:spacing w:before="0" w:after="340" w:line="240" w:lineRule="auto"/>
        <w:ind w:left="0" w:right="0" w:firstLine="0"/>
        <w:jc w:val="both"/>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5</w:t>
      </w:r>
      <w:r>
        <w:rPr>
          <w:color w:val="000000"/>
          <w:spacing w:val="0"/>
          <w:w w:val="100"/>
          <w:position w:val="0"/>
        </w:rPr>
        <w:t>）</w:t>
        <w:tab/>
        <w:t>其他关联交易</w:t>
      </w:r>
      <w:bookmarkEnd w:id="1498"/>
      <w:bookmarkEnd w:id="1499"/>
      <w:bookmarkEnd w:id="1501"/>
    </w:p>
    <w:tbl>
      <w:tblPr>
        <w:tblOverlap w:val="never"/>
        <w:jc w:val="center"/>
        <w:tblLayout w:type="fixed"/>
      </w:tblPr>
      <w:tblGrid>
        <w:gridCol w:w="1766"/>
        <w:gridCol w:w="1046"/>
        <w:gridCol w:w="1843"/>
        <w:gridCol w:w="1560"/>
        <w:gridCol w:w="994"/>
        <w:gridCol w:w="1709"/>
      </w:tblGrid>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获批的交易额度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是否超过交 易额度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年度发生额</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北京神州数码云计算 有限公司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行政办公费 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16,556,720.28</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28,000,000.00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14,527,296.03</w:t>
            </w:r>
          </w:p>
        </w:tc>
      </w:tr>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rPr>
              <w:t>（</w:t>
            </w:r>
            <w:r>
              <w:rPr>
                <w:color w:val="000000"/>
                <w:spacing w:val="0"/>
                <w:w w:val="100"/>
                <w:position w:val="0"/>
              </w:rPr>
              <w:t>中国）有限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1,007,169.81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2,970,488.17</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广州神州数码信息科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807,789.53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1,538,914.42</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上海云角信息技术有 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696,886.79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神州数码（中国）有限 公司西安分公司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268,576.94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388,698.04</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北京神州数码云角信 息技术有限公司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124,228.00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北京神州数码有限公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47,675.90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北京科捷物流有限公 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货运仓储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7,696,650.84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20,730,000.00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6,196,990.03</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上海科捷物流有限公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403,105.62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605,309.76</w:t>
            </w:r>
          </w:p>
        </w:tc>
      </w:tr>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128,000.25</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140,214.00</w:t>
            </w:r>
          </w:p>
        </w:tc>
      </w:tr>
    </w:tbl>
    <w:p>
      <w:pPr>
        <w:spacing w:lineRule="exact" w:line="1"/>
        <w:rPr>
          <w:sz w:val="2"/>
          <w:szCs w:val="2"/>
        </w:rPr>
      </w:pPr>
      <w:r>
        <w:br w:type="page"/>
      </w:r>
    </w:p>
    <w:tbl>
      <w:tblPr>
        <w:tblOverlap w:val="never"/>
        <w:jc w:val="center"/>
        <w:tblLayout w:type="fixed"/>
      </w:tblPr>
      <w:tblGrid>
        <w:gridCol w:w="1766"/>
        <w:gridCol w:w="1046"/>
        <w:gridCol w:w="1843"/>
        <w:gridCol w:w="1560"/>
        <w:gridCol w:w="994"/>
        <w:gridCol w:w="1709"/>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西安神州数码实业有 限公司</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2,838,212.47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2,918,403.07</w:t>
            </w:r>
          </w:p>
        </w:tc>
      </w:tr>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北京神州数码科捷技 术服务有限公司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685,238.28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747,655.70</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昆山神州数码实业有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471,950.94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760,683.11</w:t>
            </w:r>
          </w:p>
        </w:tc>
      </w:tr>
      <w:tr>
        <w:trPr>
          <w:trHeight w:val="9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Instant Technology</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Supply Chain</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HongKong Limited</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224,074.94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62,110.98</w:t>
            </w:r>
          </w:p>
        </w:tc>
      </w:tr>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Charter Base</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Development Limited</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127,633.11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神州数码(重庆)信息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8,411.01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北京科捷智云技术服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455.00</w:t>
            </w:r>
          </w:p>
        </w:tc>
      </w:tr>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Digital China Holdings</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72,547.03</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北京因特睿软件有限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Digital China(HK)</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16,571.07</w:t>
            </w:r>
          </w:p>
        </w:tc>
      </w:tr>
      <w:tr>
        <w:trPr>
          <w:trHeight w:val="3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32,100,013.62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34,946,336.41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6</w:t>
      </w:r>
      <w:bookmarkEnd w:id="1504"/>
      <w:r>
        <w:rPr>
          <w:color w:val="000000"/>
          <w:spacing w:val="0"/>
          <w:w w:val="100"/>
          <w:position w:val="0"/>
        </w:rPr>
        <w:t>、关联方应收应付款项</w:t>
      </w:r>
      <w:bookmarkEnd w:id="1502"/>
      <w:bookmarkEnd w:id="1503"/>
      <w:bookmarkEnd w:id="1505"/>
    </w:p>
    <w:p>
      <w:pPr>
        <w:pStyle w:val="Style41"/>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02"/>
      <w:bookmarkEnd w:id="1503"/>
      <w:bookmarkEnd w:id="150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辽宁智慧山水城科 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5,837,547.17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5,837,547.17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5,376,000.00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深圳科捷电商供应</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5,316,726.87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5,316,726.87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5,316,726.87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2,279,186.17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北京神州数码置业 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2,663,192.67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天津国科量子科技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2,254,331.84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2,254,331.84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180,606.00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3,612.12</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上海华瑞银行股份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1,933,524.57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244,378.13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北京神州邦邦技术 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1,625,024.90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神州数码融信云技 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1,510,634.19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568,451.37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神州数码（中国）有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823,429.58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43,968.59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4,826,435.32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4,826,435.32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神州灵云（北京）科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465,858.39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内蒙古呼和浩特金 谷农村商业银行股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江苏中江信息技术 培训学校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南京红松信息技术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广州城投智慧城市 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37,760.38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威海智慧北洋信息 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71,745.28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智慧神州（北京）科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神州数码集团股份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1,581,477.21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400,770.29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神州数码（中国）有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3,557,887.50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145,800.00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西安神州数码实业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523,510.76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460,105.90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9,202.12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上海华瑞银行股份</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7,082,061.86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181,106.01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北京神州数码置业 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1,446,282.41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深圳海联讯科技股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209,789.99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内蒙古呼和浩特金 谷农村商业银行股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143,695.01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江苏中江信息技术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109,350.00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培训学校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智慧神州（北京）科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32,813,581.96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15,267,229.31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22,226,091.63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12,899,406.02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07"/>
      <w:bookmarkEnd w:id="1508"/>
      <w:bookmarkEnd w:id="1509"/>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智慧神州（北京）科技有限公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112,089,850.77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31,820,606.30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北京神州邦邦技术服务有限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35,559,301.29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北京因特睿软件有限公司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13,862,700.86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8,180,600.00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神州鲲泰（厦门）信息技术有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9,618,781.02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福建智慧海西信息技术有限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5,701,425.00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5,104,900.00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神州数码医疗科技股份有限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3,244,062.83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3,244,062.83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北京神州数码云计算有限公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2,316,681.23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2,496,984.21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2,252,972.17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492,435.99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神州灵云（北京）科技有限公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2,904,569.80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1,817,855.09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2,001,692.96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596,563.28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3,391,260.93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天津国科量子科技有限公司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106,194.69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296,994.69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65,181.34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73,434.88</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北京神州数码科捷技术服务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Charter Base Development</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10,091.21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Instant Technology Supply Chain Hong Kong Limited </w:t>
            </w:r>
            <w:r>
              <w:rPr>
                <w:color w:val="000000"/>
                <w:spacing w:val="0"/>
                <w:w w:val="100"/>
                <w:position w:val="0"/>
              </w:rPr>
              <w:t>香港 科捷供应链有限公司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20,234.73</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877,700.01</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南京红松信息技术有限公司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826,615.92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47,192.04</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DIGITAL CHINA HOLDINGS</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 BERMUDA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Digital China （HK） Limited </w:t>
            </w:r>
            <w:r>
              <w:rPr>
                <w:color w:val="000000"/>
                <w:spacing w:val="0"/>
                <w:w w:val="100"/>
                <w:position w:val="0"/>
              </w:rPr>
              <w:t>神 州数码（香港）有限公司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6,696,612.00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42,368,765.52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1,383,226.00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24,921,359.00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辽宁智慧山水城科技发展有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2,960,000.00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深圳科捷电商供应链有限公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1,841,568.48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1,841,568.48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神州数码融信云技术服务有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1,527,162.00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2,413,199.98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威海智慧北洋信息技术有限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1,267,500.00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广州城投智慧城市科技发展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667,100.01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智慧神州（北京）科技有限公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上海华瑞银行股份有限公司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61,598.66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智慧神州（北京）科技有限公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22,847,500.00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22,847,500.00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神州数码医疗科技股份有限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2,398,080.00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2,398,080.00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243,625,600.77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175,260,257.51</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r>
        <w:rPr>
          <w:color w:val="000000"/>
          <w:spacing w:val="0"/>
          <w:w w:val="100"/>
          <w:position w:val="0"/>
          <w:sz w:val="24"/>
          <w:szCs w:val="24"/>
        </w:rPr>
        <w:t>十三、股份支付</w:t>
      </w:r>
      <w:bookmarkEnd w:id="1510"/>
      <w:bookmarkEnd w:id="1511"/>
      <w:bookmarkEnd w:id="1512"/>
    </w:p>
    <w:p>
      <w:pPr>
        <w:pStyle w:val="Style41"/>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13"/>
      <w:bookmarkEnd w:id="1514"/>
      <w:bookmarkEnd w:id="1515"/>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5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股票期权</w:t>
            </w:r>
            <w:r>
              <w:rPr>
                <w:rFonts w:ascii="Times New Roman" w:eastAsia="Times New Roman" w:hAnsi="Times New Roman" w:cs="Times New Roman"/>
                <w:color w:val="000000"/>
                <w:spacing w:val="0"/>
                <w:w w:val="100"/>
                <w:position w:val="0"/>
              </w:rPr>
              <w:t>5,687,554.00</w:t>
            </w:r>
            <w:r>
              <w:rPr>
                <w:color w:val="000000"/>
                <w:spacing w:val="0"/>
                <w:w w:val="100"/>
                <w:position w:val="0"/>
              </w:rPr>
              <w:t>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限制性股票</w:t>
            </w:r>
            <w:r>
              <w:rPr>
                <w:rFonts w:ascii="Times New Roman" w:eastAsia="Times New Roman" w:hAnsi="Times New Roman" w:cs="Times New Roman"/>
                <w:color w:val="000000"/>
                <w:spacing w:val="0"/>
                <w:w w:val="100"/>
                <w:position w:val="0"/>
              </w:rPr>
              <w:t>3,325,000.00</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股票期权</w:t>
            </w:r>
            <w:r>
              <w:rPr>
                <w:rFonts w:ascii="Times New Roman" w:eastAsia="Times New Roman" w:hAnsi="Times New Roman" w:cs="Times New Roman"/>
                <w:color w:val="000000"/>
                <w:spacing w:val="0"/>
                <w:w w:val="100"/>
                <w:position w:val="0"/>
              </w:rPr>
              <w:t>950,000.00</w:t>
            </w:r>
            <w:r>
              <w:rPr>
                <w:color w:val="000000"/>
                <w:spacing w:val="0"/>
                <w:w w:val="100"/>
                <w:position w:val="0"/>
              </w:rPr>
              <w:t>股</w:t>
            </w:r>
          </w:p>
        </w:tc>
      </w:tr>
    </w:tbl>
    <w:tbl>
      <w:tblPr>
        <w:tblOverlap w:val="never"/>
        <w:jc w:val="center"/>
        <w:tblLayout w:type="fixed"/>
      </w:tblPr>
      <w:tblGrid>
        <w:gridCol w:w="5458"/>
        <w:gridCol w:w="41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限制性股票</w:t>
            </w:r>
            <w:r>
              <w:rPr>
                <w:rFonts w:ascii="Times New Roman" w:eastAsia="Times New Roman" w:hAnsi="Times New Roman" w:cs="Times New Roman"/>
                <w:color w:val="000000"/>
                <w:spacing w:val="0"/>
                <w:w w:val="100"/>
                <w:position w:val="0"/>
              </w:rPr>
              <w:t>300,000.00</w:t>
            </w:r>
            <w:r>
              <w:rPr>
                <w:color w:val="000000"/>
                <w:spacing w:val="0"/>
                <w:w w:val="100"/>
                <w:position w:val="0"/>
              </w:rPr>
              <w:t>股</w:t>
            </w:r>
          </w:p>
        </w:tc>
      </w:tr>
      <w:tr>
        <w:trPr>
          <w:trHeight w:val="197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行权价格</w:t>
            </w:r>
            <w:r>
              <w:rPr>
                <w:rFonts w:ascii="Times New Roman" w:eastAsia="Times New Roman" w:hAnsi="Times New Roman" w:cs="Times New Roman"/>
                <w:color w:val="000000"/>
                <w:spacing w:val="0"/>
                <w:w w:val="100"/>
                <w:position w:val="0"/>
              </w:rPr>
              <w:t>12.76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授予登记完成之日起至所有股票期权行权或注销之 0止最长不超过</w:t>
            </w:r>
            <w:r>
              <w:rPr>
                <w:rFonts w:ascii="Times New Roman" w:eastAsia="Times New Roman" w:hAnsi="Times New Roman" w:cs="Times New Roman"/>
                <w:color w:val="000000"/>
                <w:spacing w:val="0"/>
                <w:w w:val="100"/>
                <w:position w:val="0"/>
              </w:rPr>
              <w:t>60</w:t>
            </w:r>
            <w:r>
              <w:rPr>
                <w:color w:val="000000"/>
                <w:spacing w:val="0"/>
                <w:w w:val="100"/>
                <w:position w:val="0"/>
              </w:rPr>
              <w:t>个月；</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w:t>
            </w:r>
            <w:r>
              <w:rPr>
                <w:rFonts w:ascii="Times New Roman" w:eastAsia="Times New Roman" w:hAnsi="Times New Roman" w:cs="Times New Roman"/>
                <w:color w:val="000000"/>
                <w:spacing w:val="0"/>
                <w:w w:val="100"/>
                <w:position w:val="0"/>
              </w:rPr>
              <w:t>”</w:t>
            </w:r>
            <w:r>
              <w:rPr>
                <w:color w:val="000000"/>
                <w:spacing w:val="0"/>
                <w:w w:val="100"/>
                <w:position w:val="0"/>
              </w:rPr>
              <w:t>授予价格</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股，授予登记完成之日起至 限制性股解除禁售或回购注销完毕之日止最长不超 过</w:t>
            </w:r>
            <w:r>
              <w:rPr>
                <w:rFonts w:ascii="Times New Roman" w:eastAsia="Times New Roman" w:hAnsi="Times New Roman" w:cs="Times New Roman"/>
                <w:color w:val="000000"/>
                <w:spacing w:val="0"/>
                <w:w w:val="100"/>
                <w:position w:val="0"/>
              </w:rPr>
              <w:t>60</w:t>
            </w:r>
            <w:r>
              <w:rPr>
                <w:color w:val="000000"/>
                <w:spacing w:val="0"/>
                <w:w w:val="100"/>
                <w:position w:val="0"/>
              </w:rPr>
              <w:t>个月。</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16"/>
      <w:bookmarkEnd w:id="1517"/>
      <w:bookmarkEnd w:id="1518"/>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见附注十三、</w:t>
            </w:r>
            <w:r>
              <w:rPr>
                <w:rFonts w:ascii="Times New Roman" w:eastAsia="Times New Roman" w:hAnsi="Times New Roman" w:cs="Times New Roman"/>
                <w:color w:val="000000"/>
                <w:spacing w:val="0"/>
                <w:w w:val="100"/>
                <w:position w:val="0"/>
              </w:rPr>
              <w:t>3</w:t>
            </w:r>
            <w:r>
              <w:rPr>
                <w:color w:val="000000"/>
                <w:spacing w:val="0"/>
                <w:w w:val="100"/>
                <w:position w:val="0"/>
              </w:rPr>
              <w:t>股权激励计划</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见附注十三、</w:t>
            </w:r>
            <w:r>
              <w:rPr>
                <w:rFonts w:ascii="Times New Roman" w:eastAsia="Times New Roman" w:hAnsi="Times New Roman" w:cs="Times New Roman"/>
                <w:color w:val="000000"/>
                <w:spacing w:val="0"/>
                <w:w w:val="100"/>
                <w:position w:val="0"/>
              </w:rPr>
              <w:t>3</w:t>
            </w:r>
            <w:r>
              <w:rPr>
                <w:color w:val="000000"/>
                <w:spacing w:val="0"/>
                <w:w w:val="100"/>
                <w:position w:val="0"/>
              </w:rPr>
              <w:t>股权激励计划</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60,636,516.91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28,689,630.20</w:t>
            </w:r>
          </w:p>
        </w:tc>
      </w:tr>
    </w:tbl>
    <w:p>
      <w:pPr>
        <w:widowControl w:val="0"/>
        <w:spacing w:after="319" w:line="1" w:lineRule="exact"/>
      </w:pPr>
    </w:p>
    <w:p>
      <w:pPr>
        <w:pStyle w:val="Style41"/>
        <w:keepNext/>
        <w:keepLines/>
        <w:widowControl w:val="0"/>
        <w:shd w:val="clear" w:color="auto" w:fill="auto"/>
        <w:bidi w:val="0"/>
        <w:spacing w:before="0" w:after="26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color w:val="000000"/>
          <w:spacing w:val="0"/>
          <w:w w:val="100"/>
          <w:position w:val="0"/>
        </w:rPr>
        <w:t>、股权激励计划</w:t>
      </w:r>
      <w:bookmarkEnd w:id="1519"/>
      <w:bookmarkEnd w:id="1520"/>
      <w:bookmarkEnd w:id="1522"/>
    </w:p>
    <w:p>
      <w:pPr>
        <w:pStyle w:val="Style37"/>
        <w:keepNext w:val="0"/>
        <w:keepLines w:val="0"/>
        <w:widowControl w:val="0"/>
        <w:shd w:val="clear" w:color="auto" w:fill="auto"/>
        <w:bidi w:val="0"/>
        <w:spacing w:before="0" w:after="0" w:line="319"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年股票期权与限制性股票激励计划实施考核管理办法</w:t>
      </w:r>
      <w:r>
        <w:rPr>
          <w:color w:val="000000"/>
          <w:spacing w:val="0"/>
          <w:w w:val="100"/>
          <w:position w:val="0"/>
        </w:rPr>
        <w:t>〉</w:t>
      </w:r>
      <w:r>
        <w:rPr>
          <w:color w:val="000000"/>
          <w:spacing w:val="0"/>
          <w:w w:val="100"/>
          <w:position w:val="0"/>
        </w:rPr>
        <w:t>的议案》、《关 于提请股东大会授权董事会办理股权激励相关事宜的议案》。</w:t>
      </w:r>
    </w:p>
    <w:p>
      <w:pPr>
        <w:pStyle w:val="Style37"/>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 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37"/>
        <w:keepNext w:val="0"/>
        <w:keepLines w:val="0"/>
        <w:widowControl w:val="0"/>
        <w:shd w:val="clear" w:color="auto" w:fill="auto"/>
        <w:bidi w:val="0"/>
        <w:spacing w:before="0" w:after="0" w:line="331"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日，神州信息召开</w:t>
      </w:r>
      <w:r>
        <w:rPr>
          <w:rFonts w:ascii="Times New Roman" w:eastAsia="Times New Roman" w:hAnsi="Times New Roman" w:cs="Times New Roman"/>
          <w:color w:val="000000"/>
          <w:spacing w:val="0"/>
          <w:w w:val="100"/>
          <w:position w:val="0"/>
        </w:rPr>
        <w:t>2019</w:t>
      </w:r>
      <w:r>
        <w:rPr>
          <w:color w:val="000000"/>
          <w:spacing w:val="0"/>
          <w:w w:val="100"/>
          <w:position w:val="0"/>
        </w:rPr>
        <w:t>年度第三次临时股东大会，审议批准了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年股票期权与限制性股票激励计划等相 关议案。</w:t>
      </w:r>
    </w:p>
    <w:p>
      <w:pPr>
        <w:pStyle w:val="Style37"/>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 划激励对象名单、授予权益数量及价格议案》、《关于向激励对象授予股票期权与限制性股票的议案》。</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日，公司第八届董事会第七次会议和第八届监事会第七次会议审议通过了《关于调整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 限制性股票回购价格的议案》，因本公司于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日召开股东大会通过了以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0的总股本</w:t>
      </w:r>
      <w:r>
        <w:rPr>
          <w:rFonts w:ascii="Times New Roman" w:eastAsia="Times New Roman" w:hAnsi="Times New Roman" w:cs="Times New Roman"/>
          <w:color w:val="000000"/>
          <w:spacing w:val="0"/>
          <w:w w:val="100"/>
          <w:position w:val="0"/>
        </w:rPr>
        <w:t>970,381,273</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0.39</w:t>
      </w:r>
      <w:r>
        <w:rPr>
          <w:color w:val="000000"/>
          <w:spacing w:val="0"/>
          <w:w w:val="100"/>
          <w:position w:val="0"/>
        </w:rPr>
        <w:t>元（含税），不送红股，不以公积金转增股本的权益分配方案，根据公司《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年股票期权与限制性股票激励计划》的规定对本次尚未解除限售的限制性股票的回购价格进行相应调整。限制性股票的授予 价格由</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6.306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bidi w:val="0"/>
        <w:spacing w:before="0" w:after="8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0，公司第八届董事会第七次会议和第八届监事会第七次会议审议通过了《关于注销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 部分股票期权的议案》、《关于回购注销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年股权激励计划部分限制性股票的议案》，对</w:t>
      </w:r>
      <w:r>
        <w:rPr>
          <w:rFonts w:ascii="Times New Roman" w:eastAsia="Times New Roman" w:hAnsi="Times New Roman" w:cs="Times New Roman"/>
          <w:color w:val="000000"/>
          <w:spacing w:val="0"/>
          <w:w w:val="100"/>
          <w:position w:val="0"/>
        </w:rPr>
        <w:t>4</w:t>
      </w:r>
      <w:r>
        <w:rPr>
          <w:color w:val="000000"/>
          <w:spacing w:val="0"/>
          <w:w w:val="100"/>
          <w:position w:val="0"/>
        </w:rPr>
        <w:t>名离职的激励对象已获授但尚 未行权的股票期权共计</w:t>
      </w:r>
      <w:r>
        <w:rPr>
          <w:rFonts w:ascii="Times New Roman" w:eastAsia="Times New Roman" w:hAnsi="Times New Roman" w:cs="Times New Roman"/>
          <w:color w:val="000000"/>
          <w:spacing w:val="0"/>
          <w:w w:val="100"/>
          <w:position w:val="0"/>
        </w:rPr>
        <w:t>95</w:t>
      </w:r>
      <w:r>
        <w:rPr>
          <w:color w:val="000000"/>
          <w:spacing w:val="0"/>
          <w:w w:val="100"/>
          <w:position w:val="0"/>
        </w:rPr>
        <w:t>万份进行注销，对</w:t>
      </w:r>
      <w:r>
        <w:rPr>
          <w:rFonts w:ascii="Times New Roman" w:eastAsia="Times New Roman" w:hAnsi="Times New Roman" w:cs="Times New Roman"/>
          <w:color w:val="000000"/>
          <w:spacing w:val="0"/>
          <w:w w:val="100"/>
          <w:position w:val="0"/>
        </w:rPr>
        <w:t>1</w:t>
      </w:r>
      <w:r>
        <w:rPr>
          <w:color w:val="000000"/>
          <w:spacing w:val="0"/>
          <w:w w:val="100"/>
          <w:position w:val="0"/>
        </w:rPr>
        <w:t>名离职的限制性股票激励对象已获授但尚未解除限售的</w:t>
      </w:r>
      <w:r>
        <w:rPr>
          <w:rFonts w:ascii="Times New Roman" w:eastAsia="Times New Roman" w:hAnsi="Times New Roman" w:cs="Times New Roman"/>
          <w:color w:val="000000"/>
          <w:spacing w:val="0"/>
          <w:w w:val="100"/>
          <w:position w:val="0"/>
        </w:rPr>
        <w:t>30</w:t>
      </w:r>
      <w:r>
        <w:rPr>
          <w:color w:val="000000"/>
          <w:spacing w:val="0"/>
          <w:w w:val="100"/>
          <w:position w:val="0"/>
        </w:rPr>
        <w:t>万股限制性股票进行 回购注销。</w:t>
      </w:r>
    </w:p>
    <w:p>
      <w:pPr>
        <w:pStyle w:val="Style37"/>
        <w:keepNext w:val="0"/>
        <w:keepLines w:val="0"/>
        <w:widowControl w:val="0"/>
        <w:shd w:val="clear" w:color="auto" w:fill="auto"/>
        <w:bidi w:val="0"/>
        <w:spacing w:before="0" w:after="0" w:line="240" w:lineRule="auto"/>
        <w:ind w:left="0" w:right="0" w:firstLine="460"/>
        <w:jc w:val="both"/>
      </w:pPr>
      <w:bookmarkStart w:id="1523" w:name="bookmark1523"/>
      <w:r>
        <w:rPr>
          <w:color w:val="000000"/>
          <w:spacing w:val="0"/>
          <w:w w:val="100"/>
          <w:position w:val="0"/>
        </w:rPr>
        <w:t>（</w:t>
      </w:r>
      <w:bookmarkEnd w:id="1523"/>
      <w:r>
        <w:rPr>
          <w:color w:val="000000"/>
          <w:spacing w:val="0"/>
          <w:w w:val="100"/>
          <w:position w:val="0"/>
        </w:rPr>
        <w:t>一）基本内容</w:t>
      </w:r>
    </w:p>
    <w:p>
      <w:pPr>
        <w:pStyle w:val="Style37"/>
        <w:keepNext w:val="0"/>
        <w:keepLines w:val="0"/>
        <w:widowControl w:val="0"/>
        <w:shd w:val="clear" w:color="auto" w:fill="auto"/>
        <w:tabs>
          <w:tab w:pos="786" w:val="left"/>
        </w:tabs>
        <w:bidi w:val="0"/>
        <w:spacing w:before="0" w:after="0" w:line="316" w:lineRule="exact"/>
        <w:ind w:left="0" w:right="0" w:firstLine="460"/>
        <w:jc w:val="left"/>
      </w:pPr>
      <w:bookmarkStart w:id="1524" w:name="bookmark1524"/>
      <w:r>
        <w:rPr>
          <w:rFonts w:ascii="Times New Roman" w:eastAsia="Times New Roman" w:hAnsi="Times New Roman" w:cs="Times New Roman"/>
          <w:color w:val="000000"/>
          <w:spacing w:val="0"/>
          <w:w w:val="100"/>
          <w:position w:val="0"/>
        </w:rPr>
        <w:t>1</w:t>
      </w:r>
      <w:bookmarkEnd w:id="1524"/>
      <w:r>
        <w:rPr>
          <w:color w:val="000000"/>
          <w:spacing w:val="0"/>
          <w:w w:val="100"/>
          <w:position w:val="0"/>
        </w:rPr>
        <w:t>）</w:t>
        <w:tab/>
        <w:t>股票来源：本激励计划来源为神州信息向激励对象定向发行</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37"/>
        <w:keepNext w:val="0"/>
        <w:keepLines w:val="0"/>
        <w:widowControl w:val="0"/>
        <w:shd w:val="clear" w:color="auto" w:fill="auto"/>
        <w:tabs>
          <w:tab w:pos="805" w:val="left"/>
        </w:tabs>
        <w:bidi w:val="0"/>
        <w:spacing w:before="0" w:after="0" w:line="316" w:lineRule="exact"/>
        <w:ind w:left="0" w:right="0" w:firstLine="460"/>
        <w:jc w:val="left"/>
      </w:pPr>
      <w:bookmarkStart w:id="1525" w:name="bookmark1525"/>
      <w:r>
        <w:rPr>
          <w:rFonts w:ascii="Times New Roman" w:eastAsia="Times New Roman" w:hAnsi="Times New Roman" w:cs="Times New Roman"/>
          <w:color w:val="000000"/>
          <w:spacing w:val="0"/>
          <w:w w:val="100"/>
          <w:position w:val="0"/>
        </w:rPr>
        <w:t>2</w:t>
      </w:r>
      <w:bookmarkEnd w:id="1525"/>
      <w:r>
        <w:rPr>
          <w:color w:val="000000"/>
          <w:spacing w:val="0"/>
          <w:w w:val="100"/>
          <w:position w:val="0"/>
        </w:rPr>
        <w:t>）</w:t>
        <w:tab/>
        <w:t>授予日：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0；</w:t>
      </w:r>
    </w:p>
    <w:p>
      <w:pPr>
        <w:pStyle w:val="Style37"/>
        <w:keepNext w:val="0"/>
        <w:keepLines w:val="0"/>
        <w:widowControl w:val="0"/>
        <w:shd w:val="clear" w:color="auto" w:fill="auto"/>
        <w:tabs>
          <w:tab w:pos="805" w:val="left"/>
        </w:tabs>
        <w:bidi w:val="0"/>
        <w:spacing w:before="0" w:after="200" w:line="316" w:lineRule="exact"/>
        <w:ind w:left="0" w:right="0" w:firstLine="460"/>
        <w:jc w:val="left"/>
      </w:pPr>
      <w:bookmarkStart w:id="1526" w:name="bookmark1526"/>
      <w:r>
        <w:rPr>
          <w:rFonts w:ascii="Times New Roman" w:eastAsia="Times New Roman" w:hAnsi="Times New Roman" w:cs="Times New Roman"/>
          <w:color w:val="000000"/>
          <w:spacing w:val="0"/>
          <w:w w:val="100"/>
          <w:position w:val="0"/>
        </w:rPr>
        <w:t>3</w:t>
      </w:r>
      <w:bookmarkEnd w:id="1526"/>
      <w:r>
        <w:rPr>
          <w:color w:val="000000"/>
          <w:spacing w:val="0"/>
          <w:w w:val="100"/>
          <w:position w:val="0"/>
        </w:rPr>
        <w:t>）</w:t>
        <w:tab/>
        <w:t>行权</w:t>
      </w:r>
      <w:r>
        <w:rPr>
          <w:rFonts w:ascii="Times New Roman" w:eastAsia="Times New Roman" w:hAnsi="Times New Roman" w:cs="Times New Roman"/>
          <w:color w:val="000000"/>
          <w:spacing w:val="0"/>
          <w:w w:val="100"/>
          <w:position w:val="0"/>
        </w:rPr>
        <w:t>/</w:t>
      </w:r>
      <w:r>
        <w:rPr>
          <w:color w:val="000000"/>
          <w:spacing w:val="0"/>
          <w:w w:val="100"/>
          <w:position w:val="0"/>
        </w:rPr>
        <w:t>授予价格：股票期权的行权价格为</w:t>
      </w:r>
      <w:r>
        <w:rPr>
          <w:rFonts w:ascii="Times New Roman" w:eastAsia="Times New Roman" w:hAnsi="Times New Roman" w:cs="Times New Roman"/>
          <w:color w:val="000000"/>
          <w:spacing w:val="0"/>
          <w:w w:val="100"/>
          <w:position w:val="0"/>
        </w:rPr>
        <w:t>12.76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份，限制性股票的授予价格为</w:t>
      </w:r>
      <w:r>
        <w:rPr>
          <w:rFonts w:ascii="Times New Roman" w:eastAsia="Times New Roman" w:hAnsi="Times New Roman" w:cs="Times New Roman"/>
          <w:color w:val="000000"/>
          <w:spacing w:val="0"/>
          <w:w w:val="100"/>
          <w:position w:val="0"/>
        </w:rPr>
        <w:t>6.345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bidi w:val="0"/>
        <w:spacing w:before="0" w:after="80" w:line="240" w:lineRule="auto"/>
        <w:ind w:left="0" w:right="0" w:firstLine="460"/>
        <w:jc w:val="left"/>
      </w:pPr>
      <w:bookmarkStart w:id="1527" w:name="bookmark1527"/>
      <w:r>
        <w:rPr>
          <w:rFonts w:ascii="Times New Roman" w:eastAsia="Times New Roman" w:hAnsi="Times New Roman" w:cs="Times New Roman"/>
          <w:color w:val="000000"/>
          <w:spacing w:val="0"/>
          <w:w w:val="100"/>
          <w:position w:val="0"/>
        </w:rPr>
        <w:t>4</w:t>
      </w:r>
      <w:bookmarkEnd w:id="1527"/>
      <w:r>
        <w:rPr>
          <w:color w:val="000000"/>
          <w:spacing w:val="0"/>
          <w:w w:val="100"/>
          <w:position w:val="0"/>
        </w:rPr>
        <w:t>）授予人数及授予数量：股票期权授予的激励对象共计</w:t>
      </w:r>
      <w:r>
        <w:rPr>
          <w:rFonts w:ascii="Times New Roman" w:eastAsia="Times New Roman" w:hAnsi="Times New Roman" w:cs="Times New Roman"/>
          <w:color w:val="000000"/>
          <w:spacing w:val="0"/>
          <w:w w:val="100"/>
          <w:position w:val="0"/>
        </w:rPr>
        <w:t>104</w:t>
      </w:r>
      <w:r>
        <w:rPr>
          <w:color w:val="000000"/>
          <w:spacing w:val="0"/>
          <w:w w:val="100"/>
          <w:position w:val="0"/>
        </w:rPr>
        <w:t>人，授予数量为</w:t>
      </w:r>
      <w:r>
        <w:rPr>
          <w:rFonts w:ascii="Times New Roman" w:eastAsia="Times New Roman" w:hAnsi="Times New Roman" w:cs="Times New Roman"/>
          <w:color w:val="000000"/>
          <w:spacing w:val="0"/>
          <w:w w:val="100"/>
          <w:position w:val="0"/>
        </w:rPr>
        <w:t>2,247.00</w:t>
      </w:r>
      <w:r>
        <w:rPr>
          <w:color w:val="000000"/>
          <w:spacing w:val="0"/>
          <w:w w:val="100"/>
          <w:position w:val="0"/>
        </w:rPr>
        <w:t>万份，占公司总股本</w:t>
      </w:r>
      <w:r>
        <w:rPr>
          <w:rFonts w:ascii="Times New Roman" w:eastAsia="Times New Roman" w:hAnsi="Times New Roman" w:cs="Times New Roman"/>
          <w:color w:val="000000"/>
          <w:spacing w:val="0"/>
          <w:w w:val="100"/>
          <w:position w:val="0"/>
        </w:rPr>
        <w:t>96,343.13</w:t>
      </w:r>
      <w:r>
        <w:rPr>
          <w:color w:val="000000"/>
          <w:spacing w:val="0"/>
          <w:w w:val="100"/>
          <w:position w:val="0"/>
        </w:rPr>
        <w:t>万股</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的</w:t>
      </w:r>
      <w:r>
        <w:rPr>
          <w:rFonts w:ascii="Times New Roman" w:eastAsia="Times New Roman" w:hAnsi="Times New Roman" w:cs="Times New Roman"/>
          <w:color w:val="000000"/>
          <w:spacing w:val="0"/>
          <w:w w:val="100"/>
          <w:position w:val="0"/>
        </w:rPr>
        <w:t>2.33%</w:t>
      </w:r>
      <w:r>
        <w:rPr>
          <w:color w:val="000000"/>
          <w:spacing w:val="0"/>
          <w:w w:val="100"/>
          <w:position w:val="0"/>
        </w:rPr>
        <w:t>。限制性股票授予的激励对象共</w:t>
      </w:r>
      <w:r>
        <w:rPr>
          <w:rFonts w:ascii="Times New Roman" w:eastAsia="Times New Roman" w:hAnsi="Times New Roman" w:cs="Times New Roman"/>
          <w:color w:val="000000"/>
          <w:spacing w:val="0"/>
          <w:w w:val="100"/>
          <w:position w:val="0"/>
        </w:rPr>
        <w:t>16</w:t>
      </w:r>
      <w:r>
        <w:rPr>
          <w:color w:val="000000"/>
          <w:spacing w:val="0"/>
          <w:w w:val="100"/>
          <w:position w:val="0"/>
        </w:rPr>
        <w:t>人，授予数量为</w:t>
      </w:r>
      <w:r>
        <w:rPr>
          <w:rFonts w:ascii="Times New Roman" w:eastAsia="Times New Roman" w:hAnsi="Times New Roman" w:cs="Times New Roman"/>
          <w:color w:val="000000"/>
          <w:spacing w:val="0"/>
          <w:w w:val="100"/>
          <w:position w:val="0"/>
        </w:rPr>
        <w:t>695.00</w:t>
      </w:r>
      <w:r>
        <w:rPr>
          <w:color w:val="000000"/>
          <w:spacing w:val="0"/>
          <w:w w:val="100"/>
          <w:position w:val="0"/>
        </w:rPr>
        <w:t>万股限制性股票，占公司总股本</w:t>
      </w:r>
      <w:r>
        <w:rPr>
          <w:rFonts w:ascii="Times New Roman" w:eastAsia="Times New Roman" w:hAnsi="Times New Roman" w:cs="Times New Roman"/>
          <w:color w:val="000000"/>
          <w:spacing w:val="0"/>
          <w:w w:val="100"/>
          <w:position w:val="0"/>
        </w:rPr>
        <w:t>96,343.13</w:t>
      </w:r>
      <w:r>
        <w:rPr>
          <w:color w:val="000000"/>
          <w:spacing w:val="0"/>
          <w:w w:val="100"/>
          <w:position w:val="0"/>
        </w:rPr>
        <w:t>万股的</w:t>
      </w:r>
      <w:r>
        <w:rPr>
          <w:rFonts w:ascii="Times New Roman" w:eastAsia="Times New Roman" w:hAnsi="Times New Roman" w:cs="Times New Roman"/>
          <w:color w:val="000000"/>
          <w:spacing w:val="0"/>
          <w:w w:val="100"/>
          <w:position w:val="0"/>
        </w:rPr>
        <w:t>0.72%</w:t>
      </w:r>
      <w:r>
        <w:rPr>
          <w:color w:val="000000"/>
          <w:spacing w:val="0"/>
          <w:w w:val="100"/>
          <w:position w:val="0"/>
        </w:rPr>
        <w:t>。</w:t>
      </w:r>
    </w:p>
    <w:p>
      <w:pPr>
        <w:pStyle w:val="Style37"/>
        <w:keepNext w:val="0"/>
        <w:keepLines w:val="0"/>
        <w:widowControl w:val="0"/>
        <w:shd w:val="clear" w:color="auto" w:fill="auto"/>
        <w:bidi w:val="0"/>
        <w:spacing w:before="0" w:after="80" w:line="240" w:lineRule="auto"/>
        <w:ind w:left="0" w:right="0" w:firstLine="460"/>
        <w:jc w:val="left"/>
      </w:pPr>
      <w:bookmarkStart w:id="1528" w:name="bookmark1528"/>
      <w:r>
        <w:rPr>
          <w:color w:val="000000"/>
          <w:spacing w:val="0"/>
          <w:w w:val="100"/>
          <w:position w:val="0"/>
        </w:rPr>
        <w:t>（</w:t>
      </w:r>
      <w:bookmarkEnd w:id="1528"/>
      <w:r>
        <w:rPr>
          <w:color w:val="000000"/>
          <w:spacing w:val="0"/>
          <w:w w:val="100"/>
          <w:position w:val="0"/>
        </w:rPr>
        <w:t>二）激励计划的有效期、等待</w:t>
      </w:r>
      <w:r>
        <w:rPr>
          <w:rFonts w:ascii="Times New Roman" w:eastAsia="Times New Roman" w:hAnsi="Times New Roman" w:cs="Times New Roman"/>
          <w:color w:val="000000"/>
          <w:spacing w:val="0"/>
          <w:w w:val="100"/>
          <w:position w:val="0"/>
        </w:rPr>
        <w:t>/</w:t>
      </w:r>
      <w:r>
        <w:rPr>
          <w:color w:val="000000"/>
          <w:spacing w:val="0"/>
          <w:w w:val="100"/>
          <w:position w:val="0"/>
        </w:rPr>
        <w:t>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解除限售安排</w:t>
      </w:r>
    </w:p>
    <w:p>
      <w:pPr>
        <w:pStyle w:val="Style37"/>
        <w:keepNext w:val="0"/>
        <w:keepLines w:val="0"/>
        <w:widowControl w:val="0"/>
        <w:shd w:val="clear" w:color="auto" w:fill="auto"/>
        <w:bidi w:val="0"/>
        <w:spacing w:before="0" w:after="80" w:line="240" w:lineRule="auto"/>
        <w:ind w:left="0" w:right="0" w:firstLine="460"/>
        <w:jc w:val="left"/>
      </w:pPr>
      <w:bookmarkStart w:id="1529" w:name="bookmark1529"/>
      <w:r>
        <w:rPr>
          <w:rFonts w:ascii="Times New Roman" w:eastAsia="Times New Roman" w:hAnsi="Times New Roman" w:cs="Times New Roman"/>
          <w:color w:val="000000"/>
          <w:spacing w:val="0"/>
          <w:w w:val="100"/>
          <w:position w:val="0"/>
        </w:rPr>
        <w:t>1</w:t>
      </w:r>
      <w:bookmarkEnd w:id="1529"/>
      <w:r>
        <w:rPr>
          <w:color w:val="000000"/>
          <w:spacing w:val="0"/>
          <w:w w:val="100"/>
          <w:position w:val="0"/>
        </w:rPr>
        <w:t>）股票期权</w:t>
      </w:r>
    </w:p>
    <w:p>
      <w:pPr>
        <w:pStyle w:val="Style37"/>
        <w:keepNext w:val="0"/>
        <w:keepLines w:val="0"/>
        <w:widowControl w:val="0"/>
        <w:shd w:val="clear" w:color="auto" w:fill="auto"/>
        <w:bidi w:val="0"/>
        <w:spacing w:before="0" w:after="80" w:line="240" w:lineRule="auto"/>
        <w:ind w:left="0" w:right="0" w:firstLine="460"/>
        <w:jc w:val="left"/>
      </w:pPr>
      <w:r>
        <w:rPr>
          <w:color w:val="000000"/>
          <w:spacing w:val="0"/>
          <w:w w:val="100"/>
          <w:position w:val="0"/>
        </w:rPr>
        <w:t>本激励计划有效期自股票期权授予登记完成之日起至激励对象获授的股票期权全部行权或注销之日止，最长不超过</w:t>
      </w:r>
      <w:r>
        <w:rPr>
          <w:rFonts w:ascii="Times New Roman" w:eastAsia="Times New Roman" w:hAnsi="Times New Roman" w:cs="Times New Roman"/>
          <w:color w:val="000000"/>
          <w:spacing w:val="0"/>
          <w:w w:val="100"/>
          <w:position w:val="0"/>
        </w:rPr>
        <w:t>36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w:t>
      </w:r>
    </w:p>
    <w:tbl>
      <w:tblPr>
        <w:tblOverlap w:val="never"/>
        <w:jc w:val="left"/>
        <w:tblLayout w:type="fixed"/>
      </w:tblPr>
      <w:tblGrid>
        <w:gridCol w:w="1536"/>
        <w:gridCol w:w="5813"/>
        <w:gridCol w:w="1416"/>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行权安排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行权比例</w:t>
            </w: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股票期权第一个行</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w:t>
            </w:r>
          </w:p>
        </w:tc>
      </w:tr>
      <w:tr>
        <w:trPr>
          <w:trHeight w:val="67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股票期权第二个行</w:t>
            </w:r>
          </w:p>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w:t>
            </w:r>
          </w:p>
        </w:tc>
      </w:tr>
    </w:tbl>
    <w:p>
      <w:pPr>
        <w:pStyle w:val="Style26"/>
        <w:keepNext w:val="0"/>
        <w:keepLines w:val="0"/>
        <w:widowControl w:val="0"/>
        <w:shd w:val="clear" w:color="auto" w:fill="auto"/>
        <w:bidi w:val="0"/>
        <w:spacing w:before="0" w:after="80" w:line="240" w:lineRule="auto"/>
        <w:ind w:left="42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）限制性股票</w:t>
      </w:r>
    </w:p>
    <w:p>
      <w:pPr>
        <w:pStyle w:val="Style26"/>
        <w:keepNext w:val="0"/>
        <w:keepLines w:val="0"/>
        <w:widowControl w:val="0"/>
        <w:shd w:val="clear" w:color="auto" w:fill="auto"/>
        <w:bidi w:val="0"/>
        <w:spacing w:before="0" w:after="0" w:line="240" w:lineRule="auto"/>
        <w:ind w:left="422" w:right="0" w:firstLine="0"/>
        <w:jc w:val="left"/>
      </w:pPr>
      <w:r>
        <w:rPr>
          <w:color w:val="000000"/>
          <w:spacing w:val="0"/>
          <w:w w:val="100"/>
          <w:position w:val="0"/>
        </w:rPr>
        <w:t>本激励计划授予的限制性股票限售期分别为自激励对象获授的限制性股票登记完成之日起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p>
    <w:tbl>
      <w:tblPr>
        <w:tblOverlap w:val="never"/>
        <w:jc w:val="left"/>
        <w:tblLayout w:type="fixed"/>
      </w:tblPr>
      <w:tblGrid>
        <w:gridCol w:w="1536"/>
        <w:gridCol w:w="5813"/>
        <w:gridCol w:w="1416"/>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行权安排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行权比例</w:t>
            </w: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限制性股票第一个 解除限售期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w:t>
            </w:r>
          </w:p>
        </w:tc>
      </w:tr>
      <w:tr>
        <w:trPr>
          <w:trHeight w:val="67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限制性股票第二个 解除限售期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w:t>
            </w:r>
          </w:p>
        </w:tc>
      </w:tr>
    </w:tbl>
    <w:p>
      <w:pPr>
        <w:pStyle w:val="Style37"/>
        <w:keepNext w:val="0"/>
        <w:keepLines w:val="0"/>
        <w:widowControl w:val="0"/>
        <w:shd w:val="clear" w:color="auto" w:fill="auto"/>
        <w:bidi w:val="0"/>
        <w:spacing w:before="0" w:after="0" w:line="322" w:lineRule="exact"/>
        <w:ind w:left="0" w:right="0" w:firstLine="460"/>
        <w:jc w:val="left"/>
      </w:pPr>
      <w:bookmarkStart w:id="1530" w:name="bookmark1530"/>
      <w:r>
        <w:rPr>
          <w:color w:val="000000"/>
          <w:spacing w:val="0"/>
          <w:w w:val="100"/>
          <w:position w:val="0"/>
        </w:rPr>
        <w:t>（</w:t>
      </w:r>
      <w:bookmarkEnd w:id="1530"/>
      <w:r>
        <w:rPr>
          <w:color w:val="000000"/>
          <w:spacing w:val="0"/>
          <w:w w:val="100"/>
          <w:position w:val="0"/>
        </w:rPr>
        <w:t>三）本次股权激励计划的业绩考核要求</w:t>
      </w:r>
    </w:p>
    <w:p>
      <w:pPr>
        <w:pStyle w:val="Style37"/>
        <w:keepNext w:val="0"/>
        <w:keepLines w:val="0"/>
        <w:widowControl w:val="0"/>
        <w:shd w:val="clear" w:color="auto" w:fill="auto"/>
        <w:bidi w:val="0"/>
        <w:spacing w:before="0" w:after="80" w:line="322" w:lineRule="exact"/>
        <w:ind w:left="0" w:right="0" w:firstLine="460"/>
        <w:jc w:val="left"/>
      </w:pPr>
      <w:r>
        <w:rPr>
          <w:color w:val="000000"/>
          <w:spacing w:val="0"/>
          <w:w w:val="100"/>
          <w:position w:val="0"/>
        </w:rPr>
        <w:t>本激励计划的行权考核年度为</w:t>
      </w:r>
      <w:r>
        <w:rPr>
          <w:rFonts w:ascii="Times New Roman" w:eastAsia="Times New Roman" w:hAnsi="Times New Roman" w:cs="Times New Roman"/>
          <w:color w:val="000000"/>
          <w:spacing w:val="0"/>
          <w:w w:val="100"/>
          <w:position w:val="0"/>
        </w:rPr>
        <w:t>2019-2020</w:t>
      </w:r>
      <w:r>
        <w:rPr>
          <w:color w:val="000000"/>
          <w:spacing w:val="0"/>
          <w:w w:val="100"/>
          <w:position w:val="0"/>
        </w:rPr>
        <w:t>年两个会计年度，每个会计年度考核一次，以达到业绩考核目标做为行权条件, 股票期权与限制性股票的行权条件一致。</w:t>
      </w:r>
    </w:p>
    <w:tbl>
      <w:tblPr>
        <w:tblOverlap w:val="never"/>
        <w:jc w:val="center"/>
        <w:tblLayout w:type="fixed"/>
      </w:tblPr>
      <w:tblGrid>
        <w:gridCol w:w="3946"/>
        <w:gridCol w:w="4819"/>
      </w:tblGrid>
      <w:tr>
        <w:trPr>
          <w:trHeight w:val="590" w:hRule="exact"/>
        </w:trPr>
        <w:tc>
          <w:tcPr>
            <w:gridSpan w:val="2"/>
            <w:tcBorders/>
            <w:shd w:val="clear" w:color="auto" w:fill="FFFFFF"/>
            <w:vAlign w:val="top"/>
          </w:tcPr>
          <w:p>
            <w:pPr>
              <w:pStyle w:val="Style29"/>
              <w:keepNext w:val="0"/>
              <w:keepLines w:val="0"/>
              <w:widowControl w:val="0"/>
              <w:shd w:val="clear" w:color="auto" w:fill="auto"/>
              <w:bidi w:val="0"/>
              <w:spacing w:before="0" w:after="0" w:line="322" w:lineRule="exact"/>
              <w:ind w:left="4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）公司层面业绩考核要求 各年度业绩考核目标如下：</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行权安排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行权条件</w:t>
            </w: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股票期权第一个行权期</w:t>
            </w:r>
            <w:r>
              <w:rPr>
                <w:rFonts w:ascii="Times New Roman" w:eastAsia="Times New Roman" w:hAnsi="Times New Roman" w:cs="Times New Roman"/>
                <w:color w:val="000000"/>
                <w:spacing w:val="0"/>
                <w:w w:val="100"/>
                <w:position w:val="0"/>
              </w:rPr>
              <w:t>/</w:t>
            </w:r>
            <w:r>
              <w:rPr>
                <w:color w:val="000000"/>
                <w:spacing w:val="0"/>
                <w:w w:val="100"/>
                <w:position w:val="0"/>
              </w:rPr>
              <w:t>限制性股票第一个解除限 售期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年净利润不低于</w:t>
            </w:r>
            <w:r>
              <w:rPr>
                <w:rFonts w:ascii="Times New Roman" w:eastAsia="Times New Roman" w:hAnsi="Times New Roman" w:cs="Times New Roman"/>
                <w:color w:val="000000"/>
                <w:spacing w:val="0"/>
                <w:w w:val="100"/>
                <w:position w:val="0"/>
              </w:rPr>
              <w:t>3.6</w:t>
            </w:r>
            <w:r>
              <w:rPr>
                <w:color w:val="000000"/>
                <w:spacing w:val="0"/>
                <w:w w:val="100"/>
                <w:position w:val="0"/>
              </w:rPr>
              <w:t>亿元</w:t>
            </w:r>
          </w:p>
        </w:tc>
      </w:tr>
      <w:tr>
        <w:trPr>
          <w:trHeight w:val="67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股票期权第二个行权期</w:t>
            </w:r>
            <w:r>
              <w:rPr>
                <w:rFonts w:ascii="Times New Roman" w:eastAsia="Times New Roman" w:hAnsi="Times New Roman" w:cs="Times New Roman"/>
                <w:color w:val="000000"/>
                <w:spacing w:val="0"/>
                <w:w w:val="100"/>
                <w:position w:val="0"/>
              </w:rPr>
              <w:t>/</w:t>
            </w:r>
            <w:r>
              <w:rPr>
                <w:color w:val="000000"/>
                <w:spacing w:val="0"/>
                <w:w w:val="100"/>
                <w:position w:val="0"/>
              </w:rPr>
              <w:t>限制性股票第二个解除限 售期</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年净利润不低于</w:t>
            </w:r>
            <w:r>
              <w:rPr>
                <w:rFonts w:ascii="Times New Roman" w:eastAsia="Times New Roman" w:hAnsi="Times New Roman" w:cs="Times New Roman"/>
                <w:color w:val="000000"/>
                <w:spacing w:val="0"/>
                <w:w w:val="100"/>
                <w:position w:val="0"/>
              </w:rPr>
              <w:t>4.35</w:t>
            </w:r>
            <w:r>
              <w:rPr>
                <w:color w:val="000000"/>
                <w:spacing w:val="0"/>
                <w:w w:val="100"/>
                <w:position w:val="0"/>
              </w:rPr>
              <w:t>亿元</w:t>
            </w:r>
          </w:p>
        </w:tc>
      </w:tr>
    </w:tbl>
    <w:p>
      <w:pPr>
        <w:pStyle w:val="Style26"/>
        <w:keepNext w:val="0"/>
        <w:keepLines w:val="0"/>
        <w:widowControl w:val="0"/>
        <w:shd w:val="clear" w:color="auto" w:fill="auto"/>
        <w:bidi w:val="0"/>
        <w:spacing w:before="0" w:after="0" w:line="310" w:lineRule="exact"/>
        <w:ind w:left="0" w:right="0" w:firstLine="0"/>
        <w:jc w:val="distribute"/>
      </w:pPr>
      <w:r>
        <w:rPr>
          <w:rFonts w:ascii="Times New Roman" w:eastAsia="Times New Roman" w:hAnsi="Times New Roman" w:cs="Times New Roman"/>
          <w:color w:val="000000"/>
          <w:spacing w:val="0"/>
          <w:w w:val="100"/>
          <w:position w:val="0"/>
        </w:rPr>
        <w:t>2</w:t>
      </w:r>
      <w:r>
        <w:rPr>
          <w:color w:val="000000"/>
          <w:spacing w:val="0"/>
          <w:w w:val="100"/>
          <w:position w:val="0"/>
        </w:rPr>
        <w:t>）个人层面绩效考核要求</w:t>
      </w:r>
    </w:p>
    <w:p>
      <w:pPr>
        <w:pStyle w:val="Style37"/>
        <w:keepNext w:val="0"/>
        <w:keepLines w:val="0"/>
        <w:widowControl w:val="0"/>
        <w:shd w:val="clear" w:color="auto" w:fill="auto"/>
        <w:bidi w:val="0"/>
        <w:spacing w:before="0" w:after="0" w:line="310" w:lineRule="exact"/>
        <w:ind w:left="0" w:right="0" w:firstLine="460"/>
        <w:jc w:val="left"/>
      </w:pPr>
      <w:r>
        <w:rPr>
          <w:color w:val="000000"/>
          <w:spacing w:val="0"/>
          <w:w w:val="100"/>
          <w:position w:val="0"/>
        </w:rPr>
        <w:t>薪酬与考核委员会将对激励对象分年度进行考核，并依据考核结果确定其行权的比例，若神州信息层面各年度业绩考 核达标，则激励对象个人当年实际行权额度等于个人层面行权比例乘以个人当年计划行权额度。</w:t>
      </w:r>
    </w:p>
    <w:p>
      <w:pPr>
        <w:pStyle w:val="Style37"/>
        <w:keepNext w:val="0"/>
        <w:keepLines w:val="0"/>
        <w:widowControl w:val="0"/>
        <w:shd w:val="clear" w:color="auto" w:fill="auto"/>
        <w:tabs>
          <w:tab w:pos="991" w:val="left"/>
        </w:tabs>
        <w:bidi w:val="0"/>
        <w:spacing w:before="0" w:after="0" w:line="310" w:lineRule="exact"/>
        <w:ind w:left="0" w:right="0" w:firstLine="460"/>
        <w:jc w:val="left"/>
      </w:pPr>
      <w:bookmarkStart w:id="1531" w:name="bookmark1531"/>
      <w:r>
        <w:rPr>
          <w:color w:val="000000"/>
          <w:spacing w:val="0"/>
          <w:w w:val="100"/>
          <w:position w:val="0"/>
        </w:rPr>
        <w:t>（</w:t>
      </w:r>
      <w:bookmarkEnd w:id="1531"/>
      <w:r>
        <w:rPr>
          <w:color w:val="000000"/>
          <w:spacing w:val="0"/>
          <w:w w:val="100"/>
          <w:position w:val="0"/>
        </w:rPr>
        <w:t>四）</w:t>
        <w:tab/>
        <w:t>股权激励模型及参数</w:t>
      </w:r>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公司股票期权与限制性股票都选取按照布莱克</w:t>
      </w:r>
      <w:r>
        <w:rPr>
          <w:rFonts w:ascii="Times New Roman" w:eastAsia="Times New Roman" w:hAnsi="Times New Roman" w:cs="Times New Roman"/>
          <w:color w:val="000000"/>
          <w:spacing w:val="0"/>
          <w:w w:val="100"/>
          <w:position w:val="0"/>
        </w:rPr>
        <w:t>-</w:t>
      </w:r>
      <w:r>
        <w:rPr>
          <w:color w:val="000000"/>
          <w:spacing w:val="0"/>
          <w:w w:val="100"/>
          <w:position w:val="0"/>
        </w:rPr>
        <w:t>斯科尔斯期权定价模型</w:t>
      </w:r>
      <w:r>
        <w:rPr>
          <w:color w:val="000000"/>
          <w:spacing w:val="0"/>
          <w:w w:val="100"/>
          <w:position w:val="0"/>
        </w:rPr>
        <w:t>（</w:t>
      </w:r>
      <w:r>
        <w:rPr>
          <w:rFonts w:ascii="Times New Roman" w:eastAsia="Times New Roman" w:hAnsi="Times New Roman" w:cs="Times New Roman"/>
          <w:color w:val="000000"/>
          <w:spacing w:val="0"/>
          <w:w w:val="100"/>
          <w:position w:val="0"/>
        </w:rPr>
        <w:t>B-S</w:t>
      </w:r>
      <w:r>
        <w:rPr>
          <w:color w:val="000000"/>
          <w:spacing w:val="0"/>
          <w:w w:val="100"/>
          <w:position w:val="0"/>
        </w:rPr>
        <w:t>模型）对期权的价值进行计算，选取的参 数也一致，如下：</w:t>
      </w:r>
    </w:p>
    <w:p>
      <w:pPr>
        <w:pStyle w:val="Style37"/>
        <w:keepNext w:val="0"/>
        <w:keepLines w:val="0"/>
        <w:widowControl w:val="0"/>
        <w:shd w:val="clear" w:color="auto" w:fill="auto"/>
        <w:tabs>
          <w:tab w:pos="809" w:val="left"/>
        </w:tabs>
        <w:bidi w:val="0"/>
        <w:spacing w:before="0" w:after="0" w:line="310" w:lineRule="exact"/>
        <w:ind w:left="0" w:right="0" w:firstLine="460"/>
        <w:jc w:val="both"/>
      </w:pPr>
      <w:bookmarkStart w:id="1532" w:name="bookmark1532"/>
      <w:r>
        <w:rPr>
          <w:rFonts w:ascii="Times New Roman" w:eastAsia="Times New Roman" w:hAnsi="Times New Roman" w:cs="Times New Roman"/>
          <w:color w:val="000000"/>
          <w:spacing w:val="0"/>
          <w:w w:val="100"/>
          <w:position w:val="0"/>
        </w:rPr>
        <w:t>1</w:t>
      </w:r>
      <w:bookmarkEnd w:id="1532"/>
      <w:r>
        <w:rPr>
          <w:color w:val="000000"/>
          <w:spacing w:val="0"/>
          <w:w w:val="100"/>
          <w:position w:val="0"/>
        </w:rPr>
        <w:t>）</w:t>
        <w:tab/>
        <w:t>授予日：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日授予；</w:t>
      </w:r>
    </w:p>
    <w:p>
      <w:pPr>
        <w:pStyle w:val="Style37"/>
        <w:keepNext w:val="0"/>
        <w:keepLines w:val="0"/>
        <w:widowControl w:val="0"/>
        <w:shd w:val="clear" w:color="auto" w:fill="auto"/>
        <w:tabs>
          <w:tab w:pos="828" w:val="left"/>
        </w:tabs>
        <w:bidi w:val="0"/>
        <w:spacing w:before="0" w:after="0" w:line="310" w:lineRule="exact"/>
        <w:ind w:left="0" w:right="0" w:firstLine="460"/>
        <w:jc w:val="both"/>
      </w:pPr>
      <w:bookmarkStart w:id="1533" w:name="bookmark1533"/>
      <w:r>
        <w:rPr>
          <w:rFonts w:ascii="Times New Roman" w:eastAsia="Times New Roman" w:hAnsi="Times New Roman" w:cs="Times New Roman"/>
          <w:color w:val="000000"/>
          <w:spacing w:val="0"/>
          <w:w w:val="100"/>
          <w:position w:val="0"/>
        </w:rPr>
        <w:t>2</w:t>
      </w:r>
      <w:bookmarkEnd w:id="1533"/>
      <w:r>
        <w:rPr>
          <w:color w:val="000000"/>
          <w:spacing w:val="0"/>
          <w:w w:val="100"/>
          <w:position w:val="0"/>
        </w:rPr>
        <w:t>）</w:t>
        <w:tab/>
        <w:t>标的股价：授予日收盘价为</w:t>
      </w:r>
      <w:r>
        <w:rPr>
          <w:rFonts w:ascii="Times New Roman" w:eastAsia="Times New Roman" w:hAnsi="Times New Roman" w:cs="Times New Roman"/>
          <w:color w:val="000000"/>
          <w:spacing w:val="0"/>
          <w:w w:val="100"/>
          <w:position w:val="0"/>
        </w:rPr>
        <w:t>12.16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tabs>
          <w:tab w:pos="828" w:val="left"/>
        </w:tabs>
        <w:bidi w:val="0"/>
        <w:spacing w:before="0" w:after="0" w:line="310" w:lineRule="exact"/>
        <w:ind w:left="0" w:right="0" w:firstLine="460"/>
        <w:jc w:val="both"/>
      </w:pPr>
      <w:bookmarkStart w:id="1534" w:name="bookmark1534"/>
      <w:r>
        <w:rPr>
          <w:rFonts w:ascii="Times New Roman" w:eastAsia="Times New Roman" w:hAnsi="Times New Roman" w:cs="Times New Roman"/>
          <w:color w:val="000000"/>
          <w:spacing w:val="0"/>
          <w:w w:val="100"/>
          <w:position w:val="0"/>
        </w:rPr>
        <w:t>3</w:t>
      </w:r>
      <w:bookmarkEnd w:id="1534"/>
      <w:r>
        <w:rPr>
          <w:color w:val="000000"/>
          <w:spacing w:val="0"/>
          <w:w w:val="100"/>
          <w:position w:val="0"/>
        </w:rPr>
        <w:t>）</w:t>
        <w:tab/>
        <w:t>期权的行权价：</w:t>
      </w:r>
      <w:r>
        <w:rPr>
          <w:rFonts w:ascii="Times New Roman" w:eastAsia="Times New Roman" w:hAnsi="Times New Roman" w:cs="Times New Roman"/>
          <w:color w:val="000000"/>
          <w:spacing w:val="0"/>
          <w:w w:val="100"/>
          <w:position w:val="0"/>
        </w:rPr>
        <w:t>12.76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tabs>
          <w:tab w:pos="828" w:val="left"/>
        </w:tabs>
        <w:bidi w:val="0"/>
        <w:spacing w:before="0" w:after="0" w:line="310" w:lineRule="exact"/>
        <w:ind w:left="0" w:right="0" w:firstLine="460"/>
        <w:jc w:val="left"/>
      </w:pPr>
      <w:bookmarkStart w:id="1535" w:name="bookmark1535"/>
      <w:r>
        <w:rPr>
          <w:rFonts w:ascii="Times New Roman" w:eastAsia="Times New Roman" w:hAnsi="Times New Roman" w:cs="Times New Roman"/>
          <w:color w:val="000000"/>
          <w:spacing w:val="0"/>
          <w:w w:val="100"/>
          <w:position w:val="0"/>
        </w:rPr>
        <w:t>4</w:t>
      </w:r>
      <w:bookmarkEnd w:id="1535"/>
      <w:r>
        <w:rPr>
          <w:color w:val="000000"/>
          <w:spacing w:val="0"/>
          <w:w w:val="100"/>
          <w:position w:val="0"/>
        </w:rPr>
        <w:t>）</w:t>
        <w:tab/>
        <w:t>有效期分别为：</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年（授予登记完成之日至每期首个行权日的期限）；</w:t>
      </w:r>
    </w:p>
    <w:p>
      <w:pPr>
        <w:pStyle w:val="Style37"/>
        <w:keepNext w:val="0"/>
        <w:keepLines w:val="0"/>
        <w:widowControl w:val="0"/>
        <w:shd w:val="clear" w:color="auto" w:fill="auto"/>
        <w:tabs>
          <w:tab w:pos="828" w:val="left"/>
        </w:tabs>
        <w:bidi w:val="0"/>
        <w:spacing w:before="0" w:after="0" w:line="310" w:lineRule="exact"/>
        <w:ind w:left="0" w:right="0" w:firstLine="460"/>
        <w:jc w:val="left"/>
      </w:pPr>
      <w:bookmarkStart w:id="1536" w:name="bookmark1536"/>
      <w:r>
        <w:rPr>
          <w:rFonts w:ascii="Times New Roman" w:eastAsia="Times New Roman" w:hAnsi="Times New Roman" w:cs="Times New Roman"/>
          <w:color w:val="000000"/>
          <w:spacing w:val="0"/>
          <w:w w:val="100"/>
          <w:position w:val="0"/>
        </w:rPr>
        <w:t>5</w:t>
      </w:r>
      <w:bookmarkEnd w:id="1536"/>
      <w:r>
        <w:rPr>
          <w:color w:val="000000"/>
          <w:spacing w:val="0"/>
          <w:w w:val="100"/>
          <w:position w:val="0"/>
        </w:rPr>
        <w:t>）</w:t>
        <w:tab/>
        <w:t>历史波动率：</w:t>
      </w:r>
      <w:r>
        <w:rPr>
          <w:rFonts w:ascii="Times New Roman" w:eastAsia="Times New Roman" w:hAnsi="Times New Roman" w:cs="Times New Roman"/>
          <w:color w:val="000000"/>
          <w:spacing w:val="0"/>
          <w:w w:val="100"/>
          <w:position w:val="0"/>
        </w:rPr>
        <w:t>26.63%</w:t>
      </w:r>
      <w:r>
        <w:rPr>
          <w:color w:val="000000"/>
          <w:spacing w:val="0"/>
          <w:w w:val="100"/>
          <w:position w:val="0"/>
        </w:rPr>
        <w:t>、</w:t>
      </w:r>
      <w:r>
        <w:rPr>
          <w:rFonts w:ascii="Times New Roman" w:eastAsia="Times New Roman" w:hAnsi="Times New Roman" w:cs="Times New Roman"/>
          <w:color w:val="000000"/>
          <w:spacing w:val="0"/>
          <w:w w:val="100"/>
          <w:position w:val="0"/>
        </w:rPr>
        <w:t xml:space="preserve">23.76% </w:t>
      </w:r>
      <w:r>
        <w:rPr>
          <w:color w:val="000000"/>
          <w:spacing w:val="0"/>
          <w:w w:val="100"/>
          <w:position w:val="0"/>
        </w:rPr>
        <w:t>（分别深证成指最近一年、两年的波动率）；</w:t>
      </w:r>
    </w:p>
    <w:p>
      <w:pPr>
        <w:pStyle w:val="Style37"/>
        <w:keepNext w:val="0"/>
        <w:keepLines w:val="0"/>
        <w:widowControl w:val="0"/>
        <w:shd w:val="clear" w:color="auto" w:fill="auto"/>
        <w:bidi w:val="0"/>
        <w:spacing w:before="0" w:after="0" w:line="310" w:lineRule="exact"/>
        <w:ind w:left="0" w:right="0" w:firstLine="460"/>
        <w:jc w:val="left"/>
      </w:pPr>
      <w:bookmarkStart w:id="1537" w:name="bookmark1537"/>
      <w:r>
        <w:rPr>
          <w:rFonts w:ascii="Times New Roman" w:eastAsia="Times New Roman" w:hAnsi="Times New Roman" w:cs="Times New Roman"/>
          <w:color w:val="000000"/>
          <w:spacing w:val="0"/>
          <w:w w:val="100"/>
          <w:position w:val="0"/>
        </w:rPr>
        <w:t>6</w:t>
      </w:r>
      <w:bookmarkEnd w:id="1537"/>
      <w:r>
        <w:rPr>
          <w:color w:val="000000"/>
          <w:spacing w:val="0"/>
          <w:w w:val="100"/>
          <w:position w:val="0"/>
        </w:rPr>
        <w:t>） 无风险利率：</w:t>
      </w:r>
      <w:r>
        <w:rPr>
          <w:rFonts w:ascii="Times New Roman" w:eastAsia="Times New Roman" w:hAnsi="Times New Roman" w:cs="Times New Roman"/>
          <w:color w:val="000000"/>
          <w:spacing w:val="0"/>
          <w:w w:val="100"/>
          <w:position w:val="0"/>
        </w:rPr>
        <w:t>1.50%</w:t>
      </w:r>
      <w:r>
        <w:rPr>
          <w:color w:val="000000"/>
          <w:spacing w:val="0"/>
          <w:w w:val="100"/>
          <w:position w:val="0"/>
        </w:rPr>
        <w:t>、</w:t>
      </w:r>
      <w:r>
        <w:rPr>
          <w:rFonts w:ascii="Times New Roman" w:eastAsia="Times New Roman" w:hAnsi="Times New Roman" w:cs="Times New Roman"/>
          <w:color w:val="000000"/>
          <w:spacing w:val="0"/>
          <w:w w:val="100"/>
          <w:position w:val="0"/>
        </w:rPr>
        <w:t xml:space="preserve">2.10% </w:t>
      </w:r>
      <w:r>
        <w:rPr>
          <w:color w:val="000000"/>
          <w:spacing w:val="0"/>
          <w:w w:val="100"/>
          <w:position w:val="0"/>
        </w:rPr>
        <w:t>（分别采用中国人民银行制定的金融机构</w:t>
      </w:r>
      <w:r>
        <w:rPr>
          <w:rFonts w:ascii="Times New Roman" w:eastAsia="Times New Roman" w:hAnsi="Times New Roman" w:cs="Times New Roman"/>
          <w:color w:val="000000"/>
          <w:spacing w:val="0"/>
          <w:w w:val="100"/>
          <w:position w:val="0"/>
        </w:rPr>
        <w:t>1</w:t>
      </w:r>
      <w:r>
        <w:rPr>
          <w:color w:val="000000"/>
          <w:spacing w:val="0"/>
          <w:w w:val="100"/>
          <w:position w:val="0"/>
        </w:rPr>
        <w:t>年期、</w:t>
      </w:r>
      <w:r>
        <w:rPr>
          <w:rFonts w:ascii="Times New Roman" w:eastAsia="Times New Roman" w:hAnsi="Times New Roman" w:cs="Times New Roman"/>
          <w:color w:val="000000"/>
          <w:spacing w:val="0"/>
          <w:w w:val="100"/>
          <w:position w:val="0"/>
        </w:rPr>
        <w:t>2</w:t>
      </w:r>
      <w:r>
        <w:rPr>
          <w:color w:val="000000"/>
          <w:spacing w:val="0"/>
          <w:w w:val="100"/>
          <w:position w:val="0"/>
        </w:rPr>
        <w:t>年期存款基准利率）；</w:t>
      </w:r>
    </w:p>
    <w:p>
      <w:pPr>
        <w:pStyle w:val="Style37"/>
        <w:keepNext w:val="0"/>
        <w:keepLines w:val="0"/>
        <w:widowControl w:val="0"/>
        <w:shd w:val="clear" w:color="auto" w:fill="auto"/>
        <w:tabs>
          <w:tab w:pos="828" w:val="left"/>
        </w:tabs>
        <w:bidi w:val="0"/>
        <w:spacing w:before="0" w:after="0" w:line="310" w:lineRule="exact"/>
        <w:ind w:left="0" w:right="0" w:firstLine="460"/>
        <w:jc w:val="left"/>
      </w:pPr>
      <w:bookmarkStart w:id="1538" w:name="bookmark1538"/>
      <w:r>
        <w:rPr>
          <w:rFonts w:ascii="Times New Roman" w:eastAsia="Times New Roman" w:hAnsi="Times New Roman" w:cs="Times New Roman"/>
          <w:color w:val="000000"/>
          <w:spacing w:val="0"/>
          <w:w w:val="100"/>
          <w:position w:val="0"/>
        </w:rPr>
        <w:t>7</w:t>
      </w:r>
      <w:bookmarkEnd w:id="1538"/>
      <w:r>
        <w:rPr>
          <w:color w:val="000000"/>
          <w:spacing w:val="0"/>
          <w:w w:val="100"/>
          <w:position w:val="0"/>
        </w:rPr>
        <w:t>）</w:t>
        <w:tab/>
        <w:t>股息率：</w:t>
      </w:r>
      <w:r>
        <w:rPr>
          <w:rFonts w:ascii="Times New Roman" w:eastAsia="Times New Roman" w:hAnsi="Times New Roman" w:cs="Times New Roman"/>
          <w:color w:val="000000"/>
          <w:spacing w:val="0"/>
          <w:w w:val="100"/>
          <w:position w:val="0"/>
        </w:rPr>
        <w:t>0.3106%</w:t>
      </w:r>
      <w:r>
        <w:rPr>
          <w:color w:val="000000"/>
          <w:spacing w:val="0"/>
          <w:w w:val="100"/>
          <w:position w:val="0"/>
        </w:rPr>
        <w:t>、</w:t>
      </w:r>
      <w:r>
        <w:rPr>
          <w:rFonts w:ascii="Times New Roman" w:eastAsia="Times New Roman" w:hAnsi="Times New Roman" w:cs="Times New Roman"/>
          <w:color w:val="000000"/>
          <w:spacing w:val="0"/>
          <w:w w:val="100"/>
          <w:position w:val="0"/>
        </w:rPr>
        <w:t xml:space="preserve">0.2826% </w:t>
      </w:r>
      <w:r>
        <w:rPr>
          <w:color w:val="000000"/>
          <w:spacing w:val="0"/>
          <w:w w:val="100"/>
          <w:position w:val="0"/>
        </w:rPr>
        <w:t>（取本激励计划授予前公司最近一年、两年的平均股息率）。</w:t>
      </w:r>
    </w:p>
    <w:p>
      <w:pPr>
        <w:pStyle w:val="Style37"/>
        <w:keepNext w:val="0"/>
        <w:keepLines w:val="0"/>
        <w:widowControl w:val="0"/>
        <w:shd w:val="clear" w:color="auto" w:fill="auto"/>
        <w:tabs>
          <w:tab w:pos="991" w:val="left"/>
        </w:tabs>
        <w:bidi w:val="0"/>
        <w:spacing w:before="0" w:after="80" w:line="310" w:lineRule="exact"/>
        <w:ind w:left="0" w:right="0" w:firstLine="460"/>
        <w:jc w:val="left"/>
      </w:pPr>
      <w:bookmarkStart w:id="1539" w:name="bookmark1539"/>
      <w:r>
        <w:rPr>
          <w:color w:val="000000"/>
          <w:spacing w:val="0"/>
          <w:w w:val="100"/>
          <w:position w:val="0"/>
        </w:rPr>
        <w:t>（</w:t>
      </w:r>
      <w:bookmarkEnd w:id="1539"/>
      <w:r>
        <w:rPr>
          <w:color w:val="000000"/>
          <w:spacing w:val="0"/>
          <w:w w:val="100"/>
          <w:position w:val="0"/>
        </w:rPr>
        <w:t>五）</w:t>
        <w:tab/>
        <w:t>期权行权、限制性股票解锁及股份回购情况</w:t>
      </w:r>
    </w:p>
    <w:p>
      <w:pPr>
        <w:pStyle w:val="Style37"/>
        <w:keepNext w:val="0"/>
        <w:keepLines w:val="0"/>
        <w:widowControl w:val="0"/>
        <w:shd w:val="clear" w:color="auto" w:fill="auto"/>
        <w:bidi w:val="0"/>
        <w:spacing w:before="0" w:after="0"/>
        <w:ind w:left="0" w:right="0" w:firstLine="460"/>
        <w:jc w:val="left"/>
        <w:sectPr>
          <w:headerReference w:type="default" r:id="rId43"/>
          <w:footerReference w:type="default" r:id="rId44"/>
          <w:footnotePr>
            <w:pos w:val="pageBottom"/>
            <w:numFmt w:val="upperRoman"/>
            <w:numStart w:val="1"/>
            <w:numRestart w:val="continuous"/>
            <w15:footnoteColumns w:val="1"/>
          </w:footnotePr>
          <w:pgSz w:w="11900" w:h="16840"/>
          <w:pgMar w:top="1351" w:right="1028" w:bottom="1469" w:left="100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日，公司第八届董事会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年第五次临时会议和第八届监事会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年第一次临时会议审议通过了《关于</w:t>
      </w:r>
    </w:p>
    <w:p>
      <w:pPr>
        <w:pStyle w:val="Style3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年股票期权与限制性股票激励计划第一个行权期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解除限售条件成就的议案》。股票期权第一个行权期 符合行权条件的激励对象人数为</w:t>
      </w:r>
      <w:r>
        <w:rPr>
          <w:rFonts w:ascii="Times New Roman" w:eastAsia="Times New Roman" w:hAnsi="Times New Roman" w:cs="Times New Roman"/>
          <w:color w:val="000000"/>
          <w:spacing w:val="0"/>
          <w:w w:val="100"/>
          <w:position w:val="0"/>
        </w:rPr>
        <w:t>10 0</w:t>
      </w:r>
      <w:r>
        <w:rPr>
          <w:color w:val="000000"/>
          <w:spacing w:val="0"/>
          <w:w w:val="100"/>
          <w:position w:val="0"/>
        </w:rPr>
        <w:t>人，可行权的股票期权数量为</w:t>
      </w:r>
      <w:r>
        <w:rPr>
          <w:rFonts w:ascii="Times New Roman" w:eastAsia="Times New Roman" w:hAnsi="Times New Roman" w:cs="Times New Roman"/>
          <w:color w:val="000000"/>
          <w:spacing w:val="0"/>
          <w:w w:val="100"/>
          <w:position w:val="0"/>
        </w:rPr>
        <w:t>10,760,000</w:t>
      </w:r>
      <w:r>
        <w:rPr>
          <w:color w:val="000000"/>
          <w:spacing w:val="0"/>
          <w:w w:val="100"/>
          <w:position w:val="0"/>
        </w:rPr>
        <w:t>份，行权价格为</w:t>
      </w:r>
      <w:r>
        <w:rPr>
          <w:rFonts w:ascii="Times New Roman" w:eastAsia="Times New Roman" w:hAnsi="Times New Roman" w:cs="Times New Roman"/>
          <w:color w:val="000000"/>
          <w:spacing w:val="0"/>
          <w:w w:val="100"/>
          <w:position w:val="0"/>
        </w:rPr>
        <w:t>12.76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权与限制性股票激励计划授予股票期权共分为</w:t>
      </w:r>
      <w:r>
        <w:rPr>
          <w:rFonts w:ascii="Times New Roman" w:eastAsia="Times New Roman" w:hAnsi="Times New Roman" w:cs="Times New Roman"/>
          <w:color w:val="000000"/>
          <w:spacing w:val="0"/>
          <w:w w:val="100"/>
          <w:position w:val="0"/>
        </w:rPr>
        <w:t>2</w:t>
      </w:r>
      <w:r>
        <w:rPr>
          <w:color w:val="000000"/>
          <w:spacing w:val="0"/>
          <w:w w:val="100"/>
          <w:position w:val="0"/>
        </w:rPr>
        <w:t>个行权期，根据业务办理的实际情况，第一个行权期实际可行权期限为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日止。截至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日止，行权数量为</w:t>
      </w:r>
      <w:r>
        <w:rPr>
          <w:rFonts w:ascii="Times New Roman" w:eastAsia="Times New Roman" w:hAnsi="Times New Roman" w:cs="Times New Roman"/>
          <w:color w:val="000000"/>
          <w:spacing w:val="0"/>
          <w:w w:val="100"/>
          <w:position w:val="0"/>
        </w:rPr>
        <w:t>5,687,554.00</w:t>
      </w:r>
      <w:r>
        <w:rPr>
          <w:color w:val="000000"/>
          <w:spacing w:val="0"/>
          <w:w w:val="100"/>
          <w:position w:val="0"/>
        </w:rPr>
        <w:t>份。</w:t>
      </w:r>
    </w:p>
    <w:p>
      <w:pPr>
        <w:pStyle w:val="Style37"/>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年股权激励计划限制性股票第一个解除限售期符合解除限售条件的激励对象为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人，可解除限售股份数量为 </w:t>
      </w:r>
      <w:r>
        <w:rPr>
          <w:rFonts w:ascii="Times New Roman" w:eastAsia="Times New Roman" w:hAnsi="Times New Roman" w:cs="Times New Roman"/>
          <w:color w:val="000000"/>
          <w:spacing w:val="0"/>
          <w:w w:val="100"/>
          <w:position w:val="0"/>
        </w:rPr>
        <w:t>3,325,000</w:t>
      </w:r>
      <w:r>
        <w:rPr>
          <w:color w:val="000000"/>
          <w:spacing w:val="0"/>
          <w:w w:val="100"/>
          <w:position w:val="0"/>
        </w:rPr>
        <w:t>股。</w:t>
      </w:r>
    </w:p>
    <w:p>
      <w:pPr>
        <w:pStyle w:val="Style37"/>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股权激励计划中限制性股票激励对象吴冬华离职，公司回购其持有的已获授权但尚未解除限售的限制性股票</w:t>
      </w:r>
      <w:r>
        <w:rPr>
          <w:rFonts w:ascii="Times New Roman" w:eastAsia="Times New Roman" w:hAnsi="Times New Roman" w:cs="Times New Roman"/>
          <w:color w:val="000000"/>
          <w:spacing w:val="0"/>
          <w:w w:val="100"/>
          <w:position w:val="0"/>
        </w:rPr>
        <w:t xml:space="preserve">300,000.00 </w:t>
      </w:r>
      <w:r>
        <w:rPr>
          <w:color w:val="000000"/>
          <w:spacing w:val="0"/>
          <w:w w:val="100"/>
          <w:position w:val="0"/>
        </w:rPr>
        <w:t>股并注销完成。</w:t>
      </w:r>
    </w:p>
    <w:p>
      <w:pPr>
        <w:pStyle w:val="Style41"/>
        <w:keepNext/>
        <w:keepLines/>
        <w:widowControl w:val="0"/>
        <w:shd w:val="clear" w:color="auto" w:fill="auto"/>
        <w:bidi w:val="0"/>
        <w:spacing w:before="0" w:after="26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color w:val="000000"/>
          <w:spacing w:val="0"/>
          <w:w w:val="100"/>
          <w:position w:val="0"/>
        </w:rPr>
        <w:t>、以现金结算的股份支付情况</w:t>
      </w:r>
      <w:bookmarkEnd w:id="1540"/>
      <w:bookmarkEnd w:id="1541"/>
      <w:bookmarkEnd w:id="1543"/>
    </w:p>
    <w:p>
      <w:pPr>
        <w:pStyle w:val="Style37"/>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r>
        <w:rPr>
          <w:color w:val="000000"/>
          <w:spacing w:val="0"/>
          <w:w w:val="100"/>
          <w:position w:val="0"/>
          <w:sz w:val="24"/>
          <w:szCs w:val="24"/>
        </w:rPr>
        <w:t>十四、承诺及或有事项</w:t>
      </w:r>
      <w:bookmarkEnd w:id="1544"/>
      <w:bookmarkEnd w:id="1545"/>
      <w:bookmarkEnd w:id="1546"/>
    </w:p>
    <w:p>
      <w:pPr>
        <w:pStyle w:val="Style41"/>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47"/>
      <w:bookmarkEnd w:id="1548"/>
      <w:bookmarkEnd w:id="1549"/>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（T）</w:t>
      </w:r>
      <w:r>
        <w:rPr>
          <w:color w:val="000000"/>
          <w:spacing w:val="0"/>
          <w:w w:val="100"/>
          <w:position w:val="0"/>
        </w:rPr>
        <w:t>,</w:t>
      </w:r>
      <w:r>
        <w:rPr>
          <w:color w:val="000000"/>
          <w:spacing w:val="0"/>
          <w:w w:val="100"/>
          <w:position w:val="0"/>
        </w:rPr>
        <w:t>本公司就房屋租赁等项目之不可撤销经营租赁所需于下列期间承担款项如下:</w:t>
      </w:r>
    </w:p>
    <w:tbl>
      <w:tblPr>
        <w:tblOverlap w:val="never"/>
        <w:jc w:val="left"/>
        <w:tblLayout w:type="fixed"/>
      </w:tblPr>
      <w:tblGrid>
        <w:gridCol w:w="4162"/>
        <w:gridCol w:w="4450"/>
      </w:tblGrid>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经营租赁</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21,844,851.51</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18,763,857.35</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15,563,674.19</w:t>
            </w:r>
          </w:p>
        </w:tc>
      </w:tr>
      <w:tr>
        <w:trPr>
          <w:trHeight w:val="48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T+3</w:t>
            </w:r>
            <w:r>
              <w:rPr>
                <w:color w:val="000000"/>
                <w:spacing w:val="0"/>
                <w:w w:val="100"/>
                <w:position w:val="0"/>
              </w:rPr>
              <w:t>年以后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30,655,824.97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日，除上述事项外，本集团无需披露的其他重大承诺事项。</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50"/>
      <w:bookmarkEnd w:id="1551"/>
      <w:bookmarkEnd w:id="1552"/>
    </w:p>
    <w:p>
      <w:pPr>
        <w:pStyle w:val="Style41"/>
        <w:keepNext/>
        <w:keepLines/>
        <w:widowControl w:val="0"/>
        <w:shd w:val="clear" w:color="auto" w:fill="auto"/>
        <w:bidi w:val="0"/>
        <w:spacing w:before="0" w:after="260" w:line="240" w:lineRule="auto"/>
        <w:ind w:left="0" w:right="0" w:firstLine="0"/>
        <w:jc w:val="left"/>
      </w:pPr>
      <w:bookmarkStart w:id="1550" w:name="bookmark1550"/>
      <w:bookmarkStart w:id="1551" w:name="bookmark1551"/>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50"/>
      <w:bookmarkEnd w:id="1551"/>
      <w:bookmarkEnd w:id="1553"/>
    </w:p>
    <w:p>
      <w:pPr>
        <w:pStyle w:val="Style37"/>
        <w:keepNext w:val="0"/>
        <w:keepLines w:val="0"/>
        <w:widowControl w:val="0"/>
        <w:shd w:val="clear" w:color="auto" w:fill="auto"/>
        <w:bidi w:val="0"/>
        <w:spacing w:before="0" w:after="0" w:line="316" w:lineRule="exact"/>
        <w:ind w:left="0" w:right="0" w:firstLine="460"/>
        <w:jc w:val="both"/>
      </w:pPr>
      <w:bookmarkStart w:id="1554" w:name="bookmark1554"/>
      <w:r>
        <w:rPr>
          <w:rFonts w:ascii="Times New Roman" w:eastAsia="Times New Roman" w:hAnsi="Times New Roman" w:cs="Times New Roman"/>
          <w:color w:val="000000"/>
          <w:spacing w:val="0"/>
          <w:w w:val="100"/>
          <w:position w:val="0"/>
        </w:rPr>
        <w:t>1</w:t>
      </w:r>
      <w:bookmarkEnd w:id="1554"/>
      <w:r>
        <w:rPr>
          <w:color w:val="000000"/>
          <w:spacing w:val="0"/>
          <w:w w:val="100"/>
          <w:position w:val="0"/>
        </w:rPr>
        <w:t>、中国普天信息产业集团有限公司诉神州数码信息服务股份有限公司</w:t>
      </w:r>
      <w:r>
        <w:rPr>
          <w:rFonts w:ascii="Times New Roman" w:eastAsia="Times New Roman" w:hAnsi="Times New Roman" w:cs="Times New Roman"/>
          <w:color w:val="000000"/>
          <w:spacing w:val="0"/>
          <w:w w:val="100"/>
          <w:position w:val="0"/>
        </w:rPr>
        <w:t>“</w:t>
      </w:r>
      <w:r>
        <w:rPr>
          <w:color w:val="000000"/>
          <w:spacing w:val="0"/>
          <w:w w:val="100"/>
          <w:position w:val="0"/>
        </w:rPr>
        <w:t>与公司有关纠纷</w:t>
      </w:r>
      <w:r>
        <w:rPr>
          <w:rFonts w:ascii="Times New Roman" w:eastAsia="Times New Roman" w:hAnsi="Times New Roman" w:cs="Times New Roman"/>
          <w:color w:val="000000"/>
          <w:spacing w:val="0"/>
          <w:w w:val="100"/>
          <w:position w:val="0"/>
        </w:rPr>
        <w:t>”</w:t>
      </w:r>
      <w:r>
        <w:rPr>
          <w:color w:val="000000"/>
          <w:spacing w:val="0"/>
          <w:w w:val="100"/>
          <w:position w:val="0"/>
        </w:rPr>
        <w:t>案</w:t>
      </w:r>
    </w:p>
    <w:p>
      <w:pPr>
        <w:pStyle w:val="Style37"/>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日，中国普天信息产业集团有限公司向北京市第二中级人民法院发起诉讼，就本公司协助生物港公司抽逃 出资为由，要求本公司在协助生物港公司抽逃出资的</w:t>
      </w:r>
      <w:r>
        <w:rPr>
          <w:rFonts w:ascii="Times New Roman" w:eastAsia="Times New Roman" w:hAnsi="Times New Roman" w:cs="Times New Roman"/>
          <w:color w:val="000000"/>
          <w:spacing w:val="0"/>
          <w:w w:val="100"/>
          <w:position w:val="0"/>
        </w:rPr>
        <w:t>25,000,000.00</w:t>
      </w:r>
      <w:r>
        <w:rPr>
          <w:color w:val="000000"/>
          <w:spacing w:val="0"/>
          <w:w w:val="100"/>
          <w:position w:val="0"/>
        </w:rPr>
        <w:t>元及利息范围内承担连带赔偿责任。本公司于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底向北京市第二中级人民法院提起管辖权异议诉讼，被北京市第二中级人民法院驳回，本公司针对驳回管辖权异议的裁定书 向北京市高级人民法院提起诉讼</w:t>
      </w:r>
      <w:r>
        <w:rPr>
          <w:color w:val="000000"/>
          <w:spacing w:val="0"/>
          <w:w w:val="100"/>
          <w:position w:val="0"/>
        </w:rPr>
        <w:t>，</w:t>
      </w:r>
      <w:r>
        <w:rPr>
          <w:color w:val="000000"/>
          <w:spacing w:val="0"/>
          <w:w w:val="100"/>
          <w:position w:val="0"/>
        </w:rPr>
        <w:t>被北京市高级人民法院于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月驳回。</w:t>
      </w:r>
    </w:p>
    <w:p>
      <w:pPr>
        <w:pStyle w:val="Style37"/>
        <w:keepNext w:val="0"/>
        <w:keepLines w:val="0"/>
        <w:widowControl w:val="0"/>
        <w:shd w:val="clear" w:color="auto" w:fill="auto"/>
        <w:tabs>
          <w:tab w:pos="6120" w:val="left"/>
        </w:tabs>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日，北京市第二中级人民法院出具了（</w:t>
      </w:r>
      <w:r>
        <w:rPr>
          <w:rFonts w:ascii="Times New Roman" w:eastAsia="Times New Roman" w:hAnsi="Times New Roman" w:cs="Times New Roman"/>
          <w:color w:val="000000"/>
          <w:spacing w:val="0"/>
          <w:w w:val="100"/>
          <w:position w:val="0"/>
        </w:rPr>
        <w:t>2018</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344</w:t>
      </w:r>
      <w:r>
        <w:rPr>
          <w:color w:val="000000"/>
          <w:spacing w:val="0"/>
          <w:w w:val="100"/>
          <w:position w:val="0"/>
        </w:rPr>
        <w:t>号的民事判决书：神州信息在代垫资金本息共 计</w:t>
      </w:r>
      <w:r>
        <w:rPr>
          <w:rFonts w:ascii="Times New Roman" w:eastAsia="Times New Roman" w:hAnsi="Times New Roman" w:cs="Times New Roman"/>
          <w:color w:val="000000"/>
          <w:spacing w:val="0"/>
          <w:w w:val="100"/>
          <w:position w:val="0"/>
        </w:rPr>
        <w:t>3,512.00</w:t>
      </w:r>
      <w:r>
        <w:rPr>
          <w:color w:val="000000"/>
          <w:spacing w:val="0"/>
          <w:w w:val="100"/>
          <w:position w:val="0"/>
        </w:rPr>
        <w:t>万元范围内，对于生物港公司在广东省深圳市中级人民法院（</w:t>
      </w:r>
      <w:r>
        <w:rPr>
          <w:rFonts w:ascii="Times New Roman" w:eastAsia="Times New Roman" w:hAnsi="Times New Roman" w:cs="Times New Roman"/>
          <w:color w:val="000000"/>
          <w:spacing w:val="0"/>
          <w:w w:val="100"/>
          <w:position w:val="0"/>
        </w:rPr>
        <w:t>2007</w:t>
      </w:r>
      <w:r>
        <w:rPr>
          <w:color w:val="000000"/>
          <w:spacing w:val="0"/>
          <w:w w:val="100"/>
          <w:position w:val="0"/>
        </w:rPr>
        <w:t>）深中法委执字第</w:t>
      </w:r>
      <w:r>
        <w:rPr>
          <w:rFonts w:ascii="Times New Roman" w:eastAsia="Times New Roman" w:hAnsi="Times New Roman" w:cs="Times New Roman"/>
          <w:color w:val="000000"/>
          <w:spacing w:val="0"/>
          <w:w w:val="100"/>
          <w:position w:val="0"/>
        </w:rPr>
        <w:t>539</w:t>
      </w:r>
      <w:r>
        <w:rPr>
          <w:color w:val="000000"/>
          <w:spacing w:val="0"/>
          <w:w w:val="100"/>
          <w:position w:val="0"/>
        </w:rPr>
        <w:t>号执行案项下对中国普天 信息产业集团有限公司的债务经强制执行不能清偿的部分（以数额不超过</w:t>
      </w: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812.52</w:t>
      </w:r>
      <w:r>
        <w:rPr>
          <w:color w:val="000000"/>
          <w:spacing w:val="0"/>
          <w:w w:val="100"/>
          <w:position w:val="0"/>
        </w:rPr>
        <w:t>万元为限）承担补充赔偿责任，其他第</w:t>
      </w:r>
    </w:p>
    <w:p>
      <w:pPr>
        <w:pStyle w:val="Style37"/>
        <w:keepNext w:val="0"/>
        <w:keepLines w:val="0"/>
        <w:widowControl w:val="0"/>
        <w:shd w:val="clear" w:color="auto" w:fill="auto"/>
        <w:bidi w:val="0"/>
        <w:spacing w:before="0" w:after="0" w:line="316" w:lineRule="exact"/>
        <w:ind w:left="0" w:right="0" w:firstLine="0"/>
        <w:jc w:val="left"/>
      </w:pPr>
      <w:r>
        <w:rPr>
          <w:color w:val="000000"/>
          <w:spacing w:val="0"/>
          <w:w w:val="100"/>
          <w:position w:val="0"/>
        </w:rPr>
        <w:t>三方被告北京新富投资有限公司在抽逃出资</w:t>
      </w:r>
      <w:r>
        <w:rPr>
          <w:rFonts w:ascii="Times New Roman" w:eastAsia="Times New Roman" w:hAnsi="Times New Roman" w:cs="Times New Roman"/>
          <w:color w:val="000000"/>
          <w:spacing w:val="0"/>
          <w:w w:val="100"/>
          <w:position w:val="0"/>
        </w:rPr>
        <w:t>5,838.00</w:t>
      </w:r>
      <w:r>
        <w:rPr>
          <w:color w:val="000000"/>
          <w:spacing w:val="0"/>
          <w:w w:val="100"/>
          <w:position w:val="0"/>
        </w:rPr>
        <w:t>万元范围内承担补充赔偿责任，昆山市申昌科技有限公司在代垫资金本 息共计</w:t>
      </w:r>
      <w:r>
        <w:rPr>
          <w:rFonts w:ascii="Times New Roman" w:eastAsia="Times New Roman" w:hAnsi="Times New Roman" w:cs="Times New Roman"/>
          <w:color w:val="000000"/>
          <w:spacing w:val="0"/>
          <w:w w:val="100"/>
          <w:position w:val="0"/>
        </w:rPr>
        <w:t>6,025.00</w:t>
      </w:r>
      <w:r>
        <w:rPr>
          <w:color w:val="000000"/>
          <w:spacing w:val="0"/>
          <w:w w:val="100"/>
          <w:position w:val="0"/>
        </w:rPr>
        <w:t>万元范围内承担补充赔偿责任。</w:t>
      </w:r>
      <w:r>
        <w:rPr>
          <w:rFonts w:ascii="Times New Roman" w:eastAsia="Times New Roman" w:hAnsi="Times New Roman" w:cs="Times New Roman"/>
          <w:color w:val="000000"/>
          <w:spacing w:val="0"/>
          <w:w w:val="100"/>
          <w:position w:val="0"/>
        </w:rPr>
        <w:t>2019</w:t>
      </w:r>
      <w:r>
        <w:rPr>
          <w:color w:val="000000"/>
          <w:spacing w:val="0"/>
          <w:w w:val="100"/>
          <w:position w:val="0"/>
        </w:rPr>
        <w:t>年，本公司管理层根据上述判决计提预计负债</w:t>
      </w:r>
      <w:r>
        <w:rPr>
          <w:rFonts w:ascii="Times New Roman" w:eastAsia="Times New Roman" w:hAnsi="Times New Roman" w:cs="Times New Roman"/>
          <w:color w:val="000000"/>
          <w:spacing w:val="0"/>
          <w:w w:val="100"/>
          <w:position w:val="0"/>
        </w:rPr>
        <w:t>21,381,871.13</w:t>
      </w:r>
      <w:r>
        <w:rPr>
          <w:color w:val="000000"/>
          <w:spacing w:val="0"/>
          <w:w w:val="100"/>
          <w:position w:val="0"/>
        </w:rPr>
        <w:t>元。</w:t>
      </w:r>
    </w:p>
    <w:p>
      <w:pPr>
        <w:pStyle w:val="Style37"/>
        <w:keepNext w:val="0"/>
        <w:keepLines w:val="0"/>
        <w:widowControl w:val="0"/>
        <w:shd w:val="clear" w:color="auto" w:fill="auto"/>
        <w:bidi w:val="0"/>
        <w:spacing w:before="0" w:after="360" w:line="316" w:lineRule="exact"/>
        <w:ind w:left="0" w:right="0" w:firstLine="460"/>
        <w:jc w:val="both"/>
        <w:sectPr>
          <w:headerReference w:type="default" r:id="rId45"/>
          <w:footerReference w:type="default" r:id="rId46"/>
          <w:footnotePr>
            <w:pos w:val="pageBottom"/>
            <w:numFmt w:val="upperRoman"/>
            <w:numStart w:val="1"/>
            <w:numRestart w:val="continuous"/>
            <w15:footnoteColumns w:val="1"/>
          </w:footnotePr>
          <w:pgSz w:w="11900" w:h="16840"/>
          <w:pgMar w:top="1388" w:right="1110" w:bottom="1186" w:left="1100" w:header="0" w:footer="758"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日，本公司与中国普天信息产业集团有限公司达成和解，并于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日支付赔偿款项项 </w:t>
      </w:r>
      <w:r>
        <w:rPr>
          <w:rFonts w:ascii="Times New Roman" w:eastAsia="Times New Roman" w:hAnsi="Times New Roman" w:cs="Times New Roman"/>
          <w:color w:val="000000"/>
          <w:spacing w:val="0"/>
          <w:w w:val="100"/>
          <w:position w:val="0"/>
        </w:rPr>
        <w:t>21,000,000.00</w:t>
      </w:r>
      <w:r>
        <w:rPr>
          <w:color w:val="000000"/>
          <w:spacing w:val="0"/>
          <w:w w:val="100"/>
          <w:position w:val="0"/>
        </w:rPr>
        <w:t>元。根据和解协议，本公司在代垫资金本息共计</w:t>
      </w:r>
      <w:r>
        <w:rPr>
          <w:rFonts w:ascii="Times New Roman" w:eastAsia="Times New Roman" w:hAnsi="Times New Roman" w:cs="Times New Roman"/>
          <w:color w:val="000000"/>
          <w:spacing w:val="0"/>
          <w:w w:val="100"/>
          <w:position w:val="0"/>
        </w:rPr>
        <w:t>21,000,000.00</w:t>
      </w:r>
      <w:r>
        <w:rPr>
          <w:color w:val="000000"/>
          <w:spacing w:val="0"/>
          <w:w w:val="100"/>
          <w:position w:val="0"/>
        </w:rPr>
        <w:t xml:space="preserve">元范围内承担补充赔偿责任，本公司付清前述 </w:t>
      </w:r>
      <w:r>
        <w:rPr>
          <w:rFonts w:ascii="Times New Roman" w:eastAsia="Times New Roman" w:hAnsi="Times New Roman" w:cs="Times New Roman"/>
          <w:color w:val="000000"/>
          <w:spacing w:val="0"/>
          <w:w w:val="100"/>
          <w:position w:val="0"/>
        </w:rPr>
        <w:t>230</w:t>
      </w:r>
    </w:p>
    <w:p>
      <w:pPr>
        <w:pStyle w:val="Style3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21,000,000.00</w:t>
      </w:r>
      <w:r>
        <w:rPr>
          <w:color w:val="000000"/>
          <w:spacing w:val="0"/>
          <w:w w:val="100"/>
          <w:position w:val="0"/>
        </w:rPr>
        <w:t>元款项后，中国普天信息产业集团有限公司放弃其他诉讼请求，本公司于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日支付赔偿款项 </w:t>
      </w:r>
      <w:r>
        <w:rPr>
          <w:rFonts w:ascii="Times New Roman" w:eastAsia="Times New Roman" w:hAnsi="Times New Roman" w:cs="Times New Roman"/>
          <w:color w:val="000000"/>
          <w:spacing w:val="0"/>
          <w:w w:val="100"/>
          <w:position w:val="0"/>
        </w:rPr>
        <w:t>21,000,000.00</w:t>
      </w:r>
      <w:r>
        <w:rPr>
          <w:color w:val="000000"/>
          <w:spacing w:val="0"/>
          <w:w w:val="100"/>
          <w:position w:val="0"/>
        </w:rPr>
        <w:t>元，中国普天信息产业集团有限公司已出具《补充赔偿款结清证明》。</w:t>
      </w:r>
    </w:p>
    <w:p>
      <w:pPr>
        <w:pStyle w:val="Style37"/>
        <w:keepNext w:val="0"/>
        <w:keepLines w:val="0"/>
        <w:widowControl w:val="0"/>
        <w:shd w:val="clear" w:color="auto" w:fill="auto"/>
        <w:bidi w:val="0"/>
        <w:spacing w:before="0" w:after="0" w:line="313" w:lineRule="exact"/>
        <w:ind w:left="0" w:right="0" w:firstLine="460"/>
        <w:jc w:val="both"/>
      </w:pPr>
      <w:bookmarkStart w:id="1555" w:name="bookmark1555"/>
      <w:r>
        <w:rPr>
          <w:rFonts w:ascii="Times New Roman" w:eastAsia="Times New Roman" w:hAnsi="Times New Roman" w:cs="Times New Roman"/>
          <w:color w:val="000000"/>
          <w:spacing w:val="0"/>
          <w:w w:val="100"/>
          <w:position w:val="0"/>
        </w:rPr>
        <w:t>2</w:t>
      </w:r>
      <w:bookmarkEnd w:id="1555"/>
      <w:r>
        <w:rPr>
          <w:color w:val="000000"/>
          <w:spacing w:val="0"/>
          <w:w w:val="100"/>
          <w:position w:val="0"/>
        </w:rPr>
        <w:t>、本公司诉王宪平、昆山市申昌科技有限公司、陈建明损害公司利益责任纠纷、侵权纠纷案</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因王宪平、深圳市太光科技有限公司、贺炜、陈建明恶意串通，擅自调拨太光电信</w:t>
      </w:r>
      <w:r>
        <w:rPr>
          <w:rFonts w:ascii="Times New Roman" w:eastAsia="Times New Roman" w:hAnsi="Times New Roman" w:cs="Times New Roman"/>
          <w:color w:val="000000"/>
          <w:spacing w:val="0"/>
          <w:w w:val="100"/>
          <w:position w:val="0"/>
        </w:rPr>
        <w:t>25,000,000.00</w:t>
      </w:r>
      <w:r>
        <w:rPr>
          <w:color w:val="000000"/>
          <w:spacing w:val="0"/>
          <w:w w:val="100"/>
          <w:position w:val="0"/>
        </w:rPr>
        <w:t>元资金汇入深圳市太 光科技有限公司账户，并被深圳市太光科技有限公司用于生物港公司的注册资金验资，验资后又擅自操纵太光电信账户接收 生物港公司</w:t>
      </w:r>
      <w:r>
        <w:rPr>
          <w:rFonts w:ascii="Times New Roman" w:eastAsia="Times New Roman" w:hAnsi="Times New Roman" w:cs="Times New Roman"/>
          <w:color w:val="000000"/>
          <w:spacing w:val="0"/>
          <w:w w:val="100"/>
          <w:position w:val="0"/>
        </w:rPr>
        <w:t>96,600,000.00</w:t>
      </w:r>
      <w:r>
        <w:rPr>
          <w:color w:val="000000"/>
          <w:spacing w:val="0"/>
          <w:w w:val="100"/>
          <w:position w:val="0"/>
        </w:rPr>
        <w:t xml:space="preserve">元验资资金并将其即时转汇给深圳市太光科技有限公司及北京金冠投资有限公司，导致本公司被法 院认定为生物港公司代垫并抽回了 </w:t>
      </w:r>
      <w:r>
        <w:rPr>
          <w:rFonts w:ascii="Times New Roman" w:eastAsia="Times New Roman" w:hAnsi="Times New Roman" w:cs="Times New Roman"/>
          <w:color w:val="000000"/>
          <w:spacing w:val="0"/>
          <w:w w:val="100"/>
          <w:position w:val="0"/>
        </w:rPr>
        <w:t>25,000,000.00</w:t>
      </w:r>
      <w:r>
        <w:rPr>
          <w:color w:val="000000"/>
          <w:spacing w:val="0"/>
          <w:w w:val="100"/>
          <w:position w:val="0"/>
        </w:rPr>
        <w:t>元注册资金，损害了本公司利益，本公司于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日向深圳市南山区 人民法院提起诉讼，请求判令被告王宪平、昆山市申昌科技有限公司、贺炜、陈建明连带赔偿本公司已经发生的经济损失 </w:t>
      </w:r>
      <w:r>
        <w:rPr>
          <w:rFonts w:ascii="Times New Roman" w:eastAsia="Times New Roman" w:hAnsi="Times New Roman" w:cs="Times New Roman"/>
          <w:color w:val="000000"/>
          <w:spacing w:val="0"/>
          <w:w w:val="100"/>
          <w:position w:val="0"/>
        </w:rPr>
        <w:t>15,000,000.00</w:t>
      </w:r>
      <w:r>
        <w:rPr>
          <w:color w:val="000000"/>
          <w:spacing w:val="0"/>
          <w:w w:val="100"/>
          <w:position w:val="0"/>
        </w:rPr>
        <w:t>元及其同期银行贷款利息。</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月，本公司向深圳市南山区人民法院请求增加对王宪平、昆山市申昌科技有限公司、贺炜、陈建明损害公司 利益责任纠纷一案的诉讼请求，原《起诉状》的诉讼请求变更如下：判令被告王宪平、昆山市申昌科技有限公司、贺炜、陈 建明连带赔偿原告已经发生的经济损失</w:t>
      </w:r>
      <w:r>
        <w:rPr>
          <w:rFonts w:ascii="Times New Roman" w:eastAsia="Times New Roman" w:hAnsi="Times New Roman" w:cs="Times New Roman"/>
          <w:color w:val="000000"/>
          <w:spacing w:val="0"/>
          <w:w w:val="100"/>
          <w:position w:val="0"/>
        </w:rPr>
        <w:t>36,000,000.00</w:t>
      </w:r>
      <w:r>
        <w:rPr>
          <w:color w:val="000000"/>
          <w:spacing w:val="0"/>
          <w:w w:val="100"/>
          <w:position w:val="0"/>
        </w:rPr>
        <w:t>万元及其同期银行贷款利息。被告王宪平、昆山市申昌科技有限公司、 贺炜、陈建明连带赔偿原告已经支付的北京市第二中级人民法院（</w:t>
      </w:r>
      <w:r>
        <w:rPr>
          <w:rFonts w:ascii="Times New Roman" w:eastAsia="Times New Roman" w:hAnsi="Times New Roman" w:cs="Times New Roman"/>
          <w:color w:val="000000"/>
          <w:spacing w:val="0"/>
          <w:w w:val="100"/>
          <w:position w:val="0"/>
        </w:rPr>
        <w:t>2018</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344</w:t>
      </w:r>
      <w:r>
        <w:rPr>
          <w:color w:val="000000"/>
          <w:spacing w:val="0"/>
          <w:w w:val="100"/>
          <w:position w:val="0"/>
        </w:rPr>
        <w:t>号案二审诉讼费</w:t>
      </w:r>
      <w:r>
        <w:rPr>
          <w:rFonts w:ascii="Times New Roman" w:eastAsia="Times New Roman" w:hAnsi="Times New Roman" w:cs="Times New Roman"/>
          <w:color w:val="000000"/>
          <w:spacing w:val="0"/>
          <w:w w:val="100"/>
          <w:position w:val="0"/>
        </w:rPr>
        <w:t>217,740.63</w:t>
      </w:r>
      <w:r>
        <w:rPr>
          <w:color w:val="000000"/>
          <w:spacing w:val="0"/>
          <w:w w:val="100"/>
          <w:position w:val="0"/>
        </w:rPr>
        <w:t>元及其利息。 案件目前已开庭但尚未宣判。</w:t>
      </w:r>
    </w:p>
    <w:p>
      <w:pPr>
        <w:pStyle w:val="Style37"/>
        <w:keepNext w:val="0"/>
        <w:keepLines w:val="0"/>
        <w:widowControl w:val="0"/>
        <w:shd w:val="clear" w:color="auto" w:fill="auto"/>
        <w:bidi w:val="0"/>
        <w:spacing w:before="0" w:after="0" w:line="313" w:lineRule="exact"/>
        <w:ind w:left="0" w:right="0" w:firstLine="380"/>
        <w:jc w:val="both"/>
      </w:pPr>
      <w:bookmarkStart w:id="1556" w:name="bookmark1556"/>
      <w:r>
        <w:rPr>
          <w:rFonts w:ascii="Times New Roman" w:eastAsia="Times New Roman" w:hAnsi="Times New Roman" w:cs="Times New Roman"/>
          <w:color w:val="000000"/>
          <w:spacing w:val="0"/>
          <w:w w:val="100"/>
          <w:position w:val="0"/>
        </w:rPr>
        <w:t>3</w:t>
      </w:r>
      <w:bookmarkEnd w:id="1556"/>
      <w:r>
        <w:rPr>
          <w:color w:val="000000"/>
          <w:spacing w:val="0"/>
          <w:w w:val="100"/>
          <w:position w:val="0"/>
        </w:rPr>
        <w:t>、北京市设备安装工程集团有限公司诉神州数码系统集成服务有限公司</w:t>
      </w:r>
      <w:r>
        <w:rPr>
          <w:rFonts w:ascii="Times New Roman" w:eastAsia="Times New Roman" w:hAnsi="Times New Roman" w:cs="Times New Roman"/>
          <w:color w:val="000000"/>
          <w:spacing w:val="0"/>
          <w:w w:val="100"/>
          <w:position w:val="0"/>
        </w:rPr>
        <w:t>“</w:t>
      </w:r>
      <w:r>
        <w:rPr>
          <w:color w:val="000000"/>
          <w:spacing w:val="0"/>
          <w:w w:val="100"/>
          <w:position w:val="0"/>
        </w:rPr>
        <w:t>建设工程分包合同纠纷</w:t>
      </w:r>
      <w:r>
        <w:rPr>
          <w:rFonts w:ascii="Times New Roman" w:eastAsia="Times New Roman" w:hAnsi="Times New Roman" w:cs="Times New Roman"/>
          <w:color w:val="000000"/>
          <w:spacing w:val="0"/>
          <w:w w:val="100"/>
          <w:position w:val="0"/>
        </w:rPr>
        <w:t>”</w:t>
      </w:r>
      <w:r>
        <w:rPr>
          <w:color w:val="000000"/>
          <w:spacing w:val="0"/>
          <w:w w:val="100"/>
          <w:position w:val="0"/>
        </w:rPr>
        <w:t>案</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日，北京市设备安装工程集团有限公司向北京市大兴区人民法院发起诉讼，就神州数码系统集成服务有限 公司未支付工程款为由，要求神州数码系统集成服务有限公司支付工程进度款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200,000.00</w:t>
      </w:r>
      <w:r>
        <w:rPr>
          <w:color w:val="000000"/>
          <w:spacing w:val="0"/>
          <w:w w:val="100"/>
          <w:position w:val="0"/>
        </w:rPr>
        <w:t>元及延期支付工程款的违约金及 利息人民币</w:t>
      </w:r>
      <w:r>
        <w:rPr>
          <w:rFonts w:ascii="Times New Roman" w:eastAsia="Times New Roman" w:hAnsi="Times New Roman" w:cs="Times New Roman"/>
          <w:color w:val="000000"/>
          <w:spacing w:val="0"/>
          <w:w w:val="100"/>
          <w:position w:val="0"/>
        </w:rPr>
        <w:t>22,015.00</w:t>
      </w:r>
      <w:r>
        <w:rPr>
          <w:color w:val="000000"/>
          <w:spacing w:val="0"/>
          <w:w w:val="100"/>
          <w:position w:val="0"/>
        </w:rPr>
        <w:t>元，支付合同外工程款人民币</w:t>
      </w:r>
      <w:r>
        <w:rPr>
          <w:rFonts w:ascii="Times New Roman" w:eastAsia="Times New Roman" w:hAnsi="Times New Roman" w:cs="Times New Roman"/>
          <w:color w:val="000000"/>
          <w:spacing w:val="0"/>
          <w:w w:val="100"/>
          <w:position w:val="0"/>
        </w:rPr>
        <w:t>1,155,880.24</w:t>
      </w:r>
      <w:r>
        <w:rPr>
          <w:color w:val="000000"/>
          <w:spacing w:val="0"/>
          <w:w w:val="100"/>
          <w:position w:val="0"/>
        </w:rPr>
        <w:t>元，共计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,377,895.24</w:t>
      </w:r>
      <w:r>
        <w:rPr>
          <w:color w:val="000000"/>
          <w:spacing w:val="0"/>
          <w:w w:val="100"/>
          <w:position w:val="0"/>
        </w:rPr>
        <w:t>元，并承担全部诉讼费用。案件目前处 于法庭鉴定阶段。</w:t>
      </w:r>
    </w:p>
    <w:p>
      <w:pPr>
        <w:pStyle w:val="Style37"/>
        <w:keepNext w:val="0"/>
        <w:keepLines w:val="0"/>
        <w:widowControl w:val="0"/>
        <w:shd w:val="clear" w:color="auto" w:fill="auto"/>
        <w:tabs>
          <w:tab w:pos="754" w:val="left"/>
        </w:tabs>
        <w:bidi w:val="0"/>
        <w:spacing w:before="0" w:after="0" w:line="313" w:lineRule="exact"/>
        <w:ind w:left="0" w:right="0" w:firstLine="460"/>
        <w:jc w:val="both"/>
      </w:pPr>
      <w:bookmarkStart w:id="1557" w:name="bookmark1557"/>
      <w:r>
        <w:rPr>
          <w:rFonts w:ascii="Times New Roman" w:eastAsia="Times New Roman" w:hAnsi="Times New Roman" w:cs="Times New Roman"/>
          <w:color w:val="000000"/>
          <w:spacing w:val="0"/>
          <w:w w:val="100"/>
          <w:position w:val="0"/>
        </w:rPr>
        <w:t>4</w:t>
      </w:r>
      <w:bookmarkEnd w:id="1557"/>
      <w:r>
        <w:rPr>
          <w:color w:val="000000"/>
          <w:spacing w:val="0"/>
          <w:w w:val="100"/>
          <w:position w:val="0"/>
        </w:rPr>
        <w:t>、</w:t>
        <w:tab/>
        <w:t>云南北斗高分地理信息科技有限公司诉中农信达</w:t>
      </w:r>
      <w:r>
        <w:rPr>
          <w:rFonts w:ascii="Times New Roman" w:eastAsia="Times New Roman" w:hAnsi="Times New Roman" w:cs="Times New Roman"/>
          <w:color w:val="000000"/>
          <w:spacing w:val="0"/>
          <w:w w:val="100"/>
          <w:position w:val="0"/>
        </w:rPr>
        <w:t>“</w:t>
      </w:r>
      <w:r>
        <w:rPr>
          <w:color w:val="000000"/>
          <w:spacing w:val="0"/>
          <w:w w:val="100"/>
          <w:position w:val="0"/>
        </w:rPr>
        <w:t>技术服务合同纠纷</w:t>
      </w:r>
      <w:r>
        <w:rPr>
          <w:rFonts w:ascii="Times New Roman" w:eastAsia="Times New Roman" w:hAnsi="Times New Roman" w:cs="Times New Roman"/>
          <w:color w:val="000000"/>
          <w:spacing w:val="0"/>
          <w:w w:val="100"/>
          <w:position w:val="0"/>
        </w:rPr>
        <w:t>”</w:t>
      </w:r>
      <w:r>
        <w:rPr>
          <w:color w:val="000000"/>
          <w:spacing w:val="0"/>
          <w:w w:val="100"/>
          <w:position w:val="0"/>
        </w:rPr>
        <w:t>案</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日，云南北斗高分地理信息科技有限公司以中农信达未能按期支付其数据使用费为由向云南省大理市白族 自治州中级人民法院提起诉讼，要求中农信达支付其数据使用费</w:t>
      </w:r>
      <w:r>
        <w:rPr>
          <w:rFonts w:ascii="Times New Roman" w:eastAsia="Times New Roman" w:hAnsi="Times New Roman" w:cs="Times New Roman"/>
          <w:color w:val="000000"/>
          <w:spacing w:val="0"/>
          <w:w w:val="100"/>
          <w:position w:val="0"/>
        </w:rPr>
        <w:t>9,863,220.80</w:t>
      </w:r>
      <w:r>
        <w:rPr>
          <w:color w:val="000000"/>
          <w:spacing w:val="0"/>
          <w:w w:val="100"/>
          <w:position w:val="0"/>
        </w:rPr>
        <w:t>元，支付逾期付款违约金</w:t>
      </w:r>
      <w:r>
        <w:rPr>
          <w:rFonts w:ascii="Times New Roman" w:eastAsia="Times New Roman" w:hAnsi="Times New Roman" w:cs="Times New Roman"/>
          <w:color w:val="000000"/>
          <w:spacing w:val="0"/>
          <w:w w:val="100"/>
          <w:position w:val="0"/>
        </w:rPr>
        <w:t>197,264.00</w:t>
      </w:r>
      <w:r>
        <w:rPr>
          <w:color w:val="000000"/>
          <w:spacing w:val="0"/>
          <w:w w:val="100"/>
          <w:position w:val="0"/>
        </w:rPr>
        <w:t xml:space="preserve">元，共计 </w:t>
      </w:r>
      <w:r>
        <w:rPr>
          <w:rFonts w:ascii="Times New Roman" w:eastAsia="Times New Roman" w:hAnsi="Times New Roman" w:cs="Times New Roman"/>
          <w:color w:val="000000"/>
          <w:spacing w:val="0"/>
          <w:w w:val="100"/>
          <w:position w:val="0"/>
        </w:rPr>
        <w:t>10,060,484.8</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日，云南省大理白族自治州中级人民法院出具了（</w:t>
      </w:r>
      <w:r>
        <w:rPr>
          <w:rFonts w:ascii="Times New Roman" w:eastAsia="Times New Roman" w:hAnsi="Times New Roman" w:cs="Times New Roman"/>
          <w:color w:val="000000"/>
          <w:spacing w:val="0"/>
          <w:w w:val="100"/>
          <w:position w:val="0"/>
        </w:rPr>
        <w:t>2019</w:t>
      </w:r>
      <w:r>
        <w:rPr>
          <w:color w:val="000000"/>
          <w:spacing w:val="0"/>
          <w:w w:val="100"/>
          <w:position w:val="0"/>
        </w:rPr>
        <w:t>）云</w:t>
      </w:r>
      <w:r>
        <w:rPr>
          <w:rFonts w:ascii="Times New Roman" w:eastAsia="Times New Roman" w:hAnsi="Times New Roman" w:cs="Times New Roman"/>
          <w:color w:val="000000"/>
          <w:spacing w:val="0"/>
          <w:w w:val="100"/>
          <w:position w:val="0"/>
        </w:rPr>
        <w:t>29</w:t>
      </w:r>
      <w:r>
        <w:rPr>
          <w:color w:val="000000"/>
          <w:spacing w:val="0"/>
          <w:w w:val="100"/>
          <w:position w:val="0"/>
        </w:rPr>
        <w:t>民初</w:t>
      </w:r>
      <w:r>
        <w:rPr>
          <w:rFonts w:ascii="Times New Roman" w:eastAsia="Times New Roman" w:hAnsi="Times New Roman" w:cs="Times New Roman"/>
          <w:color w:val="000000"/>
          <w:spacing w:val="0"/>
          <w:w w:val="100"/>
          <w:position w:val="0"/>
        </w:rPr>
        <w:t>349</w:t>
      </w:r>
      <w:r>
        <w:rPr>
          <w:color w:val="000000"/>
          <w:spacing w:val="0"/>
          <w:w w:val="100"/>
          <w:position w:val="0"/>
        </w:rPr>
        <w:t>号民事判决书：中农信达应支付技术 服务费</w:t>
      </w:r>
      <w:r>
        <w:rPr>
          <w:rFonts w:ascii="Times New Roman" w:eastAsia="Times New Roman" w:hAnsi="Times New Roman" w:cs="Times New Roman"/>
          <w:color w:val="000000"/>
          <w:spacing w:val="0"/>
          <w:w w:val="100"/>
          <w:position w:val="0"/>
        </w:rPr>
        <w:t>9,863,220.8</w:t>
      </w:r>
      <w:r>
        <w:rPr>
          <w:rFonts w:ascii="Times New Roman" w:eastAsia="Times New Roman" w:hAnsi="Times New Roman" w:cs="Times New Roman"/>
          <w:color w:val="000000"/>
          <w:spacing w:val="0"/>
          <w:w w:val="100"/>
          <w:position w:val="0"/>
        </w:rPr>
        <w:t>0</w:t>
      </w:r>
      <w:r>
        <w:rPr>
          <w:color w:val="000000"/>
          <w:spacing w:val="0"/>
          <w:w w:val="100"/>
          <w:position w:val="0"/>
        </w:rPr>
        <w:t>元，支付上述款项中</w:t>
      </w:r>
      <w:r>
        <w:rPr>
          <w:rFonts w:ascii="Times New Roman" w:eastAsia="Times New Roman" w:hAnsi="Times New Roman" w:cs="Times New Roman"/>
          <w:color w:val="000000"/>
          <w:spacing w:val="0"/>
          <w:w w:val="100"/>
          <w:position w:val="0"/>
        </w:rPr>
        <w:t>7,940,238.6</w:t>
      </w:r>
      <w:r>
        <w:rPr>
          <w:rFonts w:ascii="Times New Roman" w:eastAsia="Times New Roman" w:hAnsi="Times New Roman" w:cs="Times New Roman"/>
          <w:color w:val="000000"/>
          <w:spacing w:val="0"/>
          <w:w w:val="100"/>
          <w:position w:val="0"/>
        </w:rPr>
        <w:t>0</w:t>
      </w:r>
      <w:r>
        <w:rPr>
          <w:color w:val="000000"/>
          <w:spacing w:val="0"/>
          <w:w w:val="100"/>
          <w:position w:val="0"/>
        </w:rPr>
        <w:t>元对应的逾期付款利息，并承担案件受理费</w:t>
      </w:r>
      <w:r>
        <w:rPr>
          <w:rFonts w:ascii="Times New Roman" w:eastAsia="Times New Roman" w:hAnsi="Times New Roman" w:cs="Times New Roman"/>
          <w:color w:val="000000"/>
          <w:spacing w:val="0"/>
          <w:w w:val="100"/>
          <w:position w:val="0"/>
        </w:rPr>
        <w:t>82,136.00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中农信达与云南北斗高分地理信息科技有限公司均对上述裁定不服并提起上诉，上诉期间中农信达支付</w:t>
      </w:r>
      <w:r>
        <w:rPr>
          <w:rFonts w:ascii="Times New Roman" w:eastAsia="Times New Roman" w:hAnsi="Times New Roman" w:cs="Times New Roman"/>
          <w:color w:val="000000"/>
          <w:spacing w:val="0"/>
          <w:w w:val="100"/>
          <w:position w:val="0"/>
        </w:rPr>
        <w:t xml:space="preserve">7,940,238.60 </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日，云南省高级人民法院（</w:t>
      </w:r>
      <w:r>
        <w:rPr>
          <w:rFonts w:ascii="Times New Roman" w:eastAsia="Times New Roman" w:hAnsi="Times New Roman" w:cs="Times New Roman"/>
          <w:color w:val="000000"/>
          <w:spacing w:val="0"/>
          <w:w w:val="100"/>
          <w:position w:val="0"/>
        </w:rPr>
        <w:t>2020</w:t>
      </w:r>
      <w:r>
        <w:rPr>
          <w:color w:val="000000"/>
          <w:spacing w:val="0"/>
          <w:w w:val="100"/>
          <w:position w:val="0"/>
        </w:rPr>
        <w:t>）云民终</w:t>
      </w:r>
      <w:r>
        <w:rPr>
          <w:rFonts w:ascii="Times New Roman" w:eastAsia="Times New Roman" w:hAnsi="Times New Roman" w:cs="Times New Roman"/>
          <w:color w:val="000000"/>
          <w:spacing w:val="0"/>
          <w:w w:val="100"/>
          <w:position w:val="0"/>
        </w:rPr>
        <w:t>1474</w:t>
      </w:r>
      <w:r>
        <w:rPr>
          <w:color w:val="000000"/>
          <w:spacing w:val="0"/>
          <w:w w:val="100"/>
          <w:position w:val="0"/>
        </w:rPr>
        <w:t>号民事判决书判定：撤销云南省大理白族自治州中级人民法 院出县的（</w:t>
      </w:r>
      <w:r>
        <w:rPr>
          <w:rFonts w:ascii="Times New Roman" w:eastAsia="Times New Roman" w:hAnsi="Times New Roman" w:cs="Times New Roman"/>
          <w:color w:val="000000"/>
          <w:spacing w:val="0"/>
          <w:w w:val="100"/>
          <w:position w:val="0"/>
        </w:rPr>
        <w:t>2019</w:t>
      </w:r>
      <w:r>
        <w:rPr>
          <w:color w:val="000000"/>
          <w:spacing w:val="0"/>
          <w:w w:val="100"/>
          <w:position w:val="0"/>
        </w:rPr>
        <w:t>）云</w:t>
      </w:r>
      <w:r>
        <w:rPr>
          <w:rFonts w:ascii="Times New Roman" w:eastAsia="Times New Roman" w:hAnsi="Times New Roman" w:cs="Times New Roman"/>
          <w:color w:val="000000"/>
          <w:spacing w:val="0"/>
          <w:w w:val="100"/>
          <w:position w:val="0"/>
        </w:rPr>
        <w:t>29</w:t>
      </w:r>
      <w:r>
        <w:rPr>
          <w:color w:val="000000"/>
          <w:spacing w:val="0"/>
          <w:w w:val="100"/>
          <w:position w:val="0"/>
        </w:rPr>
        <w:t>民初</w:t>
      </w:r>
      <w:r>
        <w:rPr>
          <w:rFonts w:ascii="Times New Roman" w:eastAsia="Times New Roman" w:hAnsi="Times New Roman" w:cs="Times New Roman"/>
          <w:color w:val="000000"/>
          <w:spacing w:val="0"/>
          <w:w w:val="100"/>
          <w:position w:val="0"/>
        </w:rPr>
        <w:t>349</w:t>
      </w:r>
      <w:r>
        <w:rPr>
          <w:color w:val="000000"/>
          <w:spacing w:val="0"/>
          <w:w w:val="100"/>
          <w:position w:val="0"/>
        </w:rPr>
        <w:t>号民事判决，重新判决中农信达应支付尚未支付的技术服务费用</w:t>
      </w:r>
      <w:r>
        <w:rPr>
          <w:rFonts w:ascii="Times New Roman" w:eastAsia="Times New Roman" w:hAnsi="Times New Roman" w:cs="Times New Roman"/>
          <w:color w:val="000000"/>
          <w:spacing w:val="0"/>
          <w:w w:val="100"/>
          <w:position w:val="0"/>
        </w:rPr>
        <w:t>1,922,982.20</w:t>
      </w:r>
      <w:r>
        <w:rPr>
          <w:color w:val="000000"/>
          <w:spacing w:val="0"/>
          <w:w w:val="100"/>
          <w:position w:val="0"/>
        </w:rPr>
        <w:t xml:space="preserve">元，以及 </w:t>
      </w:r>
      <w:r>
        <w:rPr>
          <w:rFonts w:ascii="Times New Roman" w:eastAsia="Times New Roman" w:hAnsi="Times New Roman" w:cs="Times New Roman"/>
          <w:color w:val="000000"/>
          <w:spacing w:val="0"/>
          <w:w w:val="100"/>
          <w:position w:val="0"/>
        </w:rPr>
        <w:t>7,940,238.6</w:t>
      </w:r>
      <w:r>
        <w:rPr>
          <w:rFonts w:ascii="Times New Roman" w:eastAsia="Times New Roman" w:hAnsi="Times New Roman" w:cs="Times New Roman"/>
          <w:color w:val="000000"/>
          <w:spacing w:val="0"/>
          <w:w w:val="100"/>
          <w:position w:val="0"/>
        </w:rPr>
        <w:t>0</w:t>
      </w:r>
      <w:r>
        <w:rPr>
          <w:color w:val="000000"/>
          <w:spacing w:val="0"/>
          <w:w w:val="100"/>
          <w:position w:val="0"/>
        </w:rPr>
        <w:t>元的逾期利息，并承担案件受理费</w:t>
      </w:r>
      <w:r>
        <w:rPr>
          <w:rFonts w:ascii="Times New Roman" w:eastAsia="Times New Roman" w:hAnsi="Times New Roman" w:cs="Times New Roman"/>
          <w:color w:val="000000"/>
          <w:spacing w:val="0"/>
          <w:w w:val="100"/>
          <w:position w:val="0"/>
        </w:rPr>
        <w:t>82,163.00</w:t>
      </w:r>
      <w:r>
        <w:rPr>
          <w:color w:val="000000"/>
          <w:spacing w:val="0"/>
          <w:w w:val="100"/>
          <w:position w:val="0"/>
        </w:rPr>
        <w:t>元。管理层根据上诉判决结果确认利息费用</w:t>
      </w:r>
      <w:r>
        <w:rPr>
          <w:rFonts w:ascii="Times New Roman" w:eastAsia="Times New Roman" w:hAnsi="Times New Roman" w:cs="Times New Roman"/>
          <w:color w:val="000000"/>
          <w:spacing w:val="0"/>
          <w:w w:val="100"/>
          <w:position w:val="0"/>
        </w:rPr>
        <w:t>381,451.15</w:t>
      </w:r>
      <w:r>
        <w:rPr>
          <w:color w:val="000000"/>
          <w:spacing w:val="0"/>
          <w:w w:val="100"/>
          <w:position w:val="0"/>
        </w:rPr>
        <w:t>元。</w:t>
      </w:r>
    </w:p>
    <w:p>
      <w:pPr>
        <w:pStyle w:val="Style37"/>
        <w:keepNext w:val="0"/>
        <w:keepLines w:val="0"/>
        <w:widowControl w:val="0"/>
        <w:shd w:val="clear" w:color="auto" w:fill="auto"/>
        <w:tabs>
          <w:tab w:pos="754" w:val="left"/>
        </w:tabs>
        <w:bidi w:val="0"/>
        <w:spacing w:before="0" w:after="0" w:line="313" w:lineRule="exact"/>
        <w:ind w:left="0" w:right="0" w:firstLine="460"/>
        <w:jc w:val="both"/>
      </w:pPr>
      <w:bookmarkStart w:id="1558" w:name="bookmark1558"/>
      <w:r>
        <w:rPr>
          <w:rFonts w:ascii="Times New Roman" w:eastAsia="Times New Roman" w:hAnsi="Times New Roman" w:cs="Times New Roman"/>
          <w:color w:val="000000"/>
          <w:spacing w:val="0"/>
          <w:w w:val="100"/>
          <w:position w:val="0"/>
        </w:rPr>
        <w:t>5</w:t>
      </w:r>
      <w:bookmarkEnd w:id="1558"/>
      <w:r>
        <w:rPr>
          <w:color w:val="000000"/>
          <w:spacing w:val="0"/>
          <w:w w:val="100"/>
          <w:position w:val="0"/>
        </w:rPr>
        <w:t>、</w:t>
        <w:tab/>
        <w:t>青田县农业局诉中农信达</w:t>
      </w:r>
      <w:r>
        <w:rPr>
          <w:rFonts w:ascii="Times New Roman" w:eastAsia="Times New Roman" w:hAnsi="Times New Roman" w:cs="Times New Roman"/>
          <w:color w:val="000000"/>
          <w:spacing w:val="0"/>
          <w:w w:val="100"/>
          <w:position w:val="0"/>
        </w:rPr>
        <w:t>“</w:t>
      </w:r>
      <w:r>
        <w:rPr>
          <w:color w:val="000000"/>
          <w:spacing w:val="0"/>
          <w:w w:val="100"/>
          <w:position w:val="0"/>
        </w:rPr>
        <w:t>农业技术服务合同纠纷</w:t>
      </w:r>
      <w:r>
        <w:rPr>
          <w:rFonts w:ascii="Times New Roman" w:eastAsia="Times New Roman" w:hAnsi="Times New Roman" w:cs="Times New Roman"/>
          <w:color w:val="000000"/>
          <w:spacing w:val="0"/>
          <w:w w:val="100"/>
          <w:position w:val="0"/>
        </w:rPr>
        <w:t>”</w:t>
      </w:r>
      <w:r>
        <w:rPr>
          <w:color w:val="000000"/>
          <w:spacing w:val="0"/>
          <w:w w:val="100"/>
          <w:position w:val="0"/>
        </w:rPr>
        <w:t>案</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日，青田县农业局以中农信达未能按期履约导致合同解除，进而造成其损失为由，向青田县人民法院提 起诉讼，要求中农信达赔偿其损失</w:t>
      </w:r>
      <w:r>
        <w:rPr>
          <w:rFonts w:ascii="Times New Roman" w:eastAsia="Times New Roman" w:hAnsi="Times New Roman" w:cs="Times New Roman"/>
          <w:color w:val="000000"/>
          <w:spacing w:val="0"/>
          <w:w w:val="100"/>
          <w:position w:val="0"/>
        </w:rPr>
        <w:t>5,388,768.00</w:t>
      </w:r>
      <w:r>
        <w:rPr>
          <w:color w:val="000000"/>
          <w:spacing w:val="0"/>
          <w:w w:val="100"/>
          <w:position w:val="0"/>
        </w:rPr>
        <w:t>元，赔偿其垫付的劳动报酬及工作人员食宿费</w:t>
      </w:r>
      <w:r>
        <w:rPr>
          <w:rFonts w:ascii="Times New Roman" w:eastAsia="Times New Roman" w:hAnsi="Times New Roman" w:cs="Times New Roman"/>
          <w:color w:val="000000"/>
          <w:spacing w:val="0"/>
          <w:w w:val="100"/>
          <w:position w:val="0"/>
        </w:rPr>
        <w:t>484,000.00</w:t>
      </w:r>
      <w:r>
        <w:rPr>
          <w:color w:val="000000"/>
          <w:spacing w:val="0"/>
          <w:w w:val="100"/>
          <w:position w:val="0"/>
        </w:rPr>
        <w:t>元，同时没收中农信 达缴纳的履约保证金</w:t>
      </w:r>
      <w:r>
        <w:rPr>
          <w:rFonts w:ascii="Times New Roman" w:eastAsia="Times New Roman" w:hAnsi="Times New Roman" w:cs="Times New Roman"/>
          <w:color w:val="000000"/>
          <w:spacing w:val="0"/>
          <w:w w:val="100"/>
          <w:position w:val="0"/>
        </w:rPr>
        <w:t>337,500.00</w:t>
      </w:r>
      <w:r>
        <w:rPr>
          <w:color w:val="000000"/>
          <w:spacing w:val="0"/>
          <w:w w:val="100"/>
          <w:position w:val="0"/>
        </w:rPr>
        <w:t>元，共计</w:t>
      </w:r>
      <w:r>
        <w:rPr>
          <w:rFonts w:ascii="Times New Roman" w:eastAsia="Times New Roman" w:hAnsi="Times New Roman" w:cs="Times New Roman"/>
          <w:color w:val="000000"/>
          <w:spacing w:val="0"/>
          <w:w w:val="100"/>
          <w:position w:val="0"/>
        </w:rPr>
        <w:t>6,210,268.00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日，浙江省丽水市中级人民法院做出（</w:t>
      </w:r>
      <w:r>
        <w:rPr>
          <w:rFonts w:ascii="Times New Roman" w:eastAsia="Times New Roman" w:hAnsi="Times New Roman" w:cs="Times New Roman"/>
          <w:color w:val="000000"/>
          <w:spacing w:val="0"/>
          <w:w w:val="100"/>
          <w:position w:val="0"/>
        </w:rPr>
        <w:t>2020</w:t>
      </w:r>
      <w:r>
        <w:rPr>
          <w:color w:val="000000"/>
          <w:spacing w:val="0"/>
          <w:w w:val="100"/>
          <w:position w:val="0"/>
        </w:rPr>
        <w:t>）浙</w:t>
      </w:r>
      <w:r>
        <w:rPr>
          <w:rFonts w:ascii="Times New Roman" w:eastAsia="Times New Roman" w:hAnsi="Times New Roman" w:cs="Times New Roman"/>
          <w:color w:val="000000"/>
          <w:spacing w:val="0"/>
          <w:w w:val="100"/>
          <w:position w:val="0"/>
        </w:rPr>
        <w:t>11</w:t>
      </w:r>
      <w:r>
        <w:rPr>
          <w:color w:val="000000"/>
          <w:spacing w:val="0"/>
          <w:w w:val="100"/>
          <w:position w:val="0"/>
        </w:rPr>
        <w:t>民终</w:t>
      </w:r>
      <w:r>
        <w:rPr>
          <w:rFonts w:ascii="Times New Roman" w:eastAsia="Times New Roman" w:hAnsi="Times New Roman" w:cs="Times New Roman"/>
          <w:color w:val="000000"/>
          <w:spacing w:val="0"/>
          <w:w w:val="100"/>
          <w:position w:val="0"/>
        </w:rPr>
        <w:t>696</w:t>
      </w:r>
      <w:r>
        <w:rPr>
          <w:color w:val="000000"/>
          <w:spacing w:val="0"/>
          <w:w w:val="100"/>
          <w:position w:val="0"/>
        </w:rPr>
        <w:t>号民事判决：中农信达应支付青田县农业农村 局经济损失</w:t>
      </w:r>
      <w:r>
        <w:rPr>
          <w:rFonts w:ascii="Times New Roman" w:eastAsia="Times New Roman" w:hAnsi="Times New Roman" w:cs="Times New Roman"/>
          <w:color w:val="000000"/>
          <w:spacing w:val="0"/>
          <w:w w:val="100"/>
          <w:position w:val="0"/>
        </w:rPr>
        <w:t>5,216,393.00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日中农信达支付上述款项。</w:t>
      </w:r>
    </w:p>
    <w:p>
      <w:pPr>
        <w:pStyle w:val="Style37"/>
        <w:keepNext w:val="0"/>
        <w:keepLines w:val="0"/>
        <w:widowControl w:val="0"/>
        <w:shd w:val="clear" w:color="auto" w:fill="auto"/>
        <w:tabs>
          <w:tab w:pos="754" w:val="left"/>
        </w:tabs>
        <w:bidi w:val="0"/>
        <w:spacing w:before="0" w:after="0" w:line="313" w:lineRule="exact"/>
        <w:ind w:left="0" w:right="0" w:firstLine="460"/>
        <w:jc w:val="both"/>
      </w:pPr>
      <w:bookmarkStart w:id="1559" w:name="bookmark1559"/>
      <w:r>
        <w:rPr>
          <w:rFonts w:ascii="Times New Roman" w:eastAsia="Times New Roman" w:hAnsi="Times New Roman" w:cs="Times New Roman"/>
          <w:color w:val="000000"/>
          <w:spacing w:val="0"/>
          <w:w w:val="100"/>
          <w:position w:val="0"/>
        </w:rPr>
        <w:t>6</w:t>
      </w:r>
      <w:bookmarkEnd w:id="1559"/>
      <w:r>
        <w:rPr>
          <w:color w:val="000000"/>
          <w:spacing w:val="0"/>
          <w:w w:val="100"/>
          <w:position w:val="0"/>
        </w:rPr>
        <w:t>、</w:t>
        <w:tab/>
        <w:t>北京华安北海机电工程有限公司诉神州数码系统集成服务有限公司</w:t>
      </w:r>
      <w:r>
        <w:rPr>
          <w:rFonts w:ascii="Times New Roman" w:eastAsia="Times New Roman" w:hAnsi="Times New Roman" w:cs="Times New Roman"/>
          <w:color w:val="000000"/>
          <w:spacing w:val="0"/>
          <w:w w:val="100"/>
          <w:position w:val="0"/>
        </w:rPr>
        <w:t>“</w:t>
      </w:r>
      <w:r>
        <w:rPr>
          <w:color w:val="000000"/>
          <w:spacing w:val="0"/>
          <w:w w:val="100"/>
          <w:position w:val="0"/>
        </w:rPr>
        <w:t>分包合同纠纷</w:t>
      </w:r>
      <w:r>
        <w:rPr>
          <w:rFonts w:ascii="Times New Roman" w:eastAsia="Times New Roman" w:hAnsi="Times New Roman" w:cs="Times New Roman"/>
          <w:color w:val="000000"/>
          <w:spacing w:val="0"/>
          <w:w w:val="100"/>
          <w:position w:val="0"/>
        </w:rPr>
        <w:t>”</w:t>
      </w:r>
      <w:r>
        <w:rPr>
          <w:color w:val="000000"/>
          <w:spacing w:val="0"/>
          <w:w w:val="100"/>
          <w:position w:val="0"/>
        </w:rPr>
        <w:t>案</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日，北京华安北海机电工程有限公司以神州数码系统集成服务有限公司未支付合同外工程款项为由，向北 京大兴区人民法院提起诉讼，要求神州数码系统集成服务有限支付工程款</w:t>
      </w:r>
      <w:r>
        <w:rPr>
          <w:rFonts w:ascii="Times New Roman" w:eastAsia="Times New Roman" w:hAnsi="Times New Roman" w:cs="Times New Roman"/>
          <w:color w:val="000000"/>
          <w:spacing w:val="0"/>
          <w:w w:val="100"/>
          <w:position w:val="0"/>
        </w:rPr>
        <w:t>3,170,471.43</w:t>
      </w:r>
      <w:r>
        <w:rPr>
          <w:color w:val="000000"/>
          <w:spacing w:val="0"/>
          <w:w w:val="100"/>
          <w:position w:val="0"/>
        </w:rPr>
        <w:t>元，利息损失</w:t>
      </w:r>
      <w:r>
        <w:rPr>
          <w:rFonts w:ascii="Times New Roman" w:eastAsia="Times New Roman" w:hAnsi="Times New Roman" w:cs="Times New Roman"/>
          <w:color w:val="000000"/>
          <w:spacing w:val="0"/>
          <w:w w:val="100"/>
          <w:position w:val="0"/>
        </w:rPr>
        <w:t>538,906.3</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元，共计 </w:t>
      </w:r>
      <w:r>
        <w:rPr>
          <w:rFonts w:ascii="Times New Roman" w:eastAsia="Times New Roman" w:hAnsi="Times New Roman" w:cs="Times New Roman"/>
          <w:color w:val="000000"/>
          <w:spacing w:val="0"/>
          <w:w w:val="100"/>
          <w:position w:val="0"/>
        </w:rPr>
        <w:t>3,709,377.74</w:t>
      </w:r>
      <w:r>
        <w:rPr>
          <w:color w:val="000000"/>
          <w:spacing w:val="0"/>
          <w:w w:val="100"/>
          <w:position w:val="0"/>
        </w:rPr>
        <w:t>元，并承担全部诉讼费用。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月，北京大兴区人民法院做出（</w:t>
      </w:r>
      <w:r>
        <w:rPr>
          <w:rFonts w:ascii="Times New Roman" w:eastAsia="Times New Roman" w:hAnsi="Times New Roman" w:cs="Times New Roman"/>
          <w:color w:val="000000"/>
          <w:spacing w:val="0"/>
          <w:w w:val="100"/>
          <w:position w:val="0"/>
        </w:rPr>
        <w:t>2020</w:t>
      </w:r>
      <w:r>
        <w:rPr>
          <w:color w:val="000000"/>
          <w:spacing w:val="0"/>
          <w:w w:val="100"/>
          <w:position w:val="0"/>
        </w:rPr>
        <w:t>）京</w:t>
      </w:r>
      <w:r>
        <w:rPr>
          <w:rFonts w:ascii="Times New Roman" w:eastAsia="Times New Roman" w:hAnsi="Times New Roman" w:cs="Times New Roman"/>
          <w:color w:val="000000"/>
          <w:spacing w:val="0"/>
          <w:w w:val="100"/>
          <w:position w:val="0"/>
        </w:rPr>
        <w:t>0115</w:t>
      </w:r>
      <w:r>
        <w:rPr>
          <w:color w:val="000000"/>
          <w:spacing w:val="0"/>
          <w:w w:val="100"/>
          <w:position w:val="0"/>
        </w:rPr>
        <w:t>民初</w:t>
      </w:r>
      <w:r>
        <w:rPr>
          <w:rFonts w:ascii="Times New Roman" w:eastAsia="Times New Roman" w:hAnsi="Times New Roman" w:cs="Times New Roman"/>
          <w:color w:val="000000"/>
          <w:spacing w:val="0"/>
          <w:w w:val="100"/>
          <w:position w:val="0"/>
        </w:rPr>
        <w:t>21032</w:t>
      </w:r>
      <w:r>
        <w:rPr>
          <w:color w:val="000000"/>
          <w:spacing w:val="0"/>
          <w:w w:val="100"/>
          <w:position w:val="0"/>
        </w:rPr>
        <w:t>号民事裁定书：将 神州数码系统集成服务有限公司银行账户</w:t>
      </w:r>
      <w:r>
        <w:rPr>
          <w:rFonts w:ascii="Times New Roman" w:eastAsia="Times New Roman" w:hAnsi="Times New Roman" w:cs="Times New Roman"/>
          <w:color w:val="000000"/>
          <w:spacing w:val="0"/>
          <w:w w:val="100"/>
          <w:position w:val="0"/>
        </w:rPr>
        <w:t>3,709,377.74</w:t>
      </w:r>
      <w:r>
        <w:rPr>
          <w:color w:val="000000"/>
          <w:spacing w:val="0"/>
          <w:w w:val="100"/>
          <w:position w:val="0"/>
        </w:rPr>
        <w:t>元予以冻结，期限为一年。神州数码系统集成服务有限公司向受理法 院提交了管辖权异议申请。案件目前处于待开庭阶段。</w:t>
      </w:r>
    </w:p>
    <w:p>
      <w:pPr>
        <w:pStyle w:val="Style37"/>
        <w:keepNext w:val="0"/>
        <w:keepLines w:val="0"/>
        <w:widowControl w:val="0"/>
        <w:shd w:val="clear" w:color="auto" w:fill="auto"/>
        <w:tabs>
          <w:tab w:pos="754" w:val="left"/>
        </w:tabs>
        <w:bidi w:val="0"/>
        <w:spacing w:before="0" w:after="0" w:line="313" w:lineRule="exact"/>
        <w:ind w:left="0" w:right="0" w:firstLine="460"/>
        <w:jc w:val="both"/>
      </w:pPr>
      <w:bookmarkStart w:id="1560" w:name="bookmark1560"/>
      <w:r>
        <w:rPr>
          <w:rFonts w:ascii="Times New Roman" w:eastAsia="Times New Roman" w:hAnsi="Times New Roman" w:cs="Times New Roman"/>
          <w:color w:val="000000"/>
          <w:spacing w:val="0"/>
          <w:w w:val="100"/>
          <w:position w:val="0"/>
        </w:rPr>
        <w:t>7</w:t>
      </w:r>
      <w:bookmarkEnd w:id="1560"/>
      <w:r>
        <w:rPr>
          <w:color w:val="000000"/>
          <w:spacing w:val="0"/>
          <w:w w:val="100"/>
          <w:position w:val="0"/>
        </w:rPr>
        <w:t>、</w:t>
        <w:tab/>
        <w:t>云南天阔地质工程勘查有限公司诉中农信达</w:t>
      </w:r>
      <w:r>
        <w:rPr>
          <w:rFonts w:ascii="Times New Roman" w:eastAsia="Times New Roman" w:hAnsi="Times New Roman" w:cs="Times New Roman"/>
          <w:color w:val="000000"/>
          <w:spacing w:val="0"/>
          <w:w w:val="100"/>
          <w:position w:val="0"/>
        </w:rPr>
        <w:t>“</w:t>
      </w:r>
      <w:r>
        <w:rPr>
          <w:color w:val="000000"/>
          <w:spacing w:val="0"/>
          <w:w w:val="100"/>
          <w:position w:val="0"/>
        </w:rPr>
        <w:t>服务分包合同纠纷</w:t>
      </w:r>
      <w:r>
        <w:rPr>
          <w:rFonts w:ascii="Times New Roman" w:eastAsia="Times New Roman" w:hAnsi="Times New Roman" w:cs="Times New Roman"/>
          <w:color w:val="000000"/>
          <w:spacing w:val="0"/>
          <w:w w:val="100"/>
          <w:position w:val="0"/>
        </w:rPr>
        <w:t>”</w:t>
      </w:r>
      <w:r>
        <w:rPr>
          <w:color w:val="000000"/>
          <w:spacing w:val="0"/>
          <w:w w:val="100"/>
          <w:position w:val="0"/>
        </w:rPr>
        <w:t>案</w:t>
      </w:r>
    </w:p>
    <w:p>
      <w:pPr>
        <w:pStyle w:val="Style37"/>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日，云南天阔地质工程勘查有限公司以中农信达未能支付全部服务款为由，向云南省保山市新阳区人民法 院提起诉讼：中农信达应支付服务费</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,074,225.85</w:t>
      </w:r>
      <w:r>
        <w:rPr>
          <w:color w:val="000000"/>
          <w:spacing w:val="0"/>
          <w:w w:val="100"/>
          <w:position w:val="0"/>
        </w:rPr>
        <w:t>元，以及资金占用费</w:t>
      </w:r>
      <w:r>
        <w:rPr>
          <w:rFonts w:ascii="Times New Roman" w:eastAsia="Times New Roman" w:hAnsi="Times New Roman" w:cs="Times New Roman"/>
          <w:color w:val="000000"/>
          <w:spacing w:val="0"/>
          <w:w w:val="100"/>
          <w:position w:val="0"/>
        </w:rPr>
        <w:t>331,876.14</w:t>
      </w:r>
      <w:r>
        <w:rPr>
          <w:color w:val="000000"/>
          <w:spacing w:val="0"/>
          <w:w w:val="100"/>
          <w:position w:val="0"/>
        </w:rPr>
        <w:t>元，合计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,406,101.99</w:t>
      </w:r>
      <w:r>
        <w:rPr>
          <w:color w:val="000000"/>
          <w:spacing w:val="0"/>
          <w:w w:val="100"/>
          <w:position w:val="0"/>
        </w:rPr>
        <w:t xml:space="preserve">元，并承担全部诉讼费 </w:t>
      </w:r>
      <w:r>
        <w:rPr>
          <w:color w:val="000000"/>
          <w:spacing w:val="0"/>
          <w:w w:val="100"/>
          <w:position w:val="0"/>
        </w:rPr>
        <w:t>用。案件目前处于待开庭阶段。</w:t>
      </w:r>
    </w:p>
    <w:p>
      <w:pPr>
        <w:pStyle w:val="Style37"/>
        <w:keepNext w:val="0"/>
        <w:keepLines w:val="0"/>
        <w:widowControl w:val="0"/>
        <w:shd w:val="clear" w:color="auto" w:fill="auto"/>
        <w:bidi w:val="0"/>
        <w:spacing w:before="0" w:after="0" w:line="319" w:lineRule="exact"/>
        <w:ind w:left="0" w:right="0" w:firstLine="460"/>
        <w:jc w:val="both"/>
      </w:pPr>
      <w:bookmarkStart w:id="1561" w:name="bookmark1561"/>
      <w:r>
        <w:rPr>
          <w:rFonts w:ascii="Times New Roman" w:eastAsia="Times New Roman" w:hAnsi="Times New Roman" w:cs="Times New Roman"/>
          <w:color w:val="000000"/>
          <w:spacing w:val="0"/>
          <w:w w:val="100"/>
          <w:position w:val="0"/>
        </w:rPr>
        <w:t>8</w:t>
      </w:r>
      <w:bookmarkEnd w:id="1561"/>
      <w:r>
        <w:rPr>
          <w:color w:val="000000"/>
          <w:spacing w:val="0"/>
          <w:w w:val="100"/>
          <w:position w:val="0"/>
        </w:rPr>
        <w:t>、齐齐哈尔恒祥信息技术咨询有限公司诉中农信达</w:t>
      </w:r>
      <w:r>
        <w:rPr>
          <w:rFonts w:ascii="Times New Roman" w:eastAsia="Times New Roman" w:hAnsi="Times New Roman" w:cs="Times New Roman"/>
          <w:color w:val="000000"/>
          <w:spacing w:val="0"/>
          <w:w w:val="100"/>
          <w:position w:val="0"/>
        </w:rPr>
        <w:t>“</w:t>
      </w:r>
      <w:r>
        <w:rPr>
          <w:color w:val="000000"/>
          <w:spacing w:val="0"/>
          <w:w w:val="100"/>
          <w:position w:val="0"/>
        </w:rPr>
        <w:t>服务分包合同纠纷</w:t>
      </w:r>
      <w:r>
        <w:rPr>
          <w:color w:val="000000"/>
          <w:spacing w:val="0"/>
          <w:w w:val="100"/>
          <w:position w:val="0"/>
        </w:rPr>
        <w:t>''</w:t>
      </w:r>
      <w:r>
        <w:rPr>
          <w:color w:val="000000"/>
          <w:spacing w:val="0"/>
          <w:w w:val="100"/>
          <w:position w:val="0"/>
        </w:rPr>
        <w:t>案</w:t>
      </w:r>
    </w:p>
    <w:p>
      <w:pPr>
        <w:pStyle w:val="Style37"/>
        <w:keepNext w:val="0"/>
        <w:keepLines w:val="0"/>
        <w:widowControl w:val="0"/>
        <w:shd w:val="clear" w:color="auto" w:fill="auto"/>
        <w:bidi w:val="0"/>
        <w:spacing w:before="0" w:after="360" w:line="319"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日，齐齐哈尔恒祥信息技术咨询有限公司以中农信达未按照合同约定履行付款义务为由，向北京市海淀区 人民法院提起诉讼，要求中农信达支付测绘工程费用</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,766,573.94</w:t>
      </w:r>
      <w:r>
        <w:rPr>
          <w:color w:val="000000"/>
          <w:spacing w:val="0"/>
          <w:w w:val="100"/>
          <w:position w:val="0"/>
        </w:rPr>
        <w:t>元，利息损失</w:t>
      </w:r>
      <w:r>
        <w:rPr>
          <w:rFonts w:ascii="Times New Roman" w:eastAsia="Times New Roman" w:hAnsi="Times New Roman" w:cs="Times New Roman"/>
          <w:color w:val="000000"/>
          <w:spacing w:val="0"/>
          <w:w w:val="100"/>
          <w:position w:val="0"/>
        </w:rPr>
        <w:t>111,113.95</w:t>
      </w:r>
      <w:r>
        <w:rPr>
          <w:color w:val="000000"/>
          <w:spacing w:val="0"/>
          <w:w w:val="100"/>
          <w:position w:val="0"/>
        </w:rPr>
        <w:t>元，合计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,877,687.89</w:t>
      </w:r>
      <w:r>
        <w:rPr>
          <w:color w:val="000000"/>
          <w:spacing w:val="0"/>
          <w:w w:val="100"/>
          <w:position w:val="0"/>
        </w:rPr>
        <w:t>元，并承担全 部诉讼费用。案件目前处于调查取证阶段。</w:t>
      </w:r>
    </w:p>
    <w:p>
      <w:pPr>
        <w:pStyle w:val="Style35"/>
        <w:keepNext/>
        <w:keepLines/>
        <w:widowControl w:val="0"/>
        <w:shd w:val="clear" w:color="auto" w:fill="auto"/>
        <w:bidi w:val="0"/>
        <w:spacing w:before="0" w:after="360" w:line="240" w:lineRule="auto"/>
        <w:ind w:left="0" w:right="0" w:firstLine="0"/>
        <w:jc w:val="both"/>
      </w:pPr>
      <w:bookmarkStart w:id="1562" w:name="bookmark1562"/>
      <w:bookmarkStart w:id="1563" w:name="bookmark1563"/>
      <w:bookmarkStart w:id="1564" w:name="bookmark1564"/>
      <w:r>
        <w:rPr>
          <w:color w:val="000000"/>
          <w:spacing w:val="0"/>
          <w:w w:val="100"/>
          <w:position w:val="0"/>
          <w:sz w:val="24"/>
          <w:szCs w:val="24"/>
        </w:rPr>
        <w:t>十五、资产负债表日后事项</w:t>
      </w:r>
      <w:bookmarkEnd w:id="1562"/>
      <w:bookmarkEnd w:id="1563"/>
      <w:bookmarkEnd w:id="1564"/>
    </w:p>
    <w:p>
      <w:pPr>
        <w:pStyle w:val="Style41"/>
        <w:keepNext/>
        <w:keepLines/>
        <w:widowControl w:val="0"/>
        <w:shd w:val="clear" w:color="auto" w:fill="auto"/>
        <w:bidi w:val="0"/>
        <w:spacing w:before="0" w:after="260" w:line="240" w:lineRule="auto"/>
        <w:ind w:left="0" w:right="0" w:firstLine="0"/>
        <w:jc w:val="both"/>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65"/>
      <w:bookmarkEnd w:id="1566"/>
      <w:bookmarkEnd w:id="1567"/>
    </w:p>
    <w:p>
      <w:pPr>
        <w:pStyle w:val="Style37"/>
        <w:keepNext w:val="0"/>
        <w:keepLines w:val="0"/>
        <w:widowControl w:val="0"/>
        <w:shd w:val="clear" w:color="auto" w:fill="auto"/>
        <w:bidi w:val="0"/>
        <w:spacing w:before="0" w:after="80" w:line="319"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48,172,292.55</w:t>
            </w:r>
          </w:p>
        </w:tc>
      </w:tr>
    </w:tbl>
    <w:p>
      <w:pPr>
        <w:pStyle w:val="Style37"/>
        <w:keepNext w:val="0"/>
        <w:keepLines w:val="0"/>
        <w:widowControl w:val="0"/>
        <w:shd w:val="clear" w:color="auto" w:fill="auto"/>
        <w:bidi w:val="0"/>
        <w:spacing w:before="0" w:after="360" w:line="317"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日，本公司召开的第八届董事会第九次会议通过了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年度公司利润分配预案：以公司目前股份总数 </w:t>
      </w:r>
      <w:r>
        <w:rPr>
          <w:rFonts w:ascii="Times New Roman" w:eastAsia="Times New Roman" w:hAnsi="Times New Roman" w:cs="Times New Roman"/>
          <w:color w:val="000000"/>
          <w:spacing w:val="0"/>
          <w:w w:val="100"/>
          <w:position w:val="0"/>
        </w:rPr>
        <w:t>976,310,327</w:t>
      </w:r>
      <w:r>
        <w:rPr>
          <w:color w:val="000000"/>
          <w:spacing w:val="0"/>
          <w:w w:val="100"/>
          <w:position w:val="0"/>
        </w:rPr>
        <w:t>股扣除回购专户持有的</w:t>
      </w:r>
      <w:r>
        <w:rPr>
          <w:rFonts w:ascii="Times New Roman" w:eastAsia="Times New Roman" w:hAnsi="Times New Roman" w:cs="Times New Roman"/>
          <w:color w:val="000000"/>
          <w:spacing w:val="0"/>
          <w:w w:val="100"/>
          <w:position w:val="0"/>
        </w:rPr>
        <w:t>12,864,476</w:t>
      </w:r>
      <w:r>
        <w:rPr>
          <w:color w:val="000000"/>
          <w:spacing w:val="0"/>
          <w:w w:val="100"/>
          <w:position w:val="0"/>
        </w:rPr>
        <w:t>股后的股份数量为基数，公司拟向全体股东每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 xml:space="preserve">0.50 </w:t>
      </w:r>
      <w:r>
        <w:rPr>
          <w:color w:val="000000"/>
          <w:spacing w:val="0"/>
          <w:w w:val="100"/>
          <w:position w:val="0"/>
        </w:rPr>
        <w:t>元（含税），不送红股，不以公积金转增股本，合计拟派发现金红利为人民币</w:t>
      </w:r>
      <w:r>
        <w:rPr>
          <w:rFonts w:ascii="Times New Roman" w:eastAsia="Times New Roman" w:hAnsi="Times New Roman" w:cs="Times New Roman"/>
          <w:color w:val="000000"/>
          <w:spacing w:val="0"/>
          <w:w w:val="100"/>
          <w:position w:val="0"/>
        </w:rPr>
        <w:t>48,172,292.55</w:t>
      </w:r>
      <w:r>
        <w:rPr>
          <w:color w:val="000000"/>
          <w:spacing w:val="0"/>
          <w:w w:val="100"/>
          <w:position w:val="0"/>
        </w:rPr>
        <w:t>元（含税）。</w:t>
      </w:r>
    </w:p>
    <w:p>
      <w:pPr>
        <w:pStyle w:val="Style41"/>
        <w:keepNext/>
        <w:keepLines/>
        <w:widowControl w:val="0"/>
        <w:shd w:val="clear" w:color="auto" w:fill="auto"/>
        <w:bidi w:val="0"/>
        <w:spacing w:before="0" w:after="260" w:line="240" w:lineRule="auto"/>
        <w:ind w:left="0" w:right="0" w:firstLine="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68"/>
      <w:bookmarkEnd w:id="1569"/>
      <w:bookmarkEnd w:id="1570"/>
    </w:p>
    <w:p>
      <w:pPr>
        <w:pStyle w:val="Style37"/>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日召开第八届董事会第七次会议审议通过了《关于以集中竞价交易方式回购公司股份方案的议 案》，同意本公司使用自有资金或自筹资金以集中竞价交易方式回购公司</w:t>
      </w:r>
      <w:r>
        <w:rPr>
          <w:rFonts w:ascii="Times New Roman" w:eastAsia="Times New Roman" w:hAnsi="Times New Roman" w:cs="Times New Roman"/>
          <w:color w:val="000000"/>
          <w:spacing w:val="0"/>
          <w:w w:val="100"/>
          <w:position w:val="0"/>
        </w:rPr>
        <w:t>A</w:t>
      </w:r>
      <w:r>
        <w:rPr>
          <w:color w:val="000000"/>
          <w:spacing w:val="0"/>
          <w:w w:val="100"/>
          <w:position w:val="0"/>
        </w:rPr>
        <w:t>股股份，用于实施公司员工持股计划或股权激励。 本次回购股份的价格为不超过人民币</w:t>
      </w:r>
      <w:r>
        <w:rPr>
          <w:rFonts w:ascii="Times New Roman" w:eastAsia="Times New Roman" w:hAnsi="Times New Roman" w:cs="Times New Roman"/>
          <w:color w:val="000000"/>
          <w:spacing w:val="0"/>
          <w:w w:val="100"/>
          <w:position w:val="0"/>
        </w:rPr>
        <w:t>25.5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股（含），回购资金总额为不低于人民币</w:t>
      </w:r>
      <w:r>
        <w:rPr>
          <w:rFonts w:ascii="Times New Roman" w:eastAsia="Times New Roman" w:hAnsi="Times New Roman" w:cs="Times New Roman"/>
          <w:color w:val="000000"/>
          <w:spacing w:val="0"/>
          <w:w w:val="100"/>
          <w:position w:val="0"/>
        </w:rPr>
        <w:t>1</w:t>
      </w:r>
      <w:r>
        <w:rPr>
          <w:color w:val="000000"/>
          <w:spacing w:val="0"/>
          <w:w w:val="100"/>
          <w:position w:val="0"/>
        </w:rPr>
        <w:t>亿元且不超过人民币</w:t>
      </w:r>
      <w:r>
        <w:rPr>
          <w:rFonts w:ascii="Times New Roman" w:eastAsia="Times New Roman" w:hAnsi="Times New Roman" w:cs="Times New Roman"/>
          <w:color w:val="000000"/>
          <w:spacing w:val="0"/>
          <w:w w:val="100"/>
          <w:position w:val="0"/>
        </w:rPr>
        <w:t>2</w:t>
      </w:r>
      <w:r>
        <w:rPr>
          <w:color w:val="000000"/>
          <w:spacing w:val="0"/>
          <w:w w:val="100"/>
          <w:position w:val="0"/>
        </w:rPr>
        <w:t>亿元（均包含本 数）。</w:t>
      </w:r>
    </w:p>
    <w:p>
      <w:pPr>
        <w:pStyle w:val="Style37"/>
        <w:keepNext w:val="0"/>
        <w:keepLines w:val="0"/>
        <w:widowControl w:val="0"/>
        <w:shd w:val="clear" w:color="auto" w:fill="auto"/>
        <w:bidi w:val="0"/>
        <w:spacing w:before="0" w:after="360" w:line="316"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日，公司累计回购公司股份</w:t>
      </w:r>
      <w:r>
        <w:rPr>
          <w:rFonts w:ascii="Times New Roman" w:eastAsia="Times New Roman" w:hAnsi="Times New Roman" w:cs="Times New Roman"/>
          <w:color w:val="000000"/>
          <w:spacing w:val="0"/>
          <w:w w:val="100"/>
          <w:position w:val="0"/>
        </w:rPr>
        <w:t>8,775,208</w:t>
      </w:r>
      <w:r>
        <w:rPr>
          <w:color w:val="000000"/>
          <w:spacing w:val="0"/>
          <w:w w:val="100"/>
          <w:position w:val="0"/>
        </w:rPr>
        <w:t>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日，公司累计回购公司股份</w:t>
      </w:r>
      <w:r>
        <w:rPr>
          <w:rFonts w:ascii="Times New Roman" w:eastAsia="Times New Roman" w:hAnsi="Times New Roman" w:cs="Times New Roman"/>
          <w:color w:val="000000"/>
          <w:spacing w:val="0"/>
          <w:w w:val="100"/>
          <w:position w:val="0"/>
        </w:rPr>
        <w:t>12,864,476</w:t>
      </w:r>
      <w:r>
        <w:rPr>
          <w:color w:val="000000"/>
          <w:spacing w:val="0"/>
          <w:w w:val="100"/>
          <w:position w:val="0"/>
        </w:rPr>
        <w:t>股, 累计支付总金额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亿元。公司本次回购股份方案已实施完毕。</w:t>
      </w:r>
    </w:p>
    <w:p>
      <w:pPr>
        <w:pStyle w:val="Style35"/>
        <w:keepNext/>
        <w:keepLines/>
        <w:widowControl w:val="0"/>
        <w:shd w:val="clear" w:color="auto" w:fill="auto"/>
        <w:bidi w:val="0"/>
        <w:spacing w:before="0" w:after="260" w:line="240" w:lineRule="auto"/>
        <w:ind w:left="0" w:right="0" w:firstLine="0"/>
        <w:jc w:val="left"/>
      </w:pPr>
      <w:bookmarkStart w:id="1571" w:name="bookmark1571"/>
      <w:bookmarkStart w:id="1572" w:name="bookmark1572"/>
      <w:bookmarkStart w:id="1573" w:name="bookmark1573"/>
      <w:r>
        <w:rPr>
          <w:color w:val="000000"/>
          <w:spacing w:val="0"/>
          <w:w w:val="100"/>
          <w:position w:val="0"/>
          <w:sz w:val="24"/>
          <w:szCs w:val="24"/>
        </w:rPr>
        <w:t>十六、其他重要事项</w:t>
      </w:r>
      <w:bookmarkEnd w:id="1571"/>
      <w:bookmarkEnd w:id="1572"/>
      <w:bookmarkEnd w:id="1573"/>
    </w:p>
    <w:p>
      <w:pPr>
        <w:pStyle w:val="Style37"/>
        <w:keepNext w:val="0"/>
        <w:keepLines w:val="0"/>
        <w:widowControl w:val="0"/>
        <w:shd w:val="clear" w:color="auto" w:fill="auto"/>
        <w:bidi w:val="0"/>
        <w:spacing w:before="0" w:after="360" w:line="316"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日，本集团无需披露的其他重要事项。</w:t>
      </w:r>
    </w:p>
    <w:p>
      <w:pPr>
        <w:pStyle w:val="Style35"/>
        <w:keepNext/>
        <w:keepLines/>
        <w:widowControl w:val="0"/>
        <w:shd w:val="clear" w:color="auto" w:fill="auto"/>
        <w:bidi w:val="0"/>
        <w:spacing w:before="0" w:after="360" w:line="240" w:lineRule="auto"/>
        <w:ind w:left="0" w:right="0" w:firstLine="0"/>
        <w:jc w:val="left"/>
      </w:pPr>
      <w:bookmarkStart w:id="1574" w:name="bookmark1574"/>
      <w:bookmarkStart w:id="1575" w:name="bookmark1575"/>
      <w:bookmarkStart w:id="1576" w:name="bookmark1576"/>
      <w:r>
        <w:rPr>
          <w:color w:val="000000"/>
          <w:spacing w:val="0"/>
          <w:w w:val="100"/>
          <w:position w:val="0"/>
          <w:sz w:val="24"/>
          <w:szCs w:val="24"/>
        </w:rPr>
        <w:t>十七、母公司财务报表主要项目注释</w:t>
      </w:r>
      <w:bookmarkEnd w:id="1574"/>
      <w:bookmarkEnd w:id="1575"/>
      <w:bookmarkEnd w:id="1576"/>
    </w:p>
    <w:p>
      <w:pPr>
        <w:pStyle w:val="Style41"/>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7"/>
      <w:bookmarkEnd w:id="1578"/>
      <w:bookmarkEnd w:id="1579"/>
    </w:p>
    <w:p>
      <w:pPr>
        <w:pStyle w:val="Style41"/>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77"/>
      <w:bookmarkEnd w:id="1578"/>
      <w:bookmarkEnd w:id="15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560"/>
        <w:gridCol w:w="1133"/>
        <w:gridCol w:w="1560"/>
        <w:gridCol w:w="1133"/>
        <w:gridCol w:w="157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83,722,591.40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16,015,576.76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67,707,014.64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83,722,591.40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16,015,576.76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67,707,014.64</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tbl>
      <w:tblPr>
        <w:tblOverlap w:val="never"/>
        <w:jc w:val="center"/>
        <w:tblLayout w:type="fixed"/>
      </w:tblPr>
      <w:tblGrid>
        <w:gridCol w:w="2698"/>
        <w:gridCol w:w="1560"/>
        <w:gridCol w:w="1133"/>
        <w:gridCol w:w="1560"/>
        <w:gridCol w:w="1133"/>
        <w:gridCol w:w="15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25,321,484.80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14,260,287.55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11,061,197.25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25,321,484.80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14,260,287.55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11,061,197.25</w:t>
            </w:r>
          </w:p>
        </w:tc>
      </w:tr>
    </w:tbl>
    <w:p>
      <w:pPr>
        <w:widowControl w:val="0"/>
        <w:spacing w:after="41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计提坏账准备的应收账款</w:t>
      </w:r>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57,062,020.80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997,659.42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1-180</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12,518,982.00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876,328.74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14,141,588.60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14,141,588.60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83,722,591.40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16,015,576.76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79" w:line="1" w:lineRule="exact"/>
      </w:pP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11,044,816.20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221,129.95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181-360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135,080.00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361-540 </w:t>
            </w:r>
            <w:r>
              <w:rPr>
                <w:color w:val="000000"/>
                <w:spacing w:val="0"/>
                <w:w w:val="100"/>
                <w:position w:val="0"/>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258,894.00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129,447.00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w:t>
            </w:r>
            <w:r>
              <w:rPr>
                <w:color w:val="000000"/>
                <w:spacing w:val="0"/>
                <w:w w:val="100"/>
                <w:position w:val="0"/>
              </w:rPr>
              <w:t>天以上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13,882,694.60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13,882,694.60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25,321,484.80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14,260,287.55</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69,592,884.06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258,343.30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13,871,364.04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242,238.69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13,435,271.00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193,854.35</w:t>
            </w:r>
          </w:p>
        </w:tc>
      </w:tr>
    </w:tbl>
    <w:p>
      <w:pPr>
        <w:spacing w:lineRule="exact" w:line="1"/>
        <w:rPr>
          <w:sz w:val="2"/>
          <w:szCs w:val="2"/>
        </w:rPr>
      </w:pPr>
      <w:r>
        <w:br w:type="page"/>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83,722,591.40</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81"/>
      <w:bookmarkEnd w:id="1582"/>
      <w:bookmarkEnd w:id="1583"/>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14,260,287.55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1,755,289.21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16,015,576.76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14,260,287.55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1,755,289.21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16,015,576.76</w:t>
            </w:r>
          </w:p>
        </w:tc>
      </w:tr>
    </w:tbl>
    <w:p>
      <w:pPr>
        <w:widowControl w:val="0"/>
        <w:spacing w:after="339" w:line="1" w:lineRule="exact"/>
      </w:pPr>
    </w:p>
    <w:p>
      <w:pPr>
        <w:pStyle w:val="Style41"/>
        <w:keepNext/>
        <w:keepLines/>
        <w:widowControl w:val="0"/>
        <w:shd w:val="clear" w:color="auto" w:fill="auto"/>
        <w:bidi w:val="0"/>
        <w:spacing w:before="0" w:after="28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584"/>
      <w:bookmarkEnd w:id="1585"/>
      <w:bookmarkEnd w:id="1587"/>
    </w:p>
    <w:p>
      <w:pPr>
        <w:pStyle w:val="Style37"/>
        <w:keepNext w:val="0"/>
        <w:keepLines w:val="0"/>
        <w:widowControl w:val="0"/>
        <w:shd w:val="clear" w:color="auto" w:fill="auto"/>
        <w:bidi w:val="0"/>
        <w:spacing w:before="0" w:after="340" w:line="302" w:lineRule="exact"/>
        <w:ind w:left="0" w:right="0" w:firstLine="380"/>
        <w:jc w:val="left"/>
      </w:pPr>
      <w:r>
        <w:rPr>
          <w:color w:val="000000"/>
          <w:spacing w:val="0"/>
          <w:w w:val="100"/>
          <w:position w:val="0"/>
        </w:rPr>
        <w:t>按欠款方归集的年末余额前五名的应收账款情况本年按欠款方归集的年末余额前五名应收账款汇总金额</w:t>
      </w:r>
      <w:r>
        <w:rPr>
          <w:rFonts w:ascii="Times New Roman" w:eastAsia="Times New Roman" w:hAnsi="Times New Roman" w:cs="Times New Roman"/>
          <w:color w:val="000000"/>
          <w:spacing w:val="0"/>
          <w:w w:val="100"/>
          <w:position w:val="0"/>
        </w:rPr>
        <w:t xml:space="preserve">76,250,754.06 </w:t>
      </w:r>
      <w:r>
        <w:rPr>
          <w:color w:val="000000"/>
          <w:spacing w:val="0"/>
          <w:w w:val="100"/>
          <w:position w:val="0"/>
        </w:rPr>
        <w:t>元，占应收账款年末余额合计数的比例</w:t>
      </w:r>
      <w:r>
        <w:rPr>
          <w:rFonts w:ascii="Times New Roman" w:eastAsia="Times New Roman" w:hAnsi="Times New Roman" w:cs="Times New Roman"/>
          <w:color w:val="000000"/>
          <w:spacing w:val="0"/>
          <w:w w:val="100"/>
          <w:position w:val="0"/>
        </w:rPr>
        <w:t>91.08%</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rPr>
        <w:t>14,321,063.66</w:t>
      </w:r>
      <w:r>
        <w:rPr>
          <w:color w:val="000000"/>
          <w:spacing w:val="0"/>
          <w:w w:val="100"/>
          <w:position w:val="0"/>
        </w:rPr>
        <w:t>元。</w:t>
      </w:r>
    </w:p>
    <w:p>
      <w:pPr>
        <w:pStyle w:val="Style41"/>
        <w:keepNext/>
        <w:keepLines/>
        <w:widowControl w:val="0"/>
        <w:shd w:val="clear" w:color="auto" w:fill="auto"/>
        <w:bidi w:val="0"/>
        <w:spacing w:before="0" w:after="340" w:line="240" w:lineRule="auto"/>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8"/>
      <w:bookmarkEnd w:id="1589"/>
      <w:bookmarkEnd w:id="1590"/>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17,450,338.26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102,041,871.66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27,101,016.58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119,492,209.92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87,101,016.58</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both"/>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91"/>
      <w:bookmarkEnd w:id="1592"/>
      <w:bookmarkEnd w:id="1593"/>
    </w:p>
    <w:p>
      <w:pPr>
        <w:pStyle w:val="Style41"/>
        <w:keepNext/>
        <w:keepLines/>
        <w:widowControl w:val="0"/>
        <w:shd w:val="clear" w:color="auto" w:fill="auto"/>
        <w:bidi w:val="0"/>
        <w:spacing w:before="0" w:after="340" w:line="240" w:lineRule="auto"/>
        <w:ind w:left="0" w:right="0" w:firstLine="0"/>
        <w:jc w:val="both"/>
      </w:pPr>
      <w:bookmarkStart w:id="1591" w:name="bookmark1591"/>
      <w:bookmarkStart w:id="1592" w:name="bookmark1592"/>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91"/>
      <w:bookmarkEnd w:id="1592"/>
      <w:bookmarkEnd w:id="1594"/>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17,450,338.26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17,450,338.26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60,000,000.00</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95"/>
      <w:bookmarkEnd w:id="1596"/>
      <w:bookmarkEnd w:id="1597"/>
    </w:p>
    <w:p>
      <w:pPr>
        <w:pStyle w:val="Style41"/>
        <w:keepNext/>
        <w:keepLines/>
        <w:widowControl w:val="0"/>
        <w:shd w:val="clear" w:color="auto" w:fill="auto"/>
        <w:bidi w:val="0"/>
        <w:spacing w:before="0" w:after="340" w:line="240" w:lineRule="auto"/>
        <w:ind w:left="0" w:right="0" w:firstLine="0"/>
        <w:jc w:val="left"/>
      </w:pPr>
      <w:bookmarkStart w:id="1595" w:name="bookmark1595"/>
      <w:bookmarkStart w:id="1596" w:name="bookmark1596"/>
      <w:bookmarkStart w:id="1598" w:name="bookmark159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95"/>
      <w:bookmarkEnd w:id="1596"/>
      <w:bookmarkEnd w:id="1598"/>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99,458,446.07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27,078,000.00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24,706.00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559,597.71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1,689.42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102,041,871.66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27,101,016.58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bookmarkEnd w:id="1601"/>
      <w:r>
        <w:rPr>
          <w:color w:val="000000"/>
          <w:spacing w:val="0"/>
          <w:w w:val="100"/>
          <w:position w:val="0"/>
        </w:rPr>
        <w:t>）坏账准备计提情况</w:t>
      </w:r>
      <w:bookmarkEnd w:id="1599"/>
      <w:bookmarkEnd w:id="1600"/>
      <w:bookmarkEnd w:id="1602"/>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1,689.42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462.12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-811.30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478.12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878.12</w:t>
            </w:r>
          </w:p>
        </w:tc>
      </w:tr>
    </w:tbl>
    <w:p>
      <w:pPr>
        <w:widowControl w:val="0"/>
        <w:spacing w:after="9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102,018,043.78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23,906.00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102,042,749.78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color w:val="000000"/>
          <w:spacing w:val="0"/>
          <w:w w:val="100"/>
          <w:position w:val="0"/>
        </w:rPr>
        <w:t>）本期计提、收回或转回的坏账准备情况</w:t>
      </w:r>
      <w:bookmarkEnd w:id="1603"/>
      <w:bookmarkEnd w:id="1604"/>
      <w:bookmarkEnd w:id="1606"/>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1,689.42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878.12</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color w:val="000000"/>
          <w:spacing w:val="0"/>
          <w:w w:val="100"/>
          <w:position w:val="0"/>
        </w:rPr>
        <w:t>、长期股权投资</w:t>
      </w:r>
      <w:bookmarkEnd w:id="1607"/>
      <w:bookmarkEnd w:id="1608"/>
      <w:bookmarkEnd w:id="16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2,821,684,564.31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2,783,757,973.83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2,801,019,955.58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2,763,093,365.10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5,048,143.54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5,048,143.54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2,047,014.16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2,826,732,707.85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2,788,806,117.37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2,803,066,969.74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37,926,590.48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2,765,140,379.26</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1"/>
      <w:bookmarkEnd w:id="1612"/>
      <w:bookmarkEnd w:id="16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426"/>
        <w:gridCol w:w="1133"/>
        <w:gridCol w:w="1138"/>
        <w:gridCol w:w="850"/>
        <w:gridCol w:w="1133"/>
        <w:gridCol w:w="1411"/>
        <w:gridCol w:w="122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神州数码系统 集成服务有限 公司（注）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791,305,457.91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14,542,130.53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805,847,588.44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神州数码金信 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6,432,881.52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6,432,881.52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37,926,590.48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710,506,082.00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1,425,541.15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711,931,623.15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杨凌农业云服 务有限公司</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40,035,096.00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119,836.60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40,154,932.60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神州灵云（北 京）科技有限公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1,199,265,576.67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366,852.13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1,199,632,428.80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神州国信（北 京）量子科技有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北京神州邦邦 技术服务有限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神州数码融信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软件有限公司</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1,954,363.00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6,064,848.63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8,019,211.63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426"/>
        <w:gridCol w:w="1133"/>
        <w:gridCol w:w="1138"/>
        <w:gridCol w:w="850"/>
        <w:gridCol w:w="1133"/>
        <w:gridCol w:w="1411"/>
        <w:gridCol w:w="1224"/>
      </w:tblGrid>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神州数码信息</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系统有限公司</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993,908.00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3,263,322.41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4,257,230.41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深圳神州数码 信息技术服务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4,846,405.25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4,846,405.25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北京旗硕基业 科技股份有限 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169,480.35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新疆神州三宝 信息技术有限 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2,763,093,365.10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5,846,405.25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26,018,203.48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2,783,757,973.83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37,926,590.48</w:t>
            </w:r>
          </w:p>
        </w:tc>
      </w:tr>
    </w:tbl>
    <w:p>
      <w:pPr>
        <w:pStyle w:val="Style3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注：本年增加系本公司2019年实施了股票期权和限制性股票计划，并于2019年9月17日首次授予激励对象股票期权和限 制性股票。本公司以自身权益工具结算的股份授予神州数码系统集成服务有限公司、中农信达、杨凌农业云服务有限公司、 华苏科技、神州数码融信软件有限公司、神州数码信息系统有限公司、北京旗硕基业科技股份有限公司以及新疆神州三宝信 息技术有限公司股票期权和限制性股票，本公司按照授予日权益工具的公允价值确认对子公司的长期股权投资。</w:t>
      </w:r>
    </w:p>
    <w:p>
      <w:pPr>
        <w:pStyle w:val="Style41"/>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）对联营企业投资</w:t>
      </w:r>
      <w:bookmarkEnd w:id="1614"/>
      <w:bookmarkEnd w:id="1615"/>
      <w:bookmarkEnd w:id="16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133"/>
        <w:gridCol w:w="994"/>
        <w:gridCol w:w="427"/>
        <w:gridCol w:w="989"/>
        <w:gridCol w:w="566"/>
        <w:gridCol w:w="1138"/>
        <w:gridCol w:w="706"/>
        <w:gridCol w:w="427"/>
        <w:gridCol w:w="461"/>
        <w:gridCol w:w="1099"/>
        <w:gridCol w:w="50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减值 准备 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6"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9" w:lineRule="exact"/>
              <w:ind w:left="0" w:right="0" w:firstLine="0"/>
              <w:jc w:val="left"/>
            </w:pPr>
            <w:r>
              <w:rPr>
                <w:color w:val="000000"/>
                <w:spacing w:val="0"/>
                <w:w w:val="100"/>
                <w:position w:val="0"/>
              </w:rPr>
              <w:t>天津国科量 子科技有限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2,321,471.37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-416,883.04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1,904,588.33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北京神州邦 邦技术服务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-274,457.21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850,470.23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-219,230.03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2,786,772.22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3,143,555.21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2,047,014.16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850,470.23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-636,113.07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2,786,772.22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5,048,143.54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color w:val="000000"/>
          <w:spacing w:val="0"/>
          <w:w w:val="100"/>
          <w:position w:val="0"/>
        </w:rPr>
        <w:t>、营业收入和营业成本</w:t>
      </w:r>
      <w:bookmarkEnd w:id="1617"/>
      <w:bookmarkEnd w:id="1618"/>
      <w:bookmarkEnd w:id="16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1997"/>
        <w:gridCol w:w="1838"/>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518,867,580.97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443,641,131.55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206,490,411.09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191,757,262.40</w:t>
            </w:r>
          </w:p>
        </w:tc>
      </w:tr>
    </w:tbl>
    <w:p>
      <w:pPr>
        <w:pStyle w:val="Style37"/>
        <w:keepNext w:val="0"/>
        <w:keepLines w:val="0"/>
        <w:widowControl w:val="0"/>
        <w:shd w:val="clear" w:color="auto" w:fill="auto"/>
        <w:bidi w:val="0"/>
        <w:spacing w:before="0" w:after="80" w:line="307" w:lineRule="exact"/>
        <w:ind w:left="0" w:right="0" w:firstLine="0"/>
        <w:jc w:val="both"/>
      </w:pPr>
      <w:r>
        <w:rPr>
          <w:color w:val="000000"/>
          <w:spacing w:val="0"/>
          <w:w w:val="100"/>
          <w:position w:val="0"/>
        </w:rPr>
        <w:t>与分摊至剩余履约义务的交易价格相关的信息：</w:t>
      </w:r>
    </w:p>
    <w:p>
      <w:pPr>
        <w:pStyle w:val="Style37"/>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44,367.43</w:t>
      </w:r>
      <w:r>
        <w:rPr>
          <w:color w:val="000000"/>
          <w:spacing w:val="0"/>
          <w:w w:val="100"/>
          <w:position w:val="0"/>
        </w:rPr>
        <w:t>万元，其中</w:t>
      </w:r>
      <w:r>
        <w:rPr>
          <w:color w:val="000000"/>
          <w:spacing w:val="0"/>
          <w:w w:val="100"/>
          <w:position w:val="0"/>
        </w:rPr>
        <w:t>，</w:t>
      </w:r>
      <w:r>
        <w:rPr>
          <w:rFonts w:ascii="Times New Roman" w:eastAsia="Times New Roman" w:hAnsi="Times New Roman" w:cs="Times New Roman"/>
          <w:color w:val="000000"/>
          <w:spacing w:val="0"/>
          <w:w w:val="100"/>
          <w:position w:val="0"/>
        </w:rPr>
        <w:t>44,367.43</w:t>
      </w:r>
      <w:r>
        <w:rPr>
          <w:color w:val="000000"/>
          <w:spacing w:val="0"/>
          <w:w w:val="100"/>
          <w:position w:val="0"/>
        </w:rPr>
        <w:t>万元 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41"/>
        <w:keepNext/>
        <w:keepLines/>
        <w:widowControl w:val="0"/>
        <w:shd w:val="clear" w:color="auto" w:fill="auto"/>
        <w:bidi w:val="0"/>
        <w:spacing w:before="0" w:after="38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color w:val="000000"/>
          <w:spacing w:val="0"/>
          <w:w w:val="100"/>
          <w:position w:val="0"/>
        </w:rPr>
        <w:t>、投资收益</w:t>
      </w:r>
      <w:bookmarkEnd w:id="1621"/>
      <w:bookmarkEnd w:id="1622"/>
      <w:bookmarkEnd w:id="162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17,450,338.26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5,245,677.58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2,850,470.23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211,291.04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3,958,932.52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-636,113.07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-323,485.13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407,734.80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以摊余成本计量的金融资产终止确认损失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-44,952.72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25,121,664.04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63,998,229.47</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625" w:name="bookmark1625"/>
      <w:bookmarkStart w:id="1626" w:name="bookmark1626"/>
      <w:bookmarkStart w:id="1627" w:name="bookmark1627"/>
      <w:r>
        <w:rPr>
          <w:color w:val="000000"/>
          <w:spacing w:val="0"/>
          <w:w w:val="100"/>
          <w:position w:val="0"/>
          <w:sz w:val="24"/>
          <w:szCs w:val="24"/>
        </w:rPr>
        <w:t>十八、补充资料</w:t>
      </w:r>
      <w:bookmarkEnd w:id="1625"/>
      <w:bookmarkEnd w:id="1626"/>
      <w:bookmarkEnd w:id="1627"/>
    </w:p>
    <w:p>
      <w:pPr>
        <w:pStyle w:val="Style41"/>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28"/>
      <w:bookmarkEnd w:id="1629"/>
      <w:bookmarkEnd w:id="1630"/>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-757,899.02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35,021,787.53</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-5,206,140.88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4,094,604.97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62"/>
        <w:gridCol w:w="3192"/>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5,245,677.58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256,070,413.25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5,423,986.98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12,537,866.46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50,009,041.43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2,199,347.03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260,221,908.41</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7"/>
        <w:keepNext w:val="0"/>
        <w:keepLines w:val="0"/>
        <w:widowControl w:val="0"/>
        <w:shd w:val="clear" w:color="auto" w:fill="auto"/>
        <w:bidi w:val="0"/>
        <w:spacing w:before="0" w:after="3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300" w:line="240" w:lineRule="auto"/>
        <w:ind w:left="0" w:right="0" w:firstLine="0"/>
        <w:jc w:val="both"/>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1"/>
      <w:bookmarkEnd w:id="1632"/>
      <w:bookmarkEnd w:id="1633"/>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0.4906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0.2222</w:t>
            </w:r>
          </w:p>
        </w:tc>
      </w:tr>
    </w:tbl>
    <w:p>
      <w:pPr>
        <w:widowControl w:val="0"/>
        <w:spacing w:after="239" w:line="1" w:lineRule="exact"/>
      </w:pPr>
    </w:p>
    <w:p>
      <w:pPr>
        <w:pStyle w:val="Style41"/>
        <w:keepNext/>
        <w:keepLines/>
        <w:widowControl w:val="0"/>
        <w:shd w:val="clear" w:color="auto" w:fill="auto"/>
        <w:bidi w:val="0"/>
        <w:spacing w:before="0" w:after="300" w:line="331" w:lineRule="exact"/>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3</w:t>
      </w:r>
      <w:bookmarkEnd w:id="1636"/>
      <w:r>
        <w:rPr>
          <w:color w:val="000000"/>
          <w:spacing w:val="0"/>
          <w:w w:val="100"/>
          <w:position w:val="0"/>
        </w:rPr>
        <w:t>、境内外会计准则下会计数据差异</w:t>
      </w:r>
      <w:bookmarkEnd w:id="1634"/>
      <w:bookmarkEnd w:id="1635"/>
      <w:bookmarkEnd w:id="1637"/>
    </w:p>
    <w:p>
      <w:pPr>
        <w:pStyle w:val="Style41"/>
        <w:keepNext/>
        <w:keepLines/>
        <w:widowControl w:val="0"/>
        <w:shd w:val="clear" w:color="auto" w:fill="auto"/>
        <w:tabs>
          <w:tab w:pos="493" w:val="left"/>
        </w:tabs>
        <w:bidi w:val="0"/>
        <w:spacing w:before="0" w:line="331" w:lineRule="exact"/>
        <w:ind w:left="0" w:right="0" w:firstLine="0"/>
        <w:jc w:val="both"/>
      </w:pPr>
      <w:bookmarkStart w:id="1634" w:name="bookmark1634"/>
      <w:bookmarkStart w:id="1635" w:name="bookmark1635"/>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34"/>
      <w:bookmarkEnd w:id="1635"/>
      <w:bookmarkEnd w:id="1639"/>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331" w:lineRule="exact"/>
        <w:ind w:left="0" w:right="0" w:firstLine="0"/>
        <w:jc w:val="both"/>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40"/>
      <w:bookmarkEnd w:id="1641"/>
      <w:bookmarkEnd w:id="1643"/>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300" w:line="331" w:lineRule="exact"/>
        <w:ind w:left="0" w:right="0" w:firstLine="0"/>
        <w:jc w:val="both"/>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644"/>
      <w:bookmarkEnd w:id="1645"/>
      <w:bookmarkEnd w:id="1647"/>
    </w:p>
    <w:p>
      <w:pPr>
        <w:pStyle w:val="Style18"/>
        <w:keepNext/>
        <w:keepLines/>
        <w:widowControl w:val="0"/>
        <w:shd w:val="clear" w:color="auto" w:fill="auto"/>
        <w:bidi w:val="0"/>
        <w:spacing w:before="0" w:after="660" w:line="240" w:lineRule="auto"/>
        <w:ind w:left="0" w:right="0" w:firstLine="0"/>
        <w:jc w:val="center"/>
      </w:pPr>
      <w:bookmarkStart w:id="1648" w:name="bookmark1648"/>
      <w:bookmarkStart w:id="1649" w:name="bookmark1649"/>
      <w:bookmarkStart w:id="1650" w:name="bookmark1650"/>
      <w:r>
        <w:rPr>
          <w:color w:val="000000"/>
          <w:spacing w:val="0"/>
          <w:w w:val="100"/>
          <w:position w:val="0"/>
        </w:rPr>
        <w:t>第十三节备查文件目录</w:t>
      </w:r>
      <w:bookmarkEnd w:id="1648"/>
      <w:bookmarkEnd w:id="1649"/>
      <w:bookmarkEnd w:id="1650"/>
    </w:p>
    <w:p>
      <w:pPr>
        <w:pStyle w:val="Style37"/>
        <w:keepNext w:val="0"/>
        <w:keepLines w:val="0"/>
        <w:widowControl w:val="0"/>
        <w:shd w:val="clear" w:color="auto" w:fill="auto"/>
        <w:tabs>
          <w:tab w:pos="531" w:val="left"/>
        </w:tabs>
        <w:bidi w:val="0"/>
        <w:spacing w:before="0" w:after="240" w:line="240" w:lineRule="auto"/>
        <w:ind w:left="0" w:right="0" w:firstLine="0"/>
        <w:jc w:val="left"/>
      </w:pPr>
      <w:bookmarkStart w:id="1651" w:name="bookmark1651"/>
      <w:bookmarkStart w:id="1652" w:name="bookmark1652"/>
      <w:r>
        <w:rPr>
          <w:color w:val="000000"/>
          <w:spacing w:val="0"/>
          <w:w w:val="100"/>
          <w:position w:val="0"/>
        </w:rPr>
        <w:t>（</w:t>
      </w:r>
      <w:bookmarkEnd w:id="1652"/>
      <w:r>
        <w:rPr>
          <w:color w:val="000000"/>
          <w:spacing w:val="0"/>
          <w:w w:val="100"/>
          <w:position w:val="0"/>
        </w:rPr>
        <w:t>一）</w:t>
        <w:tab/>
        <w:t>载有公司负责人、主管会计工作负责人、会计机构负责人签名并盖章的财务报表。</w:t>
      </w:r>
      <w:bookmarkEnd w:id="1651"/>
    </w:p>
    <w:p>
      <w:pPr>
        <w:pStyle w:val="Style37"/>
        <w:keepNext w:val="0"/>
        <w:keepLines w:val="0"/>
        <w:widowControl w:val="0"/>
        <w:shd w:val="clear" w:color="auto" w:fill="auto"/>
        <w:tabs>
          <w:tab w:pos="531" w:val="left"/>
        </w:tabs>
        <w:bidi w:val="0"/>
        <w:spacing w:before="0" w:after="240" w:line="240" w:lineRule="auto"/>
        <w:ind w:left="0" w:right="0" w:firstLine="0"/>
        <w:jc w:val="left"/>
      </w:pPr>
      <w:bookmarkStart w:id="1653" w:name="bookmark1653"/>
      <w:r>
        <w:rPr>
          <w:color w:val="000000"/>
          <w:spacing w:val="0"/>
          <w:w w:val="100"/>
          <w:position w:val="0"/>
        </w:rPr>
        <w:t>（</w:t>
      </w:r>
      <w:bookmarkEnd w:id="1653"/>
      <w:r>
        <w:rPr>
          <w:color w:val="000000"/>
          <w:spacing w:val="0"/>
          <w:w w:val="100"/>
          <w:position w:val="0"/>
        </w:rPr>
        <w:t>二）</w:t>
        <w:tab/>
        <w:t>载有会计师事务所盖章、注册会计师签名并盖章的审计报告原件。</w:t>
      </w:r>
    </w:p>
    <w:p>
      <w:pPr>
        <w:pStyle w:val="Style37"/>
        <w:keepNext w:val="0"/>
        <w:keepLines w:val="0"/>
        <w:widowControl w:val="0"/>
        <w:shd w:val="clear" w:color="auto" w:fill="auto"/>
        <w:tabs>
          <w:tab w:pos="531" w:val="left"/>
        </w:tabs>
        <w:bidi w:val="0"/>
        <w:spacing w:before="0" w:after="240" w:line="240" w:lineRule="auto"/>
        <w:ind w:left="0" w:right="0" w:firstLine="0"/>
        <w:jc w:val="left"/>
      </w:pPr>
      <w:bookmarkStart w:id="1654" w:name="bookmark1654"/>
      <w:r>
        <w:rPr>
          <w:color w:val="000000"/>
          <w:spacing w:val="0"/>
          <w:w w:val="100"/>
          <w:position w:val="0"/>
        </w:rPr>
        <w:t>（</w:t>
      </w:r>
      <w:bookmarkEnd w:id="1654"/>
      <w:r>
        <w:rPr>
          <w:color w:val="000000"/>
          <w:spacing w:val="0"/>
          <w:w w:val="100"/>
          <w:position w:val="0"/>
        </w:rPr>
        <w:t>三）</w:t>
        <w:tab/>
        <w:t>报告期内在《证券时报》及巨潮资讯网（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上公开公开披露过的所有公司文件的正本及公告</w:t>
      </w:r>
    </w:p>
    <w:p>
      <w:pPr>
        <w:pStyle w:val="Style37"/>
        <w:keepNext w:val="0"/>
        <w:keepLines w:val="0"/>
        <w:widowControl w:val="0"/>
        <w:shd w:val="clear" w:color="auto" w:fill="auto"/>
        <w:bidi w:val="0"/>
        <w:spacing w:before="0" w:after="1260" w:line="240" w:lineRule="auto"/>
        <w:ind w:left="0" w:right="0" w:firstLine="0"/>
        <w:jc w:val="left"/>
      </w:pPr>
      <w:r>
        <w:rPr>
          <w:color w:val="000000"/>
          <w:spacing w:val="0"/>
          <w:w w:val="100"/>
          <w:position w:val="0"/>
        </w:rPr>
        <w:t>的原稿。</w:t>
      </w:r>
    </w:p>
    <w:p>
      <w:pPr>
        <w:pStyle w:val="Style3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神州数码信息服务股份有限公司</w:t>
      </w:r>
    </w:p>
    <w:p>
      <w:pPr>
        <w:pStyle w:val="Style3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董事长：郭为</w:t>
      </w:r>
    </w:p>
    <w:p>
      <w:pPr>
        <w:pStyle w:val="Style64"/>
        <w:keepNext w:val="0"/>
        <w:keepLines w:val="0"/>
        <w:widowControl w:val="0"/>
        <w:shd w:val="clear" w:color="auto" w:fill="auto"/>
        <w:bidi w:val="0"/>
        <w:spacing w:before="0" w:after="240" w:line="240" w:lineRule="auto"/>
        <w:ind w:left="0" w:right="0" w:firstLine="0"/>
        <w:jc w:val="righ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 xml:space="preserve">月 </w:t>
      </w:r>
      <w:r>
        <w:rPr>
          <w:color w:val="000000"/>
          <w:spacing w:val="0"/>
          <w:w w:val="100"/>
          <w:position w:val="0"/>
        </w:rPr>
        <w:t>29</w:t>
      </w:r>
      <w:r>
        <w:rPr>
          <w:rFonts w:ascii="SimSun" w:eastAsia="SimSun" w:hAnsi="SimSun" w:cs="SimSun"/>
          <w:color w:val="000000"/>
          <w:spacing w:val="0"/>
          <w:w w:val="100"/>
          <w:position w:val="0"/>
        </w:rPr>
        <w:t>日</w:t>
      </w:r>
    </w:p>
    <w:sectPr>
      <w:headerReference w:type="default" r:id="rId47"/>
      <w:footerReference w:type="default" r:id="rId48"/>
      <w:footnotePr>
        <w:pos w:val="pageBottom"/>
        <w:numFmt w:val="upperRoman"/>
        <w:numStart w:val="1"/>
        <w:numRestart w:val="continuous"/>
        <w15:footnoteColumns w:val="1"/>
      </w:footnotePr>
      <w:pgSz w:w="11900" w:h="16840"/>
      <w:pgMar w:top="1383" w:right="1053" w:bottom="1541" w:left="106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3742690</wp:posOffset>
              </wp:positionH>
              <wp:positionV relativeFrom="page">
                <wp:posOffset>9998075</wp:posOffset>
              </wp:positionV>
              <wp:extent cx="42545" cy="79375"/>
              <wp:wrapNone/>
              <wp:docPr id="5" name="Shape 5"/>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4.69999999999999pt;margin-top:787.25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3716020</wp:posOffset>
              </wp:positionH>
              <wp:positionV relativeFrom="page">
                <wp:posOffset>9825990</wp:posOffset>
              </wp:positionV>
              <wp:extent cx="103505" cy="79375"/>
              <wp:wrapNone/>
              <wp:docPr id="47" name="Shape 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292.60000000000002pt;margin-top:773.70000000000005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3716020</wp:posOffset>
              </wp:positionH>
              <wp:positionV relativeFrom="page">
                <wp:posOffset>9825990</wp:posOffset>
              </wp:positionV>
              <wp:extent cx="103505" cy="79375"/>
              <wp:wrapNone/>
              <wp:docPr id="56" name="Shape 5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2" type="#_x0000_t202" style="position:absolute;margin-left:292.60000000000002pt;margin-top:773.70000000000005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6647815</wp:posOffset>
              </wp:positionH>
              <wp:positionV relativeFrom="page">
                <wp:posOffset>9955530</wp:posOffset>
              </wp:positionV>
              <wp:extent cx="146050" cy="79375"/>
              <wp:wrapNone/>
              <wp:docPr id="71" name="Shape 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7" type="#_x0000_t202" style="position:absolute;margin-left:523.45000000000005pt;margin-top:783.89999999999998pt;width:11.5pt;height:6.25pt;z-index:-1887440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9601835</wp:posOffset>
              </wp:positionH>
              <wp:positionV relativeFrom="page">
                <wp:posOffset>6822440</wp:posOffset>
              </wp:positionV>
              <wp:extent cx="155575" cy="79375"/>
              <wp:wrapNone/>
              <wp:docPr id="76" name="Shape 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2" type="#_x0000_t202" style="position:absolute;margin-left:756.05000000000007pt;margin-top:537.20000000000005pt;width:12.25pt;height:6.25pt;z-index:-1887440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6656705</wp:posOffset>
              </wp:positionH>
              <wp:positionV relativeFrom="page">
                <wp:posOffset>9958070</wp:posOffset>
              </wp:positionV>
              <wp:extent cx="155575" cy="79375"/>
              <wp:wrapNone/>
              <wp:docPr id="82" name="Shape 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524.14999999999998pt;margin-top:784.10000000000002pt;width:12.25pt;height:6.25pt;z-index:-1887440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9620250</wp:posOffset>
              </wp:positionH>
              <wp:positionV relativeFrom="page">
                <wp:posOffset>6821805</wp:posOffset>
              </wp:positionV>
              <wp:extent cx="155575" cy="79375"/>
              <wp:wrapNone/>
              <wp:docPr id="87" name="Shape 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757.5pt;margin-top:537.14999999999998pt;width:12.25pt;height:6.25pt;z-index:-1887440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3669665</wp:posOffset>
              </wp:positionH>
              <wp:positionV relativeFrom="page">
                <wp:posOffset>9824720</wp:posOffset>
              </wp:positionV>
              <wp:extent cx="155575" cy="82550"/>
              <wp:wrapNone/>
              <wp:docPr id="92" name="Shape 9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8" type="#_x0000_t202" style="position:absolute;margin-left:288.94999999999999pt;margin-top:773.60000000000002pt;width:12.25pt;height:6.5pt;z-index:-1887440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3669665</wp:posOffset>
              </wp:positionH>
              <wp:positionV relativeFrom="page">
                <wp:posOffset>9824720</wp:posOffset>
              </wp:positionV>
              <wp:extent cx="155575" cy="82550"/>
              <wp:wrapNone/>
              <wp:docPr id="100" name="Shape 10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6" type="#_x0000_t202" style="position:absolute;margin-left:288.94999999999999pt;margin-top:773.60000000000002pt;width:12.25pt;height:6.5pt;z-index:-1887439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3743325</wp:posOffset>
              </wp:positionH>
              <wp:positionV relativeFrom="page">
                <wp:posOffset>9828530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4.75pt;margin-top:77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5294630</wp:posOffset>
              </wp:positionH>
              <wp:positionV relativeFrom="page">
                <wp:posOffset>6692265</wp:posOffset>
              </wp:positionV>
              <wp:extent cx="94615" cy="79375"/>
              <wp:wrapNone/>
              <wp:docPr id="15" name="Shape 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416.90000000000003pt;margin-top:526.95000000000005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3743325</wp:posOffset>
              </wp:positionH>
              <wp:positionV relativeFrom="page">
                <wp:posOffset>9828530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4.75pt;margin-top:773.89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5288915</wp:posOffset>
              </wp:positionH>
              <wp:positionV relativeFrom="page">
                <wp:posOffset>6706235</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416.44999999999999pt;margin-top:528.0499999999999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5288915</wp:posOffset>
              </wp:positionH>
              <wp:positionV relativeFrom="page">
                <wp:posOffset>6690995</wp:posOffset>
              </wp:positionV>
              <wp:extent cx="109855" cy="79375"/>
              <wp:wrapNone/>
              <wp:docPr id="27" name="Shape 2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3" type="#_x0000_t202" style="position:absolute;margin-left:416.44999999999999pt;margin-top:526.85000000000002pt;width:8.6500000000000004pt;height:6.25pt;z-index:-1887440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5288915</wp:posOffset>
              </wp:positionH>
              <wp:positionV relativeFrom="page">
                <wp:posOffset>6706235</wp:posOffset>
              </wp:positionV>
              <wp:extent cx="109855" cy="79375"/>
              <wp:wrapNone/>
              <wp:docPr id="32" name="Shape 3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8" type="#_x0000_t202" style="position:absolute;margin-left:416.44999999999999pt;margin-top:528.04999999999995pt;width:8.6500000000000004pt;height:6.25pt;z-index:-1887440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3716020</wp:posOffset>
              </wp:positionH>
              <wp:positionV relativeFrom="page">
                <wp:posOffset>9825990</wp:posOffset>
              </wp:positionV>
              <wp:extent cx="103505" cy="79375"/>
              <wp:wrapNone/>
              <wp:docPr id="37" name="Shape 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3" type="#_x0000_t202" style="position:absolute;margin-left:292.60000000000002pt;margin-top:773.70000000000005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5288915</wp:posOffset>
              </wp:positionH>
              <wp:positionV relativeFrom="page">
                <wp:posOffset>6706235</wp:posOffset>
              </wp:positionV>
              <wp:extent cx="109855" cy="79375"/>
              <wp:wrapNone/>
              <wp:docPr id="42" name="Shape 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416.44999999999999pt;margin-top:528.04999999999995pt;width:8.6500000000000004pt;height:6.25pt;z-index:-1887440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2"/>
          <w:szCs w:val="12"/>
          <w:vertAlign w:val="superscript"/>
        </w:rPr>
        <w:footnoteRef/>
      </w:r>
      <w:r>
        <w:rPr>
          <w:color w:val="000000"/>
          <w:spacing w:val="0"/>
          <w:w w:val="100"/>
          <w:position w:val="0"/>
        </w:rPr>
        <w:t>李鸿春先生任公司董事、总裁职务，其持有公司股权激励限售股</w:t>
      </w:r>
      <w:r>
        <w:rPr>
          <w:rFonts w:ascii="Times New Roman" w:eastAsia="Times New Roman" w:hAnsi="Times New Roman" w:cs="Times New Roman"/>
          <w:color w:val="000000"/>
          <w:spacing w:val="0"/>
          <w:w w:val="100"/>
          <w:position w:val="0"/>
        </w:rPr>
        <w:t>1000000</w:t>
      </w:r>
      <w:r>
        <w:rPr>
          <w:color w:val="000000"/>
          <w:spacing w:val="0"/>
          <w:w w:val="100"/>
          <w:position w:val="0"/>
        </w:rPr>
        <w:t>股已填写在总裁一行，因此本表中其任职董事职 务一行中不再重复填写其持股数量。</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4144645</wp:posOffset>
              </wp:positionH>
              <wp:positionV relativeFrom="page">
                <wp:posOffset>478790</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6.35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623570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950000000000003pt;margin-top:49.1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4152265</wp:posOffset>
              </wp:positionH>
              <wp:positionV relativeFrom="page">
                <wp:posOffset>547370</wp:posOffset>
              </wp:positionV>
              <wp:extent cx="2673350" cy="106680"/>
              <wp:wrapNone/>
              <wp:docPr id="44" name="Shape 4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326.94999999999999pt;margin-top:43.100000000000001pt;width:210.5pt;height:8.4000000000000004pt;z-index:-1887440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0135" cy="0"/>
              <wp:wrapNone/>
              <wp:docPr id="46" name="Shape 4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7099300</wp:posOffset>
              </wp:positionH>
              <wp:positionV relativeFrom="page">
                <wp:posOffset>558165</wp:posOffset>
              </wp:positionV>
              <wp:extent cx="2673350" cy="106680"/>
              <wp:wrapNone/>
              <wp:docPr id="49" name="Shape 4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559.pt;margin-top:43.950000000000003pt;width:210.5pt;height:8.4000000000000004pt;z-index:-1887440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51" name="Shape 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4152265</wp:posOffset>
              </wp:positionH>
              <wp:positionV relativeFrom="page">
                <wp:posOffset>547370</wp:posOffset>
              </wp:positionV>
              <wp:extent cx="2673350" cy="106680"/>
              <wp:wrapNone/>
              <wp:docPr id="53" name="Shape 5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326.94999999999999pt;margin-top:43.100000000000001pt;width:210.5pt;height:8.4000000000000004pt;z-index:-1887440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0135" cy="0"/>
              <wp:wrapNone/>
              <wp:docPr id="55" name="Shape 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4121150</wp:posOffset>
              </wp:positionH>
              <wp:positionV relativeFrom="page">
                <wp:posOffset>561340</wp:posOffset>
              </wp:positionV>
              <wp:extent cx="2673350" cy="106680"/>
              <wp:wrapNone/>
              <wp:docPr id="68" name="Shape 6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324.5pt;margin-top:44.200000000000003pt;width:210.5pt;height:8.4000000000000004pt;z-index:-1887440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0135" cy="0"/>
              <wp:wrapNone/>
              <wp:docPr id="70" name="Shape 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7080885</wp:posOffset>
              </wp:positionH>
              <wp:positionV relativeFrom="page">
                <wp:posOffset>556895</wp:posOffset>
              </wp:positionV>
              <wp:extent cx="2673350" cy="106680"/>
              <wp:wrapNone/>
              <wp:docPr id="73" name="Shape 7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557.55000000000007pt;margin-top:43.850000000000001pt;width:210.5pt;height:8.4000000000000004pt;z-index:-1887440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875030</wp:posOffset>
              </wp:positionH>
              <wp:positionV relativeFrom="page">
                <wp:posOffset>704215</wp:posOffset>
              </wp:positionV>
              <wp:extent cx="8906510" cy="0"/>
              <wp:wrapNone/>
              <wp:docPr id="75" name="Shape 7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900000000000006pt;margin-top:55.450000000000003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4135755</wp:posOffset>
              </wp:positionH>
              <wp:positionV relativeFrom="page">
                <wp:posOffset>561340</wp:posOffset>
              </wp:positionV>
              <wp:extent cx="2673350" cy="106680"/>
              <wp:wrapNone/>
              <wp:docPr id="79" name="Shape 7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325.65000000000003pt;margin-top:44.200000000000003pt;width:210.5pt;height:8.4000000000000004pt;z-index:-1887440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706120</wp:posOffset>
              </wp:positionV>
              <wp:extent cx="6160135" cy="0"/>
              <wp:wrapNone/>
              <wp:docPr id="81" name="Shape 8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25pt;margin-top:55.600000000000001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7099300</wp:posOffset>
              </wp:positionH>
              <wp:positionV relativeFrom="page">
                <wp:posOffset>558165</wp:posOffset>
              </wp:positionV>
              <wp:extent cx="2673350" cy="106680"/>
              <wp:wrapNone/>
              <wp:docPr id="84" name="Shape 8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0" type="#_x0000_t202" style="position:absolute;margin-left:559.pt;margin-top:43.950000000000003pt;width:210.5pt;height:8.4000000000000004pt;z-index:-1887440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86" name="Shape 8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4123690</wp:posOffset>
              </wp:positionH>
              <wp:positionV relativeFrom="page">
                <wp:posOffset>549910</wp:posOffset>
              </wp:positionV>
              <wp:extent cx="2673350" cy="106680"/>
              <wp:wrapNone/>
              <wp:docPr id="89" name="Shape 8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324.69999999999999pt;margin-top:43.300000000000004pt;width:210.5pt;height:8.4000000000000004pt;z-index:-1887440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706120</wp:posOffset>
              </wp:positionV>
              <wp:extent cx="6160135" cy="0"/>
              <wp:wrapNone/>
              <wp:docPr id="91" name="Shape 9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300000000000004pt;margin-top:55.600000000000001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4157980</wp:posOffset>
              </wp:positionH>
              <wp:positionV relativeFrom="page">
                <wp:posOffset>561340</wp:posOffset>
              </wp:positionV>
              <wp:extent cx="2673350" cy="106680"/>
              <wp:wrapNone/>
              <wp:docPr id="94" name="Shape 9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327.40000000000003pt;margin-top:44.200000000000003pt;width:210.5pt;height:8.4000000000000004pt;z-index:-1887439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96" name="Shape 9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4123690</wp:posOffset>
              </wp:positionH>
              <wp:positionV relativeFrom="page">
                <wp:posOffset>549910</wp:posOffset>
              </wp:positionV>
              <wp:extent cx="2673350" cy="106680"/>
              <wp:wrapNone/>
              <wp:docPr id="97" name="Shape 9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3" type="#_x0000_t202" style="position:absolute;margin-left:324.69999999999999pt;margin-top:43.300000000000004pt;width:210.5pt;height:8.4000000000000004pt;z-index:-1887439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706120</wp:posOffset>
              </wp:positionV>
              <wp:extent cx="6160135" cy="0"/>
              <wp:wrapNone/>
              <wp:docPr id="99" name="Shape 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300000000000004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4133850</wp:posOffset>
              </wp:positionH>
              <wp:positionV relativeFrom="page">
                <wp:posOffset>548005</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25.5pt;margin-top:43.149999999999999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710565</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100000000000001pt;margin-top:55.95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7099300</wp:posOffset>
              </wp:positionH>
              <wp:positionV relativeFrom="page">
                <wp:posOffset>556260</wp:posOffset>
              </wp:positionV>
              <wp:extent cx="2673350" cy="106680"/>
              <wp:wrapNone/>
              <wp:docPr id="12" name="Shape 1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8" type="#_x0000_t202" style="position:absolute;margin-left:559.pt;margin-top:43.800000000000004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702310</wp:posOffset>
              </wp:positionV>
              <wp:extent cx="8906510" cy="0"/>
              <wp:wrapNone/>
              <wp:docPr id="14" name="Shape 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00000000000004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4133850</wp:posOffset>
              </wp:positionH>
              <wp:positionV relativeFrom="page">
                <wp:posOffset>548005</wp:posOffset>
              </wp:positionV>
              <wp:extent cx="2673350" cy="106680"/>
              <wp:wrapNone/>
              <wp:docPr id="17" name="Shape 1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3" type="#_x0000_t202" style="position:absolute;margin-left:325.5pt;margin-top:43.149999999999999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神州数码信息服务股份有限公司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710565</wp:posOffset>
              </wp:positionV>
              <wp:extent cx="6160135" cy="0"/>
              <wp:wrapNone/>
              <wp:docPr id="19" name="Shape 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100000000000001pt;margin-top:55.95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7099300</wp:posOffset>
              </wp:positionH>
              <wp:positionV relativeFrom="page">
                <wp:posOffset>543560</wp:posOffset>
              </wp:positionV>
              <wp:extent cx="2673350" cy="106680"/>
              <wp:wrapNone/>
              <wp:docPr id="22" name="Shape 2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559.pt;margin-top:42.800000000000004pt;width:210.5pt;height:8.4000000000000004pt;z-index:-1887440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689610</wp:posOffset>
              </wp:positionV>
              <wp:extent cx="8906510" cy="0"/>
              <wp:wrapNone/>
              <wp:docPr id="24" name="Shape 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300000000000004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7099300</wp:posOffset>
              </wp:positionH>
              <wp:positionV relativeFrom="page">
                <wp:posOffset>543560</wp:posOffset>
              </wp:positionV>
              <wp:extent cx="2673350" cy="106680"/>
              <wp:wrapNone/>
              <wp:docPr id="29" name="Shape 2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559.pt;margin-top:42.800000000000004pt;width:210.5pt;height:8.4000000000000004pt;z-index:-1887440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689610</wp:posOffset>
              </wp:positionV>
              <wp:extent cx="8906510" cy="0"/>
              <wp:wrapNone/>
              <wp:docPr id="31" name="Shape 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300000000000004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4152265</wp:posOffset>
              </wp:positionH>
              <wp:positionV relativeFrom="page">
                <wp:posOffset>547370</wp:posOffset>
              </wp:positionV>
              <wp:extent cx="2673350" cy="106680"/>
              <wp:wrapNone/>
              <wp:docPr id="34" name="Shape 3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326.94999999999999pt;margin-top:43.100000000000001pt;width:210.5pt;height:8.4000000000000004pt;z-index:-1887440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0135" cy="0"/>
              <wp:wrapNone/>
              <wp:docPr id="36" name="Shape 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7099300</wp:posOffset>
              </wp:positionH>
              <wp:positionV relativeFrom="page">
                <wp:posOffset>543560</wp:posOffset>
              </wp:positionV>
              <wp:extent cx="2673350" cy="106680"/>
              <wp:wrapNone/>
              <wp:docPr id="39" name="Shape 3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559.pt;margin-top:42.800000000000004pt;width:210.5pt;height:8.4000000000000004pt;z-index:-1887440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689610</wp:posOffset>
              </wp:positionV>
              <wp:extent cx="8906510" cy="0"/>
              <wp:wrapNone/>
              <wp:docPr id="41" name="Shape 4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300000000000004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正文文本 (4)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5)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正文文本 (3)_"/>
    <w:basedOn w:val="DefaultParagraphFont"/>
    <w:link w:val="Style24"/>
    <w:rPr>
      <w:rFonts w:ascii="SimSun" w:eastAsia="SimSun" w:hAnsi="SimSun" w:cs="SimSun"/>
      <w:b/>
      <w:bCs/>
      <w:i w:val="0"/>
      <w:iCs w:val="0"/>
      <w:smallCaps w:val="0"/>
      <w:strike w:val="0"/>
      <w:sz w:val="28"/>
      <w:szCs w:val="28"/>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目录_"/>
    <w:basedOn w:val="DefaultParagraphFont"/>
    <w:link w:val="Style31"/>
    <w:rPr>
      <w:rFonts w:ascii="SimSun" w:eastAsia="SimSun" w:hAnsi="SimSun" w:cs="SimSun"/>
      <w:b w:val="0"/>
      <w:bCs w:val="0"/>
      <w:i w:val="0"/>
      <w:iCs w:val="0"/>
      <w:smallCaps w:val="0"/>
      <w:strike w:val="0"/>
      <w:sz w:val="28"/>
      <w:szCs w:val="28"/>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18"/>
      <w:szCs w:val="18"/>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正文文本 (8)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脚注"/>
    <w:basedOn w:val="Normal"/>
    <w:link w:val="CharStyle3"/>
    <w:pPr>
      <w:widowControl w:val="0"/>
      <w:shd w:val="clear" w:color="auto" w:fill="auto"/>
      <w:spacing w:line="235"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102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2">
    <w:name w:val="正文文本 (4)"/>
    <w:basedOn w:val="Normal"/>
    <w:link w:val="CharStyle13"/>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5)"/>
    <w:basedOn w:val="Normal"/>
    <w:link w:val="CharStyle16"/>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2"/>
    <w:basedOn w:val="Normal"/>
    <w:link w:val="CharStyle19"/>
    <w:pPr>
      <w:widowControl w:val="0"/>
      <w:shd w:val="clear" w:color="auto" w:fill="auto"/>
      <w:spacing w:before="50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40" w:line="409"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正文文本 (3)"/>
    <w:basedOn w:val="Normal"/>
    <w:link w:val="CharStyle25"/>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其他"/>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目录"/>
    <w:basedOn w:val="Normal"/>
    <w:link w:val="CharStyle32"/>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35">
    <w:name w:val="标题 #3"/>
    <w:basedOn w:val="Normal"/>
    <w:link w:val="CharStyle36"/>
    <w:pPr>
      <w:widowControl w:val="0"/>
      <w:shd w:val="clear" w:color="auto" w:fill="auto"/>
      <w:spacing w:after="350"/>
      <w:outlineLvl w:val="2"/>
    </w:pPr>
    <w:rPr>
      <w:rFonts w:ascii="SimSun" w:eastAsia="SimSun" w:hAnsi="SimSun" w:cs="SimSun"/>
      <w:b/>
      <w:bCs/>
      <w:i w:val="0"/>
      <w:iCs w:val="0"/>
      <w:smallCaps w:val="0"/>
      <w:strike w:val="0"/>
      <w:u w:val="none"/>
      <w:shd w:val="clear" w:color="auto" w:fill="auto"/>
    </w:rPr>
  </w:style>
  <w:style w:type="paragraph" w:customStyle="1" w:styleId="Style37">
    <w:name w:val="正文文本"/>
    <w:basedOn w:val="Normal"/>
    <w:link w:val="CharStyle38"/>
    <w:pPr>
      <w:widowControl w:val="0"/>
      <w:shd w:val="clear" w:color="auto" w:fill="auto"/>
      <w:spacing w:after="100"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41">
    <w:name w:val="标题 #4"/>
    <w:basedOn w:val="Normal"/>
    <w:link w:val="CharStyle4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正文文本 (8)"/>
    <w:basedOn w:val="Normal"/>
    <w:link w:val="CharStyle65"/>
    <w:pPr>
      <w:widowControl w:val="0"/>
      <w:shd w:val="clear" w:color="auto" w:fill="auto"/>
      <w:spacing w:after="120" w:line="293"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image" Target="media/image2.jpeg"/><Relationship Id="rId30" Type="http://schemas.openxmlformats.org/officeDocument/2006/relationships/image" Target="media/image2.jpeg" TargetMode="Externa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image" Target="media/image3.jpeg"/><Relationship Id="rId38" Type="http://schemas.openxmlformats.org/officeDocument/2006/relationships/image" Target="media/image3.jpeg" TargetMode="Externa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s>
</file>

<file path=docProps/core.xml><?xml version="1.0" encoding="utf-8"?>
<cp:coreProperties xmlns:cp="http://schemas.openxmlformats.org/package/2006/metadata/core-properties" xmlns:dc="http://purl.org/dc/elements/1.1/">
  <dc:title>神州数码信息服务股份有限公司2020年年度报告全文</dc:title>
  <dc:subject/>
  <dc:creator>神州数码信息服务股份有限公司</dc:creator>
  <cp:keywords/>
</cp:coreProperties>
</file>