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384" w:right="2382" w:firstLine="0"/>
        <w:jc w:val="center"/>
        <w:rPr>
          <w:rFonts w:ascii="宋体" w:hAnsi="宋体" w:cs="宋体" w:eastAsia="宋体" w:hint="default"/>
          <w:sz w:val="36"/>
          <w:szCs w:val="36"/>
        </w:rPr>
      </w:pPr>
      <w:r>
        <w:rPr/>
        <w:pict>
          <v:group style="position:absolute;margin-left:56.700001pt;margin-top:-84.896545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2pt" strokecolor="#000000">
              <v:path arrowok="t"/>
            </v:shape>
            <w10:wrap type="none"/>
          </v:group>
        </w:pict>
      </w:r>
      <w:r>
        <w:rPr>
          <w:rFonts w:ascii="宋体" w:hAnsi="宋体" w:cs="宋体" w:eastAsia="宋体" w:hint="default"/>
          <w:b/>
          <w:bCs/>
          <w:sz w:val="36"/>
          <w:szCs w:val="36"/>
        </w:rPr>
        <w:t>神州易桥信息服务股份有限公司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0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公司负责人彭聪、主管会计工作负责人黄海勇及会计机构负责人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任峰声明：保证年度报告中财务报告的真实、准确、完整。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本报告中所涉及的未来计划、发展战略等前瞻性描述不构成公司对投资者</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12" w:right="10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z w:val="28"/>
          <w:szCs w:val="28"/>
        </w:rPr>
        <w:t>中描述了公司经营中可能存在的风险及应对措施，敬请投资者关注相关内容。</w:t>
      </w:r>
      <w:r>
        <w:rPr>
          <w:rFonts w:ascii="宋体" w:hAnsi="宋体" w:cs="宋体" w:eastAsia="宋体" w:hint="default"/>
          <w:sz w:val="28"/>
          <w:szCs w:val="28"/>
        </w:rPr>
      </w:r>
    </w:p>
    <w:p>
      <w:pPr>
        <w:spacing w:before="187"/>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382" w:right="238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41" w:val="right" w:leader="dot"/>
            </w:tabs>
            <w:spacing w:line="240" w:lineRule="auto" w:before="0"/>
            <w:ind w:right="0"/>
            <w:jc w:val="left"/>
            <w:rPr>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t>2</w:t>
            </w:r>
            <w:r>
              <w:rPr>
                <w:b w:val="0"/>
                <w:bCs w:val="0"/>
              </w:rPr>
            </w:r>
          </w:hyperlink>
        </w:p>
        <w:p>
          <w:pPr>
            <w:pStyle w:val="TOC1"/>
            <w:tabs>
              <w:tab w:pos="9741" w:val="right" w:leader="dot"/>
            </w:tabs>
            <w:spacing w:line="240" w:lineRule="auto"/>
            <w:ind w:right="0"/>
            <w:jc w:val="left"/>
            <w:rPr>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t>5</w:t>
            </w:r>
            <w:r>
              <w:rPr>
                <w:b w:val="0"/>
                <w:bCs w:val="0"/>
              </w:rPr>
            </w:r>
          </w:hyperlink>
        </w:p>
        <w:p>
          <w:pPr>
            <w:pStyle w:val="TOC1"/>
            <w:tabs>
              <w:tab w:pos="9741" w:val="right" w:leader="dot"/>
            </w:tabs>
            <w:spacing w:line="240" w:lineRule="auto"/>
            <w:ind w:right="0"/>
            <w:jc w:val="left"/>
            <w:rPr>
              <w:b w:val="0"/>
              <w:bCs w:val="0"/>
            </w:rPr>
          </w:pPr>
          <w:hyperlink w:history="true" w:anchor="_bookmark2">
            <w:r>
              <w:rPr/>
              <w:t>第三节 公司业务概要</w:t>
            </w:r>
            <w:r>
              <w:rPr>
                <w:rFonts w:ascii="Times New Roman" w:hAnsi="Times New Roman" w:cs="Times New Roman" w:eastAsia="Times New Roman" w:hint="default"/>
                <w:b w:val="0"/>
                <w:bCs w:val="0"/>
              </w:rPr>
              <w:tab/>
            </w:r>
            <w:r>
              <w:rPr/>
              <w:t>9</w:t>
            </w:r>
            <w:r>
              <w:rPr>
                <w:b w:val="0"/>
                <w:bCs w:val="0"/>
              </w:rPr>
            </w:r>
          </w:hyperlink>
        </w:p>
        <w:p>
          <w:pPr>
            <w:pStyle w:val="TOC1"/>
            <w:tabs>
              <w:tab w:pos="9741" w:val="right" w:leader="dot"/>
            </w:tabs>
            <w:spacing w:line="240" w:lineRule="auto"/>
            <w:ind w:right="0"/>
            <w:jc w:val="left"/>
            <w:rPr>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t>11</w:t>
            </w:r>
            <w:r>
              <w:rPr>
                <w:b w:val="0"/>
                <w:bCs w:val="0"/>
              </w:rPr>
            </w:r>
          </w:hyperlink>
        </w:p>
        <w:p>
          <w:pPr>
            <w:pStyle w:val="TOC1"/>
            <w:tabs>
              <w:tab w:pos="9743" w:val="right" w:leader="dot"/>
            </w:tabs>
            <w:spacing w:line="240" w:lineRule="auto"/>
            <w:ind w:right="0"/>
            <w:jc w:val="left"/>
            <w:rPr>
              <w:b w:val="0"/>
              <w:bCs w:val="0"/>
            </w:rPr>
          </w:pPr>
          <w:hyperlink w:history="true" w:anchor="_bookmark4">
            <w:r>
              <w:rPr/>
              <w:t>第五节 重要事项</w:t>
            </w:r>
            <w:r>
              <w:rPr>
                <w:rFonts w:ascii="Times New Roman" w:hAnsi="Times New Roman" w:cs="Times New Roman" w:eastAsia="Times New Roman" w:hint="default"/>
                <w:b w:val="0"/>
                <w:bCs w:val="0"/>
              </w:rPr>
              <w:tab/>
            </w:r>
            <w:r>
              <w:rPr/>
              <w:t>28</w:t>
            </w:r>
            <w:r>
              <w:rPr>
                <w:b w:val="0"/>
                <w:bCs w:val="0"/>
              </w:rPr>
            </w:r>
          </w:hyperlink>
        </w:p>
        <w:p>
          <w:pPr>
            <w:pStyle w:val="TOC1"/>
            <w:tabs>
              <w:tab w:pos="9741" w:val="right" w:leader="dot"/>
            </w:tabs>
            <w:spacing w:line="240" w:lineRule="auto"/>
            <w:ind w:right="0"/>
            <w:jc w:val="left"/>
            <w:rPr>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t>46</w:t>
            </w:r>
            <w:r>
              <w:rPr>
                <w:b w:val="0"/>
                <w:bCs w:val="0"/>
              </w:rPr>
            </w:r>
          </w:hyperlink>
        </w:p>
        <w:p>
          <w:pPr>
            <w:pStyle w:val="TOC1"/>
            <w:tabs>
              <w:tab w:pos="9741" w:val="right" w:leader="dot"/>
            </w:tabs>
            <w:spacing w:line="240" w:lineRule="auto"/>
            <w:ind w:right="0"/>
            <w:jc w:val="left"/>
            <w:rPr>
              <w:b w:val="0"/>
              <w:bCs w:val="0"/>
            </w:rPr>
          </w:pPr>
          <w:hyperlink w:history="true" w:anchor="_bookmark6">
            <w:r>
              <w:rPr/>
              <w:t>第七节 优先股相关情况</w:t>
            </w:r>
            <w:r>
              <w:rPr>
                <w:rFonts w:ascii="Times New Roman" w:hAnsi="Times New Roman" w:cs="Times New Roman" w:eastAsia="Times New Roman" w:hint="default"/>
                <w:b w:val="0"/>
                <w:bCs w:val="0"/>
              </w:rPr>
              <w:tab/>
            </w:r>
            <w:r>
              <w:rPr/>
              <w:t>52</w:t>
            </w:r>
            <w:r>
              <w:rPr>
                <w:b w:val="0"/>
                <w:bCs w:val="0"/>
              </w:rPr>
            </w:r>
          </w:hyperlink>
        </w:p>
        <w:p>
          <w:pPr>
            <w:pStyle w:val="TOC1"/>
            <w:tabs>
              <w:tab w:pos="9741" w:val="right" w:leader="dot"/>
            </w:tabs>
            <w:spacing w:line="240" w:lineRule="auto"/>
            <w:ind w:right="0"/>
            <w:jc w:val="left"/>
            <w:rPr>
              <w:b w:val="0"/>
              <w:bCs w:val="0"/>
            </w:rPr>
          </w:pPr>
          <w:hyperlink w:history="true" w:anchor="_bookmark7">
            <w:r>
              <w:rPr/>
              <w:t>第八节 董事、监事、高级管理人员和员工情况</w:t>
            </w:r>
            <w:r>
              <w:rPr>
                <w:rFonts w:ascii="Times New Roman" w:hAnsi="Times New Roman" w:cs="Times New Roman" w:eastAsia="Times New Roman" w:hint="default"/>
                <w:b w:val="0"/>
                <w:bCs w:val="0"/>
              </w:rPr>
              <w:tab/>
            </w:r>
            <w:r>
              <w:rPr/>
              <w:t>53</w:t>
            </w:r>
            <w:r>
              <w:rPr>
                <w:b w:val="0"/>
                <w:bCs w:val="0"/>
              </w:rPr>
            </w:r>
          </w:hyperlink>
        </w:p>
        <w:p>
          <w:pPr>
            <w:pStyle w:val="TOC1"/>
            <w:tabs>
              <w:tab w:pos="9743" w:val="right" w:leader="dot"/>
            </w:tabs>
            <w:spacing w:line="240" w:lineRule="auto"/>
            <w:ind w:right="0"/>
            <w:jc w:val="left"/>
            <w:rPr>
              <w:b w:val="0"/>
              <w:bCs w:val="0"/>
            </w:rPr>
          </w:pPr>
          <w:hyperlink w:history="true" w:anchor="_bookmark8">
            <w:r>
              <w:rPr/>
              <w:t>第九节 公司治理</w:t>
            </w:r>
            <w:r>
              <w:rPr>
                <w:rFonts w:ascii="Times New Roman" w:hAnsi="Times New Roman" w:cs="Times New Roman" w:eastAsia="Times New Roman" w:hint="default"/>
                <w:b w:val="0"/>
                <w:bCs w:val="0"/>
              </w:rPr>
              <w:tab/>
            </w:r>
            <w:r>
              <w:rPr/>
              <w:t>58</w:t>
            </w:r>
            <w:r>
              <w:rPr>
                <w:b w:val="0"/>
                <w:bCs w:val="0"/>
              </w:rPr>
            </w:r>
          </w:hyperlink>
        </w:p>
        <w:p>
          <w:pPr>
            <w:pStyle w:val="TOC1"/>
            <w:tabs>
              <w:tab w:pos="9741" w:val="right" w:leader="dot"/>
            </w:tabs>
            <w:spacing w:line="240" w:lineRule="auto"/>
            <w:ind w:right="0"/>
            <w:jc w:val="left"/>
            <w:rPr>
              <w:b w:val="0"/>
              <w:bCs w:val="0"/>
            </w:rPr>
          </w:pPr>
          <w:hyperlink w:history="true" w:anchor="_bookmark9">
            <w:r>
              <w:rPr/>
              <w:t>第十节 公司债券相关情况</w:t>
            </w:r>
            <w:r>
              <w:rPr>
                <w:rFonts w:ascii="Times New Roman" w:hAnsi="Times New Roman" w:cs="Times New Roman" w:eastAsia="Times New Roman" w:hint="default"/>
                <w:b w:val="0"/>
                <w:bCs w:val="0"/>
              </w:rPr>
              <w:tab/>
            </w:r>
            <w:r>
              <w:rPr/>
              <w:t>63</w:t>
            </w:r>
            <w:r>
              <w:rPr>
                <w:b w:val="0"/>
                <w:bCs w:val="0"/>
              </w:rPr>
            </w:r>
          </w:hyperlink>
        </w:p>
        <w:p>
          <w:pPr>
            <w:pStyle w:val="TOC1"/>
            <w:tabs>
              <w:tab w:pos="9741" w:val="right" w:leader="dot"/>
            </w:tabs>
            <w:spacing w:line="240" w:lineRule="auto"/>
            <w:ind w:right="0"/>
            <w:jc w:val="left"/>
            <w:rPr>
              <w:b w:val="0"/>
              <w:bCs w:val="0"/>
            </w:rPr>
          </w:pPr>
          <w:hyperlink w:history="true" w:anchor="_bookmark10">
            <w:r>
              <w:rPr/>
              <w:t>第十一节 财务报告</w:t>
            </w:r>
            <w:r>
              <w:rPr>
                <w:rFonts w:ascii="Times New Roman" w:hAnsi="Times New Roman" w:cs="Times New Roman" w:eastAsia="Times New Roman" w:hint="default"/>
                <w:b w:val="0"/>
                <w:bCs w:val="0"/>
              </w:rPr>
              <w:tab/>
            </w:r>
            <w:r>
              <w:rPr/>
              <w:t>64</w:t>
            </w:r>
            <w:r>
              <w:rPr>
                <w:b w:val="0"/>
                <w:bCs w:val="0"/>
              </w:rPr>
            </w:r>
          </w:hyperlink>
        </w:p>
        <w:p>
          <w:pPr>
            <w:pStyle w:val="TOC1"/>
            <w:tabs>
              <w:tab w:pos="9741" w:val="right" w:leader="dot"/>
            </w:tabs>
            <w:spacing w:line="240" w:lineRule="auto"/>
            <w:ind w:right="0"/>
            <w:jc w:val="left"/>
            <w:rPr>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t>159</w:t>
            </w:r>
            <w:r>
              <w:rPr>
                <w:b w:val="0"/>
                <w:bCs w:val="0"/>
              </w:rPr>
            </w:r>
          </w:hyperlink>
        </w:p>
        <w:p>
          <w:pPr/>
          <w:r>
            <w:fldChar w:fldCharType="end"/>
          </w:r>
        </w:p>
      </w:sdtContent>
    </w:sdt>
    <w:p>
      <w:pPr>
        <w:spacing w:after="0"/>
        <w:sectPr>
          <w:pgSz w:w="11910" w:h="16840"/>
          <w:pgMar w:header="746" w:footer="978" w:top="1060" w:bottom="1160" w:left="1020" w:right="1020"/>
        </w:sectPr>
      </w:pPr>
    </w:p>
    <w:p>
      <w:pPr>
        <w:spacing w:before="947"/>
        <w:ind w:left="2382" w:right="238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公司、本公司、神州易桥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神州易桥信息服务股份有限公司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易桥财税科技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神州易桥（北京）财税科技有限公司（公司子公司）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企业管家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企业管家（北京）科技服务有限公司（公司子公司）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易桥快马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霍尔果斯易桥快马企业管理咨询有限公司（公司子公司之子公司）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快马财税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霍尔果斯快马财税管理服务有限公司（公司子公司的联营企业）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r>
        <w:rPr/>
        <w:pict>
          <v:shape style="position:absolute;margin-left:165pt;margin-top:272.600037pt;width:370.05pt;height:19.7pt;mso-position-horizontal-relative:page;mso-position-vertical-relative:page;z-index:-1014112"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71.050003pt;margin-top:272.600037pt;width:364pt;height:19.850pt;mso-position-horizontal-relative:page;mso-position-vertical-relative:page;z-index:-1014088" coordorigin="3421,5452" coordsize="7280,397">
            <v:shape style="position:absolute;left:3421;top:5452;width:7280;height:397" coordorigin="3421,5452" coordsize="7280,397" path="m3421,5452l10701,5452,10701,5849,3421,5849,3421,5452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神州易桥</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000606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神州易桥信息服务股份有限公司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神州易桥</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Shenzhou</w:t>
            </w:r>
            <w:r>
              <w:rPr>
                <w:rFonts w:ascii="Times New Roman"/>
                <w:spacing w:val="-15"/>
                <w:sz w:val="18"/>
              </w:rPr>
              <w:t> </w:t>
            </w:r>
            <w:r>
              <w:rPr>
                <w:rFonts w:ascii="Times New Roman"/>
                <w:sz w:val="18"/>
              </w:rPr>
              <w:t>Yiqiao</w:t>
            </w:r>
            <w:r>
              <w:rPr>
                <w:rFonts w:ascii="Times New Roman"/>
                <w:spacing w:val="-6"/>
                <w:sz w:val="18"/>
              </w:rPr>
              <w:t> </w:t>
            </w:r>
            <w:r>
              <w:rPr>
                <w:rFonts w:ascii="Times New Roman"/>
                <w:sz w:val="18"/>
              </w:rPr>
              <w:t>Information</w:t>
            </w:r>
            <w:r>
              <w:rPr>
                <w:rFonts w:ascii="Times New Roman"/>
                <w:spacing w:val="-6"/>
                <w:sz w:val="18"/>
              </w:rPr>
              <w:t> </w:t>
            </w:r>
            <w:r>
              <w:rPr>
                <w:rFonts w:ascii="Times New Roman"/>
                <w:sz w:val="18"/>
              </w:rPr>
              <w:t>Service</w:t>
            </w:r>
            <w:r>
              <w:rPr>
                <w:rFonts w:ascii="Times New Roman"/>
                <w:spacing w:val="-3"/>
                <w:sz w:val="18"/>
              </w:rPr>
              <w:t> </w:t>
            </w:r>
            <w:r>
              <w:rPr>
                <w:rFonts w:ascii="Times New Roman"/>
                <w:sz w:val="18"/>
              </w:rPr>
              <w:t>Co,</w:t>
            </w:r>
            <w:r>
              <w:rPr>
                <w:rFonts w:ascii="Times New Roman"/>
                <w:spacing w:val="-7"/>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Shenzhou</w:t>
            </w:r>
            <w:r>
              <w:rPr>
                <w:rFonts w:ascii="Times New Roman"/>
                <w:spacing w:val="-24"/>
                <w:sz w:val="18"/>
              </w:rPr>
              <w:t> </w:t>
            </w:r>
            <w:r>
              <w:rPr>
                <w:rFonts w:ascii="Times New Roman"/>
                <w:sz w:val="18"/>
              </w:rPr>
              <w:t>Yiqiao</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西宁市东兴路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810015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西宁市城西区五四西路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810008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8">
              <w:r>
                <w:rPr>
                  <w:rFonts w:ascii="Times New Roman"/>
                  <w:sz w:val="18"/>
                </w:rPr>
                <w:t>http://www.eqiao.com.cn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zhengq@my0606.com.cn</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寇永仓</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西宁市城西区五四西路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西宁市城西区五四西路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0971-8013495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0971-8013495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huaym@12366.com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kouyc@my0606.com.cn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号楼公司投资发展部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b/>
          <w:bCs/>
          <w:sz w:val="23"/>
          <w:szCs w:val="23"/>
        </w:rPr>
      </w:pPr>
    </w:p>
    <w:p>
      <w:pPr>
        <w:pStyle w:val="Heading2"/>
        <w:spacing w:line="240" w:lineRule="auto" w:before="26"/>
        <w:ind w:left="372"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369" w:type="dxa"/>
        <w:tblLayout w:type="fixed"/>
        <w:tblCellMar>
          <w:top w:w="0" w:type="dxa"/>
          <w:left w:w="0" w:type="dxa"/>
          <w:bottom w:w="0" w:type="dxa"/>
          <w:right w:w="0" w:type="dxa"/>
        </w:tblCellMar>
        <w:tblLook w:val="01E0"/>
      </w:tblPr>
      <w:tblGrid>
        <w:gridCol w:w="1560"/>
        <w:gridCol w:w="8079"/>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83"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w:t>
            </w:r>
          </w:p>
        </w:tc>
        <w:tc>
          <w:tcPr>
            <w:tcW w:w="80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月，公司完成重大资产重组发行股份购买资产事项，形成“企业互联网服务业务为主导，制</w:t>
            </w:r>
          </w:p>
        </w:tc>
      </w:tr>
      <w:tr>
        <w:trPr>
          <w:trHeight w:val="23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业务的变化情况</w:t>
            </w:r>
          </w:p>
        </w:tc>
        <w:tc>
          <w:tcPr>
            <w:tcW w:w="8079"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造业务为支撑”的双主业发展模式。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月，公司完成重大资产出售暨关联交易事项，公司主业</w:t>
            </w:r>
          </w:p>
        </w:tc>
      </w:tr>
      <w:tr>
        <w:trPr>
          <w:trHeight w:val="275"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7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以企业互联网服务业务为主的发展模式。</w:t>
            </w:r>
          </w:p>
        </w:tc>
      </w:tr>
      <w:tr>
        <w:trPr>
          <w:trHeight w:val="28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月，公司第一大股东变更为青海企业技术创新投资管理有限责任公司。</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年初，公司第一</w:t>
            </w:r>
          </w:p>
        </w:tc>
      </w:tr>
      <w:tr>
        <w:trPr>
          <w:trHeight w:val="69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108"/>
              <w:ind w:left="22" w:right="85"/>
              <w:jc w:val="left"/>
              <w:rPr>
                <w:rFonts w:ascii="宋体" w:hAnsi="宋体" w:cs="宋体" w:eastAsia="宋体" w:hint="default"/>
                <w:sz w:val="18"/>
                <w:szCs w:val="18"/>
              </w:rPr>
            </w:pPr>
            <w:r>
              <w:rPr>
                <w:rFonts w:ascii="宋体" w:hAnsi="宋体" w:cs="宋体" w:eastAsia="宋体" w:hint="default"/>
                <w:sz w:val="18"/>
                <w:szCs w:val="18"/>
              </w:rPr>
              <w:t>历次控股股东的变 更情况（如有）</w:t>
            </w:r>
          </w:p>
        </w:tc>
        <w:tc>
          <w:tcPr>
            <w:tcW w:w="807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大股东变更为天津泰达科技风险投资股份有限公</w:t>
            </w:r>
            <w:r>
              <w:rPr>
                <w:rFonts w:ascii="宋体" w:hAnsi="宋体" w:cs="宋体" w:eastAsia="宋体" w:hint="default"/>
                <w:spacing w:val="-84"/>
                <w:sz w:val="18"/>
                <w:szCs w:val="18"/>
              </w:rPr>
              <w:t>司</w:t>
            </w:r>
            <w:r>
              <w:rPr>
                <w:rFonts w:ascii="宋体" w:hAnsi="宋体" w:cs="宋体" w:eastAsia="宋体" w:hint="default"/>
                <w:spacing w:val="-3"/>
                <w:sz w:val="18"/>
                <w:szCs w:val="18"/>
              </w:rPr>
              <w:t>（</w:t>
            </w:r>
            <w:r>
              <w:rPr>
                <w:rFonts w:ascii="宋体" w:hAnsi="宋体" w:cs="宋体" w:eastAsia="宋体" w:hint="default"/>
                <w:sz w:val="18"/>
                <w:szCs w:val="18"/>
              </w:rPr>
              <w:t>后更名</w:t>
            </w:r>
            <w:r>
              <w:rPr>
                <w:rFonts w:ascii="宋体" w:hAnsi="宋体" w:cs="宋体" w:eastAsia="宋体" w:hint="default"/>
                <w:spacing w:val="-84"/>
                <w:sz w:val="18"/>
                <w:szCs w:val="18"/>
              </w:rPr>
              <w:t>为</w:t>
            </w:r>
            <w:r>
              <w:rPr>
                <w:rFonts w:ascii="宋体" w:hAnsi="宋体" w:cs="宋体" w:eastAsia="宋体" w:hint="default"/>
                <w:spacing w:val="-3"/>
                <w:sz w:val="18"/>
                <w:szCs w:val="18"/>
              </w:rPr>
              <w:t>“</w:t>
            </w:r>
            <w:r>
              <w:rPr>
                <w:rFonts w:ascii="宋体" w:hAnsi="宋体" w:cs="宋体" w:eastAsia="宋体" w:hint="default"/>
                <w:sz w:val="18"/>
                <w:szCs w:val="18"/>
              </w:rPr>
              <w:t>天津泰达科技投资股份有限公司</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日起变更为无实际控制人，天津泰达科技投资股份有限公司仍为第一大股东。</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日第一大股东变更为连良桂，由于与天津泰达科技投资股份有限公司为一致行动人，在无实际控制人情</w:t>
            </w:r>
          </w:p>
        </w:tc>
      </w:tr>
      <w:tr>
        <w:trPr>
          <w:trHeight w:val="279"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7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况下，仍由天津泰达科技投资股份有限公司行使控股股东权利和义务。</w:t>
            </w:r>
          </w:p>
        </w:tc>
      </w:tr>
    </w:tbl>
    <w:p>
      <w:pPr>
        <w:spacing w:line="240" w:lineRule="auto" w:before="1"/>
        <w:rPr>
          <w:rFonts w:ascii="宋体" w:hAnsi="宋体" w:cs="宋体" w:eastAsia="宋体" w:hint="default"/>
          <w:b/>
          <w:bCs/>
          <w:sz w:val="18"/>
          <w:szCs w:val="18"/>
        </w:rPr>
      </w:pPr>
    </w:p>
    <w:p>
      <w:pPr>
        <w:pStyle w:val="Heading2"/>
        <w:spacing w:line="240" w:lineRule="auto" w:before="26"/>
        <w:ind w:left="372"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72"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bl>
    <w:p>
      <w:pPr>
        <w:pStyle w:val="BodyText"/>
        <w:spacing w:line="240" w:lineRule="auto" w:before="50"/>
        <w:ind w:left="372" w:right="0"/>
        <w:jc w:val="left"/>
      </w:pPr>
      <w:r>
        <w:rPr/>
        <w:t>公司聘请的报告期内履行持续督导职责的保荐机构</w:t>
      </w:r>
    </w:p>
    <w:p>
      <w:pPr>
        <w:pStyle w:val="BodyText"/>
        <w:spacing w:line="340" w:lineRule="auto" w:before="117"/>
        <w:ind w:left="372" w:right="6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公司聘请的报告期内履行持续督导职责的财务顾问</w:t>
      </w:r>
    </w:p>
    <w:p>
      <w:pPr>
        <w:pStyle w:val="BodyText"/>
        <w:spacing w:line="240" w:lineRule="auto" w:before="39"/>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 丰铭国际大厦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樊灿宇、栾宏飞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18"/>
          <w:szCs w:val="18"/>
        </w:rPr>
      </w:pPr>
    </w:p>
    <w:p>
      <w:pPr>
        <w:pStyle w:val="Heading2"/>
        <w:spacing w:line="240" w:lineRule="auto" w:before="26"/>
        <w:ind w:left="372"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2" w:right="0"/>
        <w:jc w:val="left"/>
      </w:pPr>
      <w:r>
        <w:rPr/>
        <w:t>公司是否需追溯调整或重述以前年度会计数据</w:t>
      </w:r>
    </w:p>
    <w:p>
      <w:pPr>
        <w:pStyle w:val="BodyText"/>
        <w:spacing w:line="240" w:lineRule="auto" w:before="115"/>
        <w:ind w:left="3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678"/>
        <w:gridCol w:w="1490"/>
        <w:gridCol w:w="1418"/>
        <w:gridCol w:w="1134"/>
        <w:gridCol w:w="1417"/>
      </w:tblGrid>
      <w:tr>
        <w:trPr>
          <w:trHeight w:val="477"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pacing w:val="-1"/>
                <w:sz w:val="18"/>
              </w:rPr>
              <w:t>515,934,484.75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pacing w:val="-1"/>
                <w:sz w:val="18"/>
              </w:rPr>
              <w:t>411,857,725.46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25.27%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268,902,778.66</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64,215,586.67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45,818,308.29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40.15%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pacing w:val="-1"/>
                <w:sz w:val="18"/>
              </w:rPr>
              <w:t>-159,115,937.42</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pacing w:val="-1"/>
                <w:sz w:val="18"/>
              </w:rPr>
              <w:t>-112,158,537.52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23,462,864.90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18"/>
                <w:szCs w:val="18"/>
              </w:rPr>
            </w:pPr>
            <w:r>
              <w:rPr>
                <w:rFonts w:ascii="Times New Roman"/>
                <w:spacing w:val="-1"/>
                <w:sz w:val="18"/>
              </w:rPr>
              <w:t>-578.03%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8"/>
                <w:szCs w:val="18"/>
              </w:rPr>
            </w:pPr>
            <w:r>
              <w:rPr>
                <w:rFonts w:ascii="Times New Roman"/>
                <w:spacing w:val="-1"/>
                <w:sz w:val="18"/>
              </w:rPr>
              <w:t>-173,317,208.08</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pacing w:val="-1"/>
                <w:sz w:val="18"/>
              </w:rPr>
              <w:t>-30,910,947.64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22,037,147.38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18"/>
                <w:szCs w:val="18"/>
              </w:rPr>
            </w:pPr>
            <w:r>
              <w:rPr>
                <w:rFonts w:ascii="Times New Roman"/>
                <w:spacing w:val="-1"/>
                <w:sz w:val="18"/>
              </w:rPr>
              <w:t>-240.27%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20,568,531.28</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0.0839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0.0726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-0.3370</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0.0839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0.0726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-0.3370</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z w:val="18"/>
              </w:rPr>
              <w:t>2.27%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z w:val="18"/>
              </w:rPr>
              <w:t>2.63%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-0.36%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pacing w:val="-1"/>
                <w:sz w:val="18"/>
              </w:rPr>
              <w:t>-22.01%</w:t>
            </w:r>
          </w:p>
        </w:tc>
      </w:tr>
      <w:tr>
        <w:trPr>
          <w:trHeight w:val="477"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01" w:right="0" w:hanging="89"/>
              <w:jc w:val="left"/>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pacing w:val="-1"/>
                <w:sz w:val="18"/>
              </w:rPr>
              <w:t>3,838,043,648.14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3,129,740,346.81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pacing w:val="-1"/>
                <w:sz w:val="18"/>
              </w:rPr>
              <w:t>22.63%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1,013,412,084.02</w:t>
            </w:r>
          </w:p>
        </w:tc>
      </w:tr>
      <w:tr>
        <w:trPr>
          <w:trHeight w:val="35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
              <w:jc w:val="right"/>
              <w:rPr>
                <w:rFonts w:ascii="Times New Roman" w:hAnsi="Times New Roman" w:cs="Times New Roman" w:eastAsia="Times New Roman" w:hint="default"/>
                <w:sz w:val="18"/>
                <w:szCs w:val="18"/>
              </w:rPr>
            </w:pPr>
            <w:r>
              <w:rPr>
                <w:rFonts w:ascii="Times New Roman"/>
                <w:spacing w:val="-1"/>
                <w:sz w:val="18"/>
              </w:rPr>
              <w:t>2,745,459,301.11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2,791,818,367.84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18"/>
                <w:szCs w:val="18"/>
              </w:rPr>
            </w:pPr>
            <w:r>
              <w:rPr>
                <w:rFonts w:ascii="Times New Roman"/>
                <w:sz w:val="18"/>
              </w:rPr>
              <w:t>-1.66%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638,891,504.05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760" w:right="760"/>
        </w:sectPr>
      </w:pPr>
    </w:p>
    <w:p>
      <w:pPr>
        <w:spacing w:line="240" w:lineRule="auto" w:before="8"/>
        <w:rPr>
          <w:rFonts w:ascii="宋体" w:hAnsi="宋体" w:cs="宋体" w:eastAsia="宋体" w:hint="default"/>
          <w:sz w:val="23"/>
          <w:szCs w:val="23"/>
        </w:rPr>
      </w:pPr>
    </w:p>
    <w:p>
      <w:pPr>
        <w:pStyle w:val="Heading2"/>
        <w:spacing w:line="240" w:lineRule="auto" w:before="26"/>
        <w:ind w:left="172" w:right="40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72" w:right="40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72"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left="172" w:right="40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72" w:right="1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left="172" w:right="403"/>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2"/>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35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pacing w:val="-1"/>
                <w:sz w:val="18"/>
              </w:rPr>
              <w:t>82,758,706.52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142,910,127.66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pacing w:val="-1"/>
                <w:sz w:val="18"/>
              </w:rPr>
              <w:t>131,939,544.67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pacing w:val="-1"/>
                <w:sz w:val="18"/>
              </w:rPr>
              <w:t>158,326,105.90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-27,953,971.94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-10,560,702.97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-13,803,870.36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116,534,131.94</w:t>
            </w:r>
          </w:p>
        </w:tc>
      </w:tr>
      <w:tr>
        <w:trPr>
          <w:trHeight w:val="557"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-28,918,938.47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-18,623,121.25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-15,389,031.35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-49,227,446.45</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-73,582,211.65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-6,070,568.23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-33,375,645.83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82,117,478.07</w:t>
            </w:r>
          </w:p>
        </w:tc>
      </w:tr>
    </w:tbl>
    <w:p>
      <w:pPr>
        <w:pStyle w:val="BodyText"/>
        <w:spacing w:line="240" w:lineRule="auto" w:before="52"/>
        <w:ind w:left="172" w:right="403"/>
        <w:jc w:val="left"/>
      </w:pPr>
      <w:r>
        <w:rPr/>
        <w:t>上述财务指标或其加总数是否与公司已披露季度报告、半年度报告相关财务指标存在重大差异</w:t>
      </w:r>
    </w:p>
    <w:p>
      <w:pPr>
        <w:pStyle w:val="BodyText"/>
        <w:spacing w:line="240" w:lineRule="auto" w:before="115"/>
        <w:ind w:left="172" w:right="4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left="172" w:right="403"/>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72"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72"/>
        <w:jc w:val="right"/>
      </w:pPr>
      <w:r>
        <w:rPr/>
        <w:t>单位：元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5142"/>
        <w:gridCol w:w="1316"/>
        <w:gridCol w:w="1315"/>
        <w:gridCol w:w="1267"/>
        <w:gridCol w:w="713"/>
      </w:tblGrid>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31,020,911.35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-766,329.72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-15,965,986.29</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2"/>
                <w:sz w:val="18"/>
              </w:rPr>
              <w:t>3,515,119.40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2,326,260.48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1,292,032.82</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时应享有被投资单位可辨认净资产公允价值产生的收益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37,075,053.74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4,973,960.26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617,050.55</w:t>
            </w:r>
          </w:p>
        </w:tc>
        <w:tc>
          <w:tcPr>
            <w:tcW w:w="126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w:t>
            </w:r>
          </w:p>
          <w:p>
            <w:pPr>
              <w:pStyle w:val="TableParagraph"/>
              <w:spacing w:line="237" w:lineRule="auto"/>
              <w:ind w:left="23" w:right="67"/>
              <w:jc w:val="both"/>
              <w:rPr>
                <w:rFonts w:ascii="宋体" w:hAnsi="宋体" w:cs="宋体" w:eastAsia="宋体" w:hint="default"/>
                <w:sz w:val="18"/>
                <w:szCs w:val="18"/>
              </w:rPr>
            </w:pPr>
            <w:r>
              <w:rPr>
                <w:rFonts w:ascii="宋体" w:hAnsi="宋体" w:cs="宋体" w:eastAsia="宋体" w:hint="default"/>
                <w:sz w:val="18"/>
                <w:szCs w:val="18"/>
              </w:rPr>
              <w:t>金融资产、交易性金融负债产生的公允价值变动损益，以及处置 交易性金融资产、交易性金融负债和可供出售金融资产取得的投 资收益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110,272,632.38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10,943,364.01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87,343,720.72</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-10,026,448.05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8"/>
                <w:szCs w:val="18"/>
              </w:rPr>
            </w:pPr>
            <w:r>
              <w:rPr>
                <w:rFonts w:ascii="Times New Roman"/>
                <w:spacing w:val="-1"/>
                <w:sz w:val="18"/>
              </w:rPr>
              <w:t>-3,405,605.42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8"/>
                <w:szCs w:val="18"/>
              </w:rPr>
            </w:pPr>
            <w:r>
              <w:rPr>
                <w:rFonts w:ascii="Times New Roman"/>
                <w:spacing w:val="-1"/>
                <w:sz w:val="18"/>
              </w:rPr>
              <w:t>-5,544,812.98</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19,071,085.74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1,289,245.42</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190,096.48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1,973,733.45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21,948,884.74</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267,008.41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4,456,648.80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32,264,044.29</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176,374,124.19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22,355,443.39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14,201,270.66</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960" w:right="96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0" w:right="80"/>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106"/>
        <w:ind w:right="190" w:firstLine="480"/>
        <w:jc w:val="both"/>
      </w:pPr>
      <w:r>
        <w:rPr/>
        <w:t>企业互联网服务业务主要以“连锁化”和“互联网化”的O2O模式为中小微企业提供全程孵化、一站式综合服务。公 </w:t>
      </w:r>
      <w:r>
        <w:rPr>
          <w:spacing w:val="-2"/>
        </w:rPr>
        <w:t>司的“百城千店”计划，对企业形成贴身服务能力覆盖，提供从公司注册、财税、投融资等多项服务。同时充分发挥线上云</w:t>
      </w:r>
      <w:r>
        <w:rPr>
          <w:spacing w:val="-64"/>
        </w:rPr>
        <w:t> </w:t>
      </w:r>
      <w:r>
        <w:rPr>
          <w:spacing w:val="-64"/>
        </w:rPr>
      </w:r>
      <w:r>
        <w:rPr/>
        <w:t>端平台的协同共享功能，形成“线上+线下”的企业大数据生态体系，线上产品展示、实现沟通，线下落地服务的方式，解</w:t>
      </w:r>
      <w:r>
        <w:rPr>
          <w:spacing w:val="-84"/>
        </w:rPr>
        <w:t> </w:t>
      </w:r>
      <w:r>
        <w:rPr>
          <w:spacing w:val="-84"/>
        </w:rPr>
      </w:r>
      <w:r>
        <w:rPr>
          <w:spacing w:val="-2"/>
        </w:rPr>
        <w:t>决企业服务的最后一公里问题。公司目前处于快速扩张期，是行业内为数不多的主板上市企业，目前公司通过多种方式进行</w:t>
      </w:r>
      <w:r>
        <w:rPr>
          <w:spacing w:val="-63"/>
        </w:rPr>
        <w:t> </w:t>
      </w:r>
      <w:r>
        <w:rPr>
          <w:spacing w:val="-63"/>
        </w:rPr>
      </w:r>
      <w:r>
        <w:rPr/>
        <w:t>行业整合，塑造行业第一品牌。</w:t>
      </w:r>
    </w:p>
    <w:p>
      <w:pPr>
        <w:pStyle w:val="BodyText"/>
        <w:spacing w:line="316" w:lineRule="auto" w:before="139"/>
        <w:ind w:right="94" w:firstLine="480"/>
        <w:jc w:val="left"/>
      </w:pPr>
      <w:r>
        <w:rPr/>
        <w:t>制造业务为明胶系列产品、硬胶囊、胶原蛋白肠衣等产品的研发、生产和销售。报告期内，公司出售子公司青海明胶 </w:t>
      </w:r>
      <w:r>
        <w:rPr>
          <w:spacing w:val="-2"/>
        </w:rPr>
        <w:t>有限责任公司100%股权、青海明诺胶囊有限公司100%股权、广东明洋明胶有限责任公司67.03%股权、柳州市宏升胶原蛋白肠</w:t>
      </w:r>
      <w:r>
        <w:rPr>
          <w:spacing w:val="-56"/>
        </w:rPr>
        <w:t> </w:t>
      </w:r>
      <w:r>
        <w:rPr>
          <w:spacing w:val="-56"/>
        </w:rPr>
      </w:r>
      <w:r>
        <w:rPr/>
        <w:t>衣有限公司100%股权，公司通过本次交易剥离原有明胶、硬胶囊、胶原蛋白肠衣等业务，专注于发展企业互联网服务业务，</w:t>
      </w:r>
      <w:r>
        <w:rPr/>
        <w:t> 实现产业转型发展的战略。2017年12月，公司顺利完成重大资产出售暨关联交易事项。</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60"/>
        <w:gridCol w:w="8079"/>
      </w:tblGrid>
      <w:tr>
        <w:trPr>
          <w:trHeight w:val="3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41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2"/>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508.67%</w:t>
            </w:r>
            <w:r>
              <w:rPr>
                <w:rFonts w:ascii="宋体" w:hAnsi="宋体" w:cs="宋体" w:eastAsia="宋体" w:hint="default"/>
                <w:sz w:val="18"/>
                <w:szCs w:val="18"/>
              </w:rPr>
              <w:t>，主要是公司子公司企业管家并购易桥快马合并增加所致。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90.42%</w:t>
            </w:r>
            <w:r>
              <w:rPr>
                <w:rFonts w:ascii="宋体" w:hAnsi="宋体" w:cs="宋体" w:eastAsia="宋体" w:hint="default"/>
                <w:sz w:val="18"/>
                <w:szCs w:val="18"/>
              </w:rPr>
              <w:t>，主要是公司本期处置制造业板块子公司减少所致。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63.06%</w:t>
            </w:r>
            <w:r>
              <w:rPr>
                <w:rFonts w:ascii="宋体" w:hAnsi="宋体" w:cs="宋体" w:eastAsia="宋体" w:hint="default"/>
                <w:sz w:val="18"/>
                <w:szCs w:val="18"/>
              </w:rPr>
              <w:t>，主要是公司子公司企业管家部分项目结项转增所致。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，主要是公司本期处置制造业板块子公司减少所致。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40.33%</w:t>
            </w:r>
            <w:r>
              <w:rPr>
                <w:rFonts w:ascii="宋体" w:hAnsi="宋体" w:cs="宋体" w:eastAsia="宋体" w:hint="default"/>
                <w:sz w:val="18"/>
                <w:szCs w:val="18"/>
              </w:rPr>
              <w:t>，主要是公司本期处置制造业板块子公司减少所致。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61.63%</w:t>
            </w:r>
            <w:r>
              <w:rPr>
                <w:rFonts w:ascii="宋体" w:hAnsi="宋体" w:cs="宋体" w:eastAsia="宋体" w:hint="default"/>
                <w:sz w:val="18"/>
                <w:szCs w:val="18"/>
              </w:rPr>
              <w:t>，主要是公司子公司企业管家预付市场开拓费用所致。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564.46%</w:t>
            </w:r>
            <w:r>
              <w:rPr>
                <w:rFonts w:ascii="宋体" w:hAnsi="宋体" w:cs="宋体" w:eastAsia="宋体" w:hint="default"/>
                <w:sz w:val="18"/>
                <w:szCs w:val="18"/>
              </w:rPr>
              <w:t>，主要是公司子公司企业管家并购易桥快马合并增加所致。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98.99%</w:t>
            </w:r>
            <w:r>
              <w:rPr>
                <w:rFonts w:ascii="宋体" w:hAnsi="宋体" w:cs="宋体" w:eastAsia="宋体" w:hint="default"/>
                <w:sz w:val="18"/>
                <w:szCs w:val="18"/>
              </w:rPr>
              <w:t>，主要是公司本期处置制造业板块子公司减少所致。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131.06%</w:t>
            </w:r>
            <w:r>
              <w:rPr>
                <w:rFonts w:ascii="宋体" w:hAnsi="宋体" w:cs="宋体" w:eastAsia="宋体" w:hint="default"/>
                <w:sz w:val="18"/>
                <w:szCs w:val="18"/>
              </w:rPr>
              <w:t>，主要是公司利用闲置募集资金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亿元理财尚未到期所致。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75.95%</w:t>
            </w:r>
            <w:r>
              <w:rPr>
                <w:rFonts w:ascii="宋体" w:hAnsi="宋体" w:cs="宋体" w:eastAsia="宋体" w:hint="default"/>
                <w:sz w:val="18"/>
                <w:szCs w:val="18"/>
              </w:rPr>
              <w:t>，主要是公司本期减持其他上市公司股票所致。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本期较期初增加主要是公司购置办公楼物业增加。</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35.9%</w:t>
            </w:r>
            <w:r>
              <w:rPr>
                <w:rFonts w:ascii="宋体" w:hAnsi="宋体" w:cs="宋体" w:eastAsia="宋体" w:hint="default"/>
                <w:sz w:val="18"/>
                <w:szCs w:val="18"/>
              </w:rPr>
              <w:t>，主要是公司子公司企业管家部分项目结项减少所致。</w:t>
            </w:r>
          </w:p>
        </w:tc>
      </w:tr>
      <w:tr>
        <w:trPr>
          <w:trHeight w:val="47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本期较期初增加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75.63%</w:t>
            </w:r>
            <w:r>
              <w:rPr>
                <w:rFonts w:ascii="宋体" w:hAnsi="宋体" w:cs="宋体" w:eastAsia="宋体" w:hint="default"/>
                <w:sz w:val="18"/>
                <w:szCs w:val="18"/>
              </w:rPr>
              <w:t>，主要是公司子公司企业管家旗下易桥快马合并增加及易桥财税科技并购宁波</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神州开元会计服务有限公司增加所致。</w:t>
            </w:r>
          </w:p>
        </w:tc>
      </w:tr>
      <w:tr>
        <w:trPr>
          <w:trHeight w:val="47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85.72%</w:t>
            </w:r>
            <w:r>
              <w:rPr>
                <w:rFonts w:ascii="宋体" w:hAnsi="宋体" w:cs="宋体" w:eastAsia="宋体" w:hint="default"/>
                <w:sz w:val="18"/>
                <w:szCs w:val="18"/>
              </w:rPr>
              <w:t>，主要是公司本期处置制造业板块子公司形成亏损且预期未来没有足够可供抵</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扣的应纳所得税额，所以转销账面递延所得税资产所致。</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本期较期初减少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，主要是公司本期处置制造业板块子公司减少所致。</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10"/>
        <w:rPr>
          <w:rFonts w:ascii="宋体" w:hAnsi="宋体" w:cs="宋体" w:eastAsia="宋体" w:hint="default"/>
          <w:b/>
          <w:bCs/>
          <w:sz w:val="24"/>
          <w:szCs w:val="24"/>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106"/>
        <w:ind w:left="540" w:right="94"/>
        <w:jc w:val="left"/>
      </w:pPr>
      <w:r>
        <w:rPr/>
        <w:t>1、经营模式领先</w:t>
      </w:r>
    </w:p>
    <w:p>
      <w:pPr>
        <w:spacing w:line="240" w:lineRule="auto" w:before="0"/>
        <w:rPr>
          <w:rFonts w:ascii="宋体" w:hAnsi="宋体" w:cs="宋体" w:eastAsia="宋体" w:hint="default"/>
          <w:sz w:val="15"/>
          <w:szCs w:val="15"/>
        </w:rPr>
      </w:pPr>
    </w:p>
    <w:p>
      <w:pPr>
        <w:pStyle w:val="BodyText"/>
        <w:spacing w:line="316" w:lineRule="auto"/>
        <w:ind w:right="94" w:firstLine="427"/>
        <w:jc w:val="left"/>
      </w:pPr>
      <w:r>
        <w:rPr>
          <w:spacing w:val="-3"/>
        </w:rPr>
        <w:t>公司率先进行企业服务互联网化，旗下神州顺利办企业运营服务平台，通过“百城千店”计划以“圈地、囤人、赋能”</w:t>
      </w:r>
      <w:r>
        <w:rPr/>
        <w:t> </w:t>
      </w:r>
      <w:r>
        <w:rPr>
          <w:spacing w:val="-2"/>
        </w:rPr>
        <w:t>战略为中小微企业提供企业运营服务，自2016年4月开始，在线下布局数千家面向企业“最后一公里”的企业服务运营中心，</w:t>
      </w:r>
      <w:r>
        <w:rPr>
          <w:spacing w:val="-59"/>
        </w:rPr>
        <w:t> </w:t>
      </w:r>
      <w:r>
        <w:rPr>
          <w:spacing w:val="-59"/>
        </w:rPr>
      </w:r>
      <w:r>
        <w:rPr/>
        <w:t>将企业服务线上线下联动起来，使企业服务的标准化与规模化，并形成海量级企业大数据平台。</w:t>
      </w:r>
    </w:p>
    <w:p>
      <w:pPr>
        <w:pStyle w:val="BodyText"/>
        <w:spacing w:line="432" w:lineRule="exact" w:before="3"/>
        <w:ind w:left="540" w:right="94"/>
        <w:jc w:val="left"/>
      </w:pPr>
      <w:r>
        <w:rPr/>
        <w:t>2、产品经验丰富 公司深耕于企业服务多年，有丰富的产品开发、服务等优势。相比传统模式，神州顺利办打造的现代级企业服务平台</w:t>
      </w:r>
    </w:p>
    <w:p>
      <w:pPr>
        <w:pStyle w:val="BodyText"/>
        <w:spacing w:line="316" w:lineRule="auto" w:before="15"/>
        <w:ind w:right="190"/>
        <w:jc w:val="both"/>
      </w:pPr>
      <w:r>
        <w:rPr>
          <w:spacing w:val="-2"/>
        </w:rPr>
        <w:t>则更加规范化，服务也更加优质而多样化。通过业务平台化，顺利办为创业者提供注册公司、代理记账、申请商标、人事社</w:t>
      </w:r>
      <w:r>
        <w:rPr>
          <w:spacing w:val="-63"/>
        </w:rPr>
        <w:t> </w:t>
      </w:r>
      <w:r>
        <w:rPr>
          <w:spacing w:val="-63"/>
        </w:rPr>
      </w:r>
      <w:r>
        <w:rPr>
          <w:spacing w:val="-2"/>
        </w:rPr>
        <w:t>保、资质审批、空间服务、资本服务、金融服务等全生命周期一站式服务，满足企业发展过程中的标准化服务和定制化服务</w:t>
      </w:r>
      <w:r>
        <w:rPr>
          <w:spacing w:val="-63"/>
        </w:rPr>
        <w:t> </w:t>
      </w:r>
      <w:r>
        <w:rPr>
          <w:spacing w:val="-63"/>
        </w:rPr>
      </w:r>
      <w:r>
        <w:rPr/>
        <w:t>的全部需求。</w:t>
      </w:r>
    </w:p>
    <w:p>
      <w:pPr>
        <w:pStyle w:val="BodyText"/>
        <w:spacing w:line="432" w:lineRule="exact" w:before="3"/>
        <w:ind w:left="540" w:right="94"/>
        <w:jc w:val="left"/>
      </w:pPr>
      <w:r>
        <w:rPr/>
        <w:t>3、线下体系成熟 公司经过多年的行业积累、技术发展、服务经验，以线上线下联动模式，全面进行全国布局。在各地政府及企业的支</w:t>
      </w:r>
    </w:p>
    <w:p>
      <w:pPr>
        <w:pStyle w:val="BodyText"/>
        <w:spacing w:line="316" w:lineRule="auto" w:before="15"/>
        <w:ind w:right="189"/>
        <w:jc w:val="both"/>
      </w:pPr>
      <w:r>
        <w:rPr>
          <w:spacing w:val="-2"/>
        </w:rPr>
        <w:t>持下，目前业务快速覆盖31个省市，线下门店迅速扩张中，通过增员增利为门店、企业客户提供一站式全生命周期服务。增</w:t>
      </w:r>
      <w:r>
        <w:rPr>
          <w:spacing w:val="-61"/>
        </w:rPr>
        <w:t> </w:t>
      </w:r>
      <w:r>
        <w:rPr>
          <w:spacing w:val="-61"/>
        </w:rPr>
      </w:r>
      <w:r>
        <w:rPr>
          <w:spacing w:val="-2"/>
        </w:rPr>
        <w:t>员是通过品牌、增值产品、技术支撑的升级，整合更多的资源和人进入我们的体系；增利是把深度和广度打开，通过品牌升</w:t>
      </w:r>
      <w:r>
        <w:rPr>
          <w:spacing w:val="-63"/>
        </w:rPr>
        <w:t> </w:t>
      </w:r>
      <w:r>
        <w:rPr>
          <w:spacing w:val="-63"/>
        </w:rPr>
      </w:r>
      <w:r>
        <w:rPr/>
        <w:t>级来增强我们的获客能力。</w:t>
      </w:r>
    </w:p>
    <w:p>
      <w:pPr>
        <w:pStyle w:val="BodyText"/>
        <w:spacing w:line="432" w:lineRule="exact" w:before="3"/>
        <w:ind w:left="540" w:right="94"/>
        <w:jc w:val="left"/>
      </w:pPr>
      <w:r>
        <w:rPr/>
        <w:t>4、用户规模优势 公司发展至今，聚集了大量高粘度企业用户；公司通过合伙人加社会公众服务平台模式，迅速扩张服务网点，用户规</w:t>
      </w:r>
    </w:p>
    <w:p>
      <w:pPr>
        <w:pStyle w:val="BodyText"/>
        <w:spacing w:line="240" w:lineRule="auto" w:before="15"/>
        <w:ind w:right="0"/>
        <w:jc w:val="both"/>
      </w:pPr>
      <w:r>
        <w:rPr/>
        <w:t>模亦快速增长。</w:t>
      </w:r>
    </w:p>
    <w:p>
      <w:pPr>
        <w:pStyle w:val="BodyText"/>
        <w:spacing w:line="430" w:lineRule="atLeast" w:before="2"/>
        <w:ind w:left="540" w:right="94"/>
        <w:jc w:val="left"/>
      </w:pPr>
      <w:r>
        <w:rPr/>
        <w:t>5、人才团队优势 公司重视人才与团队建设，通过内部培养和外部吸收相结合的方式，储备了大量的管理、技术及服务人才，具备丰富</w:t>
      </w:r>
    </w:p>
    <w:p>
      <w:pPr>
        <w:pStyle w:val="BodyText"/>
        <w:spacing w:line="316" w:lineRule="auto" w:before="76"/>
        <w:ind w:right="190"/>
        <w:jc w:val="both"/>
      </w:pPr>
      <w:r>
        <w:rPr>
          <w:spacing w:val="-2"/>
        </w:rPr>
        <w:t>的行业经验和高度的策划实施能力，核心运营团队形成了高度协作默契，从而为业务的开展提供了强有力的支撑。通过长期</w:t>
      </w:r>
      <w:r>
        <w:rPr>
          <w:spacing w:val="-63"/>
        </w:rPr>
        <w:t> </w:t>
      </w:r>
      <w:r>
        <w:rPr>
          <w:spacing w:val="-63"/>
        </w:rPr>
      </w:r>
      <w:r>
        <w:rPr>
          <w:spacing w:val="-2"/>
        </w:rPr>
        <w:t>的沟通协作，公司为员工搭建了技术创新的良性互动平台，为持续开发新产品和拓展产业链奠定了坚实的基础，为公司的持</w:t>
      </w:r>
      <w:r>
        <w:rPr>
          <w:spacing w:val="-63"/>
        </w:rPr>
        <w:t> </w:t>
      </w:r>
      <w:r>
        <w:rPr>
          <w:spacing w:val="-63"/>
        </w:rPr>
      </w:r>
      <w:r>
        <w:rPr/>
        <w:t>续发展提供了强有力的人才保障。</w:t>
      </w:r>
    </w:p>
    <w:p>
      <w:pPr>
        <w:pStyle w:val="BodyText"/>
        <w:spacing w:line="432" w:lineRule="exact" w:before="3"/>
        <w:ind w:left="540" w:right="94"/>
        <w:jc w:val="left"/>
      </w:pPr>
      <w:r>
        <w:rPr/>
        <w:t>6、具备产品开发、市场化服务、业务开拓等综合服务能力 通过多年的财税服务，公司培养起一支强大的产品开发团队，深入了解企业在发展中的痛点及需求，在企业互联网服</w:t>
      </w:r>
    </w:p>
    <w:p>
      <w:pPr>
        <w:pStyle w:val="BodyText"/>
        <w:spacing w:line="316" w:lineRule="auto" w:before="15"/>
        <w:ind w:right="190"/>
        <w:jc w:val="both"/>
      </w:pPr>
      <w:r>
        <w:rPr>
          <w:spacing w:val="-2"/>
        </w:rPr>
        <w:t>务业务的推进中，发挥着强大的作用。在互联网技术的支撑下，公司以创新的商业模式、合伙人加平台化的方式，企业互联</w:t>
      </w:r>
      <w:r>
        <w:rPr>
          <w:spacing w:val="-63"/>
        </w:rPr>
        <w:t> </w:t>
      </w:r>
      <w:r>
        <w:rPr>
          <w:spacing w:val="-63"/>
        </w:rPr>
      </w:r>
      <w:r>
        <w:rPr>
          <w:spacing w:val="-2"/>
        </w:rPr>
        <w:t>网服务业务迅速展开。通过与市场的互动，精准掌握企业客户的可标准化和个性化服务的各种需求，通过市场推广传播、政</w:t>
      </w:r>
      <w:r>
        <w:rPr>
          <w:spacing w:val="-64"/>
        </w:rPr>
        <w:t> </w:t>
      </w:r>
      <w:r>
        <w:rPr>
          <w:spacing w:val="-64"/>
        </w:rPr>
      </w:r>
      <w:r>
        <w:rPr/>
        <w:t>府支持、政策扶持等，已形成与用户及资源良性互动的生态圈，具备卓越的综合服务能力。</w:t>
      </w:r>
    </w:p>
    <w:p>
      <w:pPr>
        <w:spacing w:after="0" w:line="316" w:lineRule="auto"/>
        <w:jc w:val="both"/>
        <w:sectPr>
          <w:footerReference w:type="default" r:id="rId13"/>
          <w:pgSz w:w="11910" w:h="16840"/>
          <w:pgMar w:footer="978" w:header="746" w:top="1060" w:bottom="1160" w:left="1020" w:right="94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94"/>
        <w:jc w:val="left"/>
        <w:rPr>
          <w:b w:val="0"/>
          <w:bCs w:val="0"/>
        </w:rPr>
      </w:pPr>
      <w:bookmarkStart w:name="_bookmark3" w:id="4"/>
      <w:bookmarkEnd w:id="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pStyle w:val="BodyText"/>
        <w:spacing w:line="430" w:lineRule="atLeast" w:before="152"/>
        <w:ind w:left="540" w:right="94"/>
        <w:jc w:val="left"/>
      </w:pPr>
      <w:r>
        <w:rPr/>
        <w:t>（一）行业发展特点 2017年是实施“十三五”规划的重要一年，是供给侧结构性改革的深化之年。这一年，供给侧改革、金融监管、地产</w:t>
      </w:r>
    </w:p>
    <w:p>
      <w:pPr>
        <w:pStyle w:val="BodyText"/>
        <w:spacing w:line="316" w:lineRule="auto" w:before="76"/>
        <w:ind w:right="190"/>
        <w:jc w:val="both"/>
      </w:pPr>
      <w:r>
        <w:rPr>
          <w:spacing w:val="-2"/>
        </w:rPr>
        <w:t>长效机制、财税改革等全面展开。改革的方向和经济发展模式的演变密不可分，也是因为旧经济发展模式到了不得不改变的</w:t>
      </w:r>
      <w:r>
        <w:rPr>
          <w:spacing w:val="-63"/>
        </w:rPr>
        <w:t> </w:t>
      </w:r>
      <w:r>
        <w:rPr>
          <w:spacing w:val="-63"/>
        </w:rPr>
      </w:r>
      <w:r>
        <w:rPr>
          <w:spacing w:val="-2"/>
        </w:rPr>
        <w:t>时候。面对世界经济复苏乏力的外部环境，面对我国经济发展进入新常态的一系列深刻变化，中国经济在“稳”的指导思想</w:t>
      </w:r>
      <w:r>
        <w:rPr>
          <w:spacing w:val="-63"/>
        </w:rPr>
        <w:t> </w:t>
      </w:r>
      <w:r>
        <w:rPr>
          <w:spacing w:val="-63"/>
        </w:rPr>
      </w:r>
      <w:r>
        <w:rPr/>
        <w:t>下，着力发展高质量经济、服务型经济、创新型经济等。电子商务、移动互联网全面融入国民经济、文化的各个领域，5G</w:t>
      </w:r>
      <w:r>
        <w:rPr>
          <w:spacing w:val="-8"/>
        </w:rPr>
        <w:t> </w:t>
      </w:r>
      <w:r>
        <w:rPr>
          <w:spacing w:val="-8"/>
        </w:rPr>
      </w:r>
      <w:r>
        <w:rPr/>
        <w:t>的加速推进，中国企业进入转型、创新、高速转换的新时代。</w:t>
      </w:r>
    </w:p>
    <w:p>
      <w:pPr>
        <w:pStyle w:val="BodyText"/>
        <w:spacing w:line="316" w:lineRule="auto" w:before="139"/>
        <w:ind w:right="190" w:firstLine="427"/>
        <w:jc w:val="both"/>
      </w:pPr>
      <w:r>
        <w:rPr/>
        <w:t>2017年，新设市场主体达到新高点，全国新设市场主体1924.9万户，同比增长16.6%，比上年提高5个百分点，平均每 天新设5.27万户，高于2016年的4.51万户。全年新设企业607.4万户，同比增长9.9%，平均每天新设1.66万户，高于2016年 </w:t>
      </w:r>
      <w:r>
        <w:rPr>
          <w:spacing w:val="-2"/>
        </w:rPr>
        <w:t>的1.51万户。截止2017年底，全国实有市场主体9814.8万户，其中，企业3033.7万户，个体工商户6579.4万户，农民专业合</w:t>
      </w:r>
      <w:r>
        <w:rPr>
          <w:spacing w:val="-50"/>
        </w:rPr>
        <w:t> </w:t>
      </w:r>
      <w:r>
        <w:rPr>
          <w:spacing w:val="-50"/>
        </w:rPr>
      </w:r>
      <w:r>
        <w:rPr/>
        <w:t>作社201.7万户，分别占30.9%、67.0%、2.1%。个人创业创新的热情以及商事制度改革、简政放权激发了市场的活力。企业</w:t>
      </w:r>
      <w:r>
        <w:rPr/>
        <w:t> 对企业服务的需求从标准化的基础服务到非标准化的个性服务，都表现出旺盛的需求。</w:t>
      </w:r>
    </w:p>
    <w:p>
      <w:pPr>
        <w:pStyle w:val="BodyText"/>
        <w:spacing w:line="439" w:lineRule="auto" w:before="139"/>
        <w:ind w:left="540" w:right="2636"/>
        <w:jc w:val="left"/>
      </w:pPr>
      <w:r>
        <w:rPr/>
        <w:t>（二）行业发展现状 1、全年企业注册数量超预期增长，传统企业寻求转型加速，企业服务需求增长加速。</w:t>
      </w:r>
    </w:p>
    <w:p>
      <w:pPr>
        <w:pStyle w:val="BodyText"/>
        <w:spacing w:line="316" w:lineRule="auto" w:before="47"/>
        <w:ind w:right="190" w:firstLine="427"/>
        <w:jc w:val="both"/>
      </w:pPr>
      <w:r>
        <w:rPr>
          <w:spacing w:val="-2"/>
        </w:rPr>
        <w:t>2、资本进入行业节奏加快，专业类公司和寻求转型类公司受到关注。目前处在发展初期，没有大范围实体网络体系支</w:t>
      </w:r>
      <w:r>
        <w:rPr/>
        <w:t> 撑，业务的广度、深度未突破瓶颈。</w:t>
      </w:r>
    </w:p>
    <w:p>
      <w:pPr>
        <w:pStyle w:val="BodyText"/>
        <w:spacing w:line="240" w:lineRule="auto" w:before="139"/>
        <w:ind w:left="540" w:right="94"/>
        <w:jc w:val="left"/>
      </w:pPr>
      <w:r>
        <w:rPr/>
        <w:t>3、仍存在大量小规模服务企业充斥市场，服务体验差、发展能力弱、业务单一、无法确保合规等是一直存在的问题。</w:t>
      </w:r>
    </w:p>
    <w:p>
      <w:pPr>
        <w:spacing w:line="240" w:lineRule="auto" w:before="0"/>
        <w:rPr>
          <w:rFonts w:ascii="宋体" w:hAnsi="宋体" w:cs="宋体" w:eastAsia="宋体" w:hint="default"/>
          <w:sz w:val="15"/>
          <w:szCs w:val="15"/>
        </w:rPr>
      </w:pPr>
    </w:p>
    <w:p>
      <w:pPr>
        <w:pStyle w:val="BodyText"/>
        <w:spacing w:line="240" w:lineRule="auto"/>
        <w:ind w:left="540" w:right="0"/>
        <w:jc w:val="left"/>
      </w:pPr>
      <w:r>
        <w:rPr>
          <w:spacing w:val="-3"/>
        </w:rPr>
        <w:t>4、市场提供的企业服务产品，品类、质量、反应速度、服务方式、覆盖范围无法满足现代企业发展所需，供需不匹配。</w:t>
      </w:r>
    </w:p>
    <w:p>
      <w:pPr>
        <w:spacing w:line="240" w:lineRule="auto" w:before="0"/>
        <w:rPr>
          <w:rFonts w:ascii="宋体" w:hAnsi="宋体" w:cs="宋体" w:eastAsia="宋体" w:hint="default"/>
          <w:sz w:val="15"/>
          <w:szCs w:val="15"/>
        </w:rPr>
      </w:pPr>
    </w:p>
    <w:p>
      <w:pPr>
        <w:pStyle w:val="BodyText"/>
        <w:spacing w:line="240" w:lineRule="auto"/>
        <w:ind w:left="540" w:right="94"/>
        <w:jc w:val="left"/>
      </w:pPr>
      <w:r>
        <w:rPr/>
        <w:t>5、业务标准不统一、操作不规范、行业法律法规仍有待完善，行业标准有待确立。</w:t>
      </w:r>
    </w:p>
    <w:p>
      <w:pPr>
        <w:pStyle w:val="BodyText"/>
        <w:spacing w:line="430" w:lineRule="atLeast" w:before="2"/>
        <w:ind w:left="540" w:right="94"/>
        <w:jc w:val="left"/>
      </w:pPr>
      <w:r>
        <w:rPr/>
        <w:t>（三）公司经营模式 企业互联网服务是解决所有企业发展所面临的问题，提供企业发展所需服务的产业。公司多年深耕于此领域，并率先</w:t>
      </w:r>
    </w:p>
    <w:p>
      <w:pPr>
        <w:pStyle w:val="BodyText"/>
        <w:spacing w:line="316" w:lineRule="auto" w:before="76"/>
        <w:ind w:right="190"/>
        <w:jc w:val="both"/>
      </w:pPr>
      <w:r>
        <w:rPr/>
        <w:t>完成了互联网+线下的行业整合，最大化实现资源共享、线上线下联动，提供一站式全生命周期的企业服务。公司以“连锁</w:t>
      </w:r>
      <w:r>
        <w:rPr>
          <w:spacing w:val="-84"/>
        </w:rPr>
        <w:t> </w:t>
      </w:r>
      <w:r>
        <w:rPr>
          <w:spacing w:val="-84"/>
        </w:rPr>
      </w:r>
      <w:r>
        <w:rPr/>
        <w:t>化”和“互联网化”的O2O模式，打造中国企业的超级孵化器。线下已拓展数千家门店，服务网络遍布全国；线上互联网技</w:t>
      </w:r>
      <w:r>
        <w:rPr>
          <w:spacing w:val="-85"/>
        </w:rPr>
        <w:t> </w:t>
      </w:r>
      <w:r>
        <w:rPr>
          <w:spacing w:val="-85"/>
        </w:rPr>
      </w:r>
      <w:r>
        <w:rPr>
          <w:spacing w:val="-2"/>
        </w:rPr>
        <w:t>术支撑、大数据沉淀、平台化运作，实现线上线下协同服务。整合企业全生命周期服务产品，从工商注册到投融资服务，以</w:t>
      </w:r>
      <w:r>
        <w:rPr>
          <w:spacing w:val="-63"/>
        </w:rPr>
        <w:t> </w:t>
      </w:r>
      <w:r>
        <w:rPr>
          <w:spacing w:val="-63"/>
        </w:rPr>
      </w:r>
      <w:r>
        <w:rPr/>
        <w:t>高效、准确、便捷、全方位提供服务及产品。</w:t>
      </w:r>
    </w:p>
    <w:p>
      <w:pPr>
        <w:pStyle w:val="BodyText"/>
        <w:spacing w:line="316" w:lineRule="auto" w:before="139"/>
        <w:ind w:right="190" w:firstLine="427"/>
        <w:jc w:val="both"/>
      </w:pPr>
      <w:r>
        <w:rPr/>
        <w:t>报告期内，公司通过“圈地、囤人、赋能”完成了对企业服务领域的线下整合、线上协同的初步开发，全国联动快速 </w:t>
      </w:r>
      <w:r>
        <w:rPr>
          <w:spacing w:val="-2"/>
        </w:rPr>
        <w:t>反应，初步实现了企业服务的互联网化和标准化。紧贴企业加速发展的节奏，服务于企业，服务于中国经济的发展，与国家</w:t>
      </w:r>
      <w:r>
        <w:rPr>
          <w:spacing w:val="-64"/>
        </w:rPr>
        <w:t> </w:t>
      </w:r>
      <w:r>
        <w:rPr>
          <w:spacing w:val="-64"/>
        </w:rPr>
      </w:r>
      <w:r>
        <w:rPr/>
        <w:t>政策、经济环境及当下企业发展所需高度契合。</w:t>
      </w:r>
    </w:p>
    <w:p>
      <w:pPr>
        <w:pStyle w:val="BodyText"/>
        <w:spacing w:line="439" w:lineRule="auto" w:before="139"/>
        <w:ind w:left="540" w:right="7316"/>
        <w:jc w:val="left"/>
      </w:pPr>
      <w:r>
        <w:rPr/>
        <w:t>（四）2017年度经营情况 1、主要经营指标完成情况</w:t>
      </w:r>
    </w:p>
    <w:p>
      <w:pPr>
        <w:pStyle w:val="BodyText"/>
        <w:spacing w:line="316" w:lineRule="auto" w:before="47"/>
        <w:ind w:right="190" w:firstLine="427"/>
        <w:jc w:val="both"/>
      </w:pPr>
      <w:r>
        <w:rPr>
          <w:spacing w:val="-2"/>
        </w:rPr>
        <w:t>报告期内，公司实现营业收入51,593.45万元，较上年同期增长25.27%；实现营业利润8,607.30万元，较上年同期增长</w:t>
      </w:r>
      <w:r>
        <w:rPr/>
        <w:t> 88.66%；实现净利润7,759.18万元，其中归属上市股东净利润6,421.56万元，实现每股收益0.0839元。</w:t>
      </w:r>
    </w:p>
    <w:p>
      <w:pPr>
        <w:pStyle w:val="BodyText"/>
        <w:spacing w:line="240" w:lineRule="auto" w:before="139"/>
        <w:ind w:left="540" w:right="94"/>
        <w:jc w:val="left"/>
      </w:pPr>
      <w:r>
        <w:rPr/>
        <w:t>2、企业互联网服务业务发展情况</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4" w:firstLine="427"/>
        <w:jc w:val="left"/>
      </w:pPr>
      <w:r>
        <w:rPr/>
        <w:t>报告期内，企业互联网服务业务实现营业收入31,808.80万元，较上年同期增长85.5%，完成“百城千店”计划，在全 国范围内，得到业内及企业的热烈响应。</w:t>
      </w:r>
    </w:p>
    <w:p>
      <w:pPr>
        <w:pStyle w:val="BodyText"/>
        <w:spacing w:line="316" w:lineRule="auto" w:before="139"/>
        <w:ind w:right="94" w:firstLine="427"/>
        <w:jc w:val="left"/>
      </w:pPr>
      <w:r>
        <w:rPr>
          <w:spacing w:val="-2"/>
        </w:rPr>
        <w:t>“百城千店”计划实现拓展门店的同时，也更大范围的展开政府合作，各地组织的合作。各地政府从多方面给予支持，</w:t>
      </w:r>
      <w:r>
        <w:rPr/>
        <w:t> </w:t>
      </w:r>
      <w:r>
        <w:rPr>
          <w:spacing w:val="-2"/>
        </w:rPr>
        <w:t>更好的服务当地企业发展、经济发展。截止2017年末，公司在与新疆霍尔果斯经济技术开发区、浙江舟山自贸区等达成合作</w:t>
      </w:r>
      <w:r>
        <w:rPr>
          <w:spacing w:val="-62"/>
        </w:rPr>
        <w:t> </w:t>
      </w:r>
      <w:r>
        <w:rPr>
          <w:spacing w:val="-62"/>
        </w:rPr>
      </w:r>
      <w:r>
        <w:rPr>
          <w:spacing w:val="-2"/>
        </w:rPr>
        <w:t>协议的基础上，又与全国妇联、工业和信息产业部、宁波前洋经济开发区、瑞丽市政府、贺州市政府、中国注册税务师协会</w:t>
      </w:r>
      <w:r>
        <w:rPr>
          <w:spacing w:val="-64"/>
        </w:rPr>
        <w:t> </w:t>
      </w:r>
      <w:r>
        <w:rPr>
          <w:spacing w:val="-64"/>
        </w:rPr>
      </w:r>
      <w:r>
        <w:rPr/>
        <w:t>等达成合作协议，多元化服务于企业和政府。</w:t>
      </w:r>
    </w:p>
    <w:p>
      <w:pPr>
        <w:pStyle w:val="BodyText"/>
        <w:spacing w:line="432" w:lineRule="exact" w:before="3"/>
        <w:ind w:left="540" w:right="94"/>
        <w:jc w:val="left"/>
      </w:pPr>
      <w:r>
        <w:rPr/>
        <w:t>3、重大资产出售情况 报告期内，公司对传统制造业进行了资产处置，出售子公司青海明胶有限责任公司100%股权、青海明诺胶囊有限公司</w:t>
      </w:r>
    </w:p>
    <w:p>
      <w:pPr>
        <w:pStyle w:val="BodyText"/>
        <w:spacing w:line="316" w:lineRule="auto" w:before="15"/>
        <w:ind w:right="190"/>
        <w:jc w:val="both"/>
      </w:pPr>
      <w:r>
        <w:rPr>
          <w:spacing w:val="-2"/>
        </w:rPr>
        <w:t>100%股权、广东明洋明胶有限责任公司67.03%股权、柳州市宏升胶原蛋白肠衣有限公司100%股权。本次交易价格以具有证券</w:t>
      </w:r>
      <w:r>
        <w:rPr>
          <w:spacing w:val="-56"/>
        </w:rPr>
        <w:t> </w:t>
      </w:r>
      <w:r>
        <w:rPr>
          <w:spacing w:val="-56"/>
        </w:rPr>
      </w:r>
      <w:r>
        <w:rPr>
          <w:spacing w:val="-2"/>
        </w:rPr>
        <w:t>期货业务资格的资产评估机构评估的拟出售资产截至评估基准日的评估值作为参考，由交易双方协商予以确定，交易对方以</w:t>
      </w:r>
      <w:r>
        <w:rPr>
          <w:spacing w:val="-64"/>
        </w:rPr>
        <w:t> </w:t>
      </w:r>
      <w:r>
        <w:rPr>
          <w:spacing w:val="-64"/>
        </w:rPr>
      </w:r>
      <w:r>
        <w:rPr/>
        <w:t>现金方式支付。同时，本次交易中，交易标的公司对公司所欠的债务及孳生的利息，由交易对方一并予以偿还。</w:t>
      </w:r>
    </w:p>
    <w:p>
      <w:pPr>
        <w:pStyle w:val="BodyText"/>
        <w:spacing w:line="240" w:lineRule="auto" w:before="139"/>
        <w:ind w:left="540" w:right="94"/>
        <w:jc w:val="left"/>
      </w:pPr>
      <w:r>
        <w:rPr/>
        <w:t>2017年12月，公司顺利完成重大资产出售暨关联交易事项。</w:t>
      </w:r>
    </w:p>
    <w:p>
      <w:pPr>
        <w:spacing w:line="240" w:lineRule="auto" w:before="0"/>
        <w:rPr>
          <w:rFonts w:ascii="宋体" w:hAnsi="宋体" w:cs="宋体" w:eastAsia="宋体" w:hint="default"/>
          <w:sz w:val="15"/>
          <w:szCs w:val="15"/>
        </w:rPr>
      </w:pPr>
    </w:p>
    <w:p>
      <w:pPr>
        <w:pStyle w:val="BodyText"/>
        <w:spacing w:line="439" w:lineRule="auto"/>
        <w:ind w:left="540" w:right="206"/>
        <w:jc w:val="left"/>
      </w:pPr>
      <w:r>
        <w:rPr/>
        <w:t>4、主要投资业务情况 报告期内，公司减持凯莱英医药集团(天津)股份有限公司的股份2300546股，归属于公司的投资收益11,027.26万元。</w:t>
      </w:r>
    </w:p>
    <w:p>
      <w:pPr>
        <w:pStyle w:val="BodyText"/>
        <w:spacing w:line="240" w:lineRule="auto" w:before="47"/>
        <w:ind w:left="540" w:right="94"/>
        <w:jc w:val="left"/>
      </w:pPr>
      <w:r>
        <w:rPr/>
        <w:t>（五）2018年工作计划</w:t>
      </w:r>
    </w:p>
    <w:p>
      <w:pPr>
        <w:spacing w:line="240" w:lineRule="auto" w:before="0"/>
        <w:rPr>
          <w:rFonts w:ascii="宋体" w:hAnsi="宋体" w:cs="宋体" w:eastAsia="宋体" w:hint="default"/>
          <w:sz w:val="15"/>
          <w:szCs w:val="15"/>
        </w:rPr>
      </w:pPr>
    </w:p>
    <w:p>
      <w:pPr>
        <w:pStyle w:val="BodyText"/>
        <w:spacing w:line="316" w:lineRule="auto"/>
        <w:ind w:right="189" w:firstLine="427"/>
        <w:jc w:val="both"/>
      </w:pPr>
      <w:r>
        <w:rPr>
          <w:spacing w:val="-2"/>
        </w:rPr>
        <w:t>2018年公司战略核心是“品牌+平台，构建4S体系”。在完成“圈地、囤人”的基础上，公司将把“赋能”系统化、多</w:t>
      </w:r>
      <w:r>
        <w:rPr/>
        <w:t> </w:t>
      </w:r>
      <w:r>
        <w:rPr>
          <w:spacing w:val="-2"/>
        </w:rPr>
        <w:t>元化，实现互联互动，互生互享的场景。将平台的协同、联动、共享、共赢优势最大化的实现并发挥，惠及千万企业。对大</w:t>
      </w:r>
      <w:r>
        <w:rPr>
          <w:spacing w:val="-62"/>
        </w:rPr>
        <w:t> </w:t>
      </w:r>
      <w:r>
        <w:rPr>
          <w:spacing w:val="-62"/>
        </w:rPr>
      </w:r>
      <w:r>
        <w:rPr/>
        <w:t>企业实现加速赋能，对小企业实现运营孵化，孵化未来所有企业，形成企业服务领域新生态。</w:t>
      </w:r>
    </w:p>
    <w:p>
      <w:pPr>
        <w:pStyle w:val="BodyText"/>
        <w:spacing w:line="316" w:lineRule="auto" w:before="139"/>
        <w:ind w:right="190" w:firstLine="427"/>
        <w:jc w:val="both"/>
      </w:pPr>
      <w:r>
        <w:rPr>
          <w:spacing w:val="-2"/>
        </w:rPr>
        <w:t>2018年，公司计划实现营业收入约80,000-100,000万元，计划实现净利润约24,000-30,000万元。公司将在已经完成全</w:t>
      </w:r>
      <w:r>
        <w:rPr/>
        <w:t> </w:t>
      </w:r>
      <w:r>
        <w:rPr>
          <w:spacing w:val="-2"/>
        </w:rPr>
        <w:t>国范围布局的基础上，精准并深挖赋能体系、深化品牌建设，将公司的技术优势、基因优势、资源优势、结构优势充分发挥</w:t>
      </w:r>
      <w:r>
        <w:rPr>
          <w:spacing w:val="-63"/>
        </w:rPr>
        <w:t> </w:t>
      </w:r>
      <w:r>
        <w:rPr>
          <w:spacing w:val="-63"/>
        </w:rPr>
      </w:r>
      <w:r>
        <w:rPr/>
        <w:t>出来，结合市场和资本优势，为企业服务行业树立标杆，具体部署：</w:t>
      </w:r>
    </w:p>
    <w:p>
      <w:pPr>
        <w:pStyle w:val="BodyText"/>
        <w:spacing w:line="240" w:lineRule="auto" w:before="139"/>
        <w:ind w:left="540" w:right="94"/>
        <w:jc w:val="left"/>
      </w:pPr>
      <w:r>
        <w:rPr/>
        <w:t>1、在2017年发展的基础上，实现品牌的深化和转化，成为企业服务领域品牌的标志。</w:t>
      </w:r>
    </w:p>
    <w:p>
      <w:pPr>
        <w:spacing w:line="240" w:lineRule="auto" w:before="0"/>
        <w:rPr>
          <w:rFonts w:ascii="宋体" w:hAnsi="宋体" w:cs="宋体" w:eastAsia="宋体" w:hint="default"/>
          <w:sz w:val="15"/>
          <w:szCs w:val="15"/>
        </w:rPr>
      </w:pPr>
    </w:p>
    <w:p>
      <w:pPr>
        <w:pStyle w:val="BodyText"/>
        <w:spacing w:line="316" w:lineRule="auto"/>
        <w:ind w:right="94" w:firstLine="427"/>
        <w:jc w:val="left"/>
      </w:pPr>
      <w:r>
        <w:rPr>
          <w:spacing w:val="-2"/>
        </w:rPr>
        <w:t>2、深化平台的资源整合能力、联动效应、服务产品及功能、管理协同的建设，发挥平台优势及效能，形成优质孵化生</w:t>
      </w:r>
      <w:r>
        <w:rPr/>
        <w:t> 态环境。</w:t>
      </w:r>
    </w:p>
    <w:p>
      <w:pPr>
        <w:pStyle w:val="BodyText"/>
        <w:spacing w:line="316" w:lineRule="auto" w:before="139"/>
        <w:ind w:right="94" w:firstLine="427"/>
        <w:jc w:val="left"/>
      </w:pPr>
      <w:r>
        <w:rPr/>
        <w:t>3、构建4S体系：顾问咨询体系，服务于企业规划；人力资本体系，服务于企业的“人”；金融保险体系，服务于企业 </w:t>
      </w:r>
      <w:r>
        <w:rPr>
          <w:spacing w:val="-4"/>
        </w:rPr>
        <w:t>的财；无形资产管理，服务于企业的物。对企业发展的要素：企业规划、人、财、物体系化构建产品及服务并实现互动转化。</w:t>
      </w:r>
    </w:p>
    <w:p>
      <w:pPr>
        <w:pStyle w:val="BodyText"/>
        <w:spacing w:line="240" w:lineRule="auto" w:before="139"/>
        <w:ind w:left="540" w:right="0"/>
        <w:jc w:val="left"/>
      </w:pPr>
      <w:r>
        <w:rPr>
          <w:spacing w:val="-3"/>
        </w:rPr>
        <w:t>4、进一步发展良性合作，各地政府、各级部委、机构及协会组织等，助力各地经济繁荣、企业发展，执行好国家政策。</w:t>
      </w:r>
    </w:p>
    <w:p>
      <w:pPr>
        <w:spacing w:line="240" w:lineRule="auto" w:before="0"/>
        <w:rPr>
          <w:rFonts w:ascii="宋体" w:hAnsi="宋体" w:cs="宋体" w:eastAsia="宋体" w:hint="default"/>
          <w:sz w:val="15"/>
          <w:szCs w:val="15"/>
        </w:rPr>
      </w:pPr>
    </w:p>
    <w:p>
      <w:pPr>
        <w:pStyle w:val="BodyText"/>
        <w:spacing w:line="316" w:lineRule="auto"/>
        <w:ind w:right="94" w:firstLine="427"/>
        <w:jc w:val="left"/>
      </w:pPr>
      <w:r>
        <w:rPr>
          <w:spacing w:val="-2"/>
        </w:rPr>
        <w:t>5、资本、资源的整合，加快相互赋能的推进速度、加快增加赋能产品及产品的迭代，保持提供最适用的产品和最高效</w:t>
      </w:r>
      <w:r>
        <w:rPr/>
        <w:t> 准确的服务。</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515,934,484.75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411,857,725.46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318,087,963.00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171,480,165.96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163,702,994.86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204,344,898.24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13,901,813.03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2,066,734.61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20,241,713.86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33,965,926.65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318,087,963.00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171,480,165.96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99,073,689.62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141,819,328.84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64,629,305.24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62,525,569.40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20,241,713.86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33,965,926.65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13,901,813.03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2,066,734.61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159,707,083.58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84,896,064.14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109,000,049.27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129,302,530.16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26,672,953.73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44,247,784.55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149,662,550.02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74,166,917.54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35,882,184.39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57,738,020.92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30,514,702.33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17,036,068.92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4,494,961.43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4,470,339.23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after="0" w:line="348"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6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318,087,963.00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129,477,173.47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84.09%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0.31%</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163,702,994.86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150,292,600.49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z w:val="18"/>
              </w:rPr>
              <w:t>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-15.88%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z w:val="18"/>
              </w:rPr>
              <w:t>-4.38%</w:t>
            </w:r>
          </w:p>
        </w:tc>
      </w:tr>
      <w:tr>
        <w:trPr>
          <w:trHeight w:val="46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318,087,963.00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129,477,173.47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84.09%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0.31%</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99,073,689.62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95,602,765.77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z w:val="18"/>
              </w:rPr>
              <w:t>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-25.65%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z w:val="18"/>
              </w:rPr>
              <w:t>-5.83%</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64,629,305.24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54,689,834.72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z w:val="18"/>
              </w:rPr>
              <w:t>9.23%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z w:val="18"/>
              </w:rPr>
              <w:t>-4.55%</w:t>
            </w:r>
          </w:p>
        </w:tc>
      </w:tr>
      <w:tr>
        <w:trPr>
          <w:trHeight w:val="46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159,707,083.58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108,491,017.47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88.12%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56.97%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13.48%</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109,000,049.27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73,544,702.22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-21.77%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5.24%</w:t>
            </w:r>
          </w:p>
        </w:tc>
      </w:tr>
      <w:tr>
        <w:trPr>
          <w:trHeight w:val="46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149,662,550.02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61,948,885.38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48.01%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15.04%</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Heading3"/>
        <w:spacing w:line="240" w:lineRule="auto" w:before="138"/>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240" w:lineRule="auto" w:before="14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right="0"/>
        <w:jc w:val="left"/>
      </w:pPr>
      <w:r>
        <w:rPr/>
        <w:t>行业和产品分类</w:t>
      </w:r>
    </w:p>
    <w:p>
      <w:pPr>
        <w:pStyle w:val="BodyText"/>
        <w:spacing w:line="240" w:lineRule="auto" w:before="76"/>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129,477,173.47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70,334,730.83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150,292,600.49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178,655,502.53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21,004,388.46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30,036,391.60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1,111,132.08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3,512,700.99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12,919,551.67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1,001,792.23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1,189.64%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0" w:right="19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129,477,173.47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70,334,730.83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95,602,765.77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128,588,438.96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54,689,834.72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50,067,063.57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21,004,388.46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30,036,391.60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1,111,132.08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3,512,700.99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12,919,551.67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1,189.64%</w:t>
            </w:r>
          </w:p>
        </w:tc>
      </w:tr>
    </w:tbl>
    <w:p>
      <w:pPr>
        <w:pStyle w:val="BodyText"/>
        <w:spacing w:line="240" w:lineRule="auto" w:before="50"/>
        <w:ind w:right="94"/>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300" w:lineRule="auto" w:before="101"/>
        <w:ind w:right="94" w:firstLine="360"/>
        <w:jc w:val="left"/>
      </w:pPr>
      <w:r>
        <w:rPr>
          <w:spacing w:val="-3"/>
        </w:rPr>
        <w:t>本报告期，公司完成了重大资产重组，出售子公司青海明胶有限责任公司</w:t>
      </w:r>
      <w:r>
        <w:rPr>
          <w:rFonts w:ascii="Times New Roman" w:hAnsi="Times New Roman" w:cs="Times New Roman" w:eastAsia="Times New Roman" w:hint="default"/>
          <w:spacing w:val="-3"/>
        </w:rPr>
        <w:t>100%</w:t>
      </w:r>
      <w:r>
        <w:rPr>
          <w:spacing w:val="-3"/>
        </w:rPr>
        <w:t>股权、青海明诺胶囊有限公司</w:t>
      </w:r>
      <w:r>
        <w:rPr>
          <w:rFonts w:ascii="Times New Roman" w:hAnsi="Times New Roman" w:cs="Times New Roman" w:eastAsia="Times New Roman" w:hint="default"/>
          <w:spacing w:val="-3"/>
        </w:rPr>
        <w:t>100%</w:t>
      </w:r>
      <w:r>
        <w:rPr>
          <w:spacing w:val="-3"/>
        </w:rPr>
        <w:t>股权、</w:t>
      </w:r>
      <w:r>
        <w:rPr/>
        <w:t> 广东明洋明胶有限责任公司</w:t>
      </w:r>
      <w:r>
        <w:rPr>
          <w:rFonts w:ascii="Times New Roman" w:hAnsi="Times New Roman" w:cs="Times New Roman" w:eastAsia="Times New Roman" w:hint="default"/>
        </w:rPr>
        <w:t>67.03%</w:t>
      </w:r>
      <w:r>
        <w:rPr/>
        <w:t>股权和柳州市宏升胶原蛋白肠衣有限公司</w:t>
      </w:r>
      <w:r>
        <w:rPr>
          <w:rFonts w:ascii="Times New Roman" w:hAnsi="Times New Roman" w:cs="Times New Roman" w:eastAsia="Times New Roman" w:hint="default"/>
        </w:rPr>
        <w:t>100%</w:t>
      </w:r>
      <w:r>
        <w:rPr/>
        <w:t>股权；同期，公司将控股子公司河南省焦 作金箭明胶有限责任公司</w:t>
      </w:r>
      <w:r>
        <w:rPr>
          <w:rFonts w:ascii="Times New Roman" w:hAnsi="Times New Roman" w:cs="Times New Roman" w:eastAsia="Times New Roman" w:hint="default"/>
        </w:rPr>
        <w:t>51%</w:t>
      </w:r>
      <w:r>
        <w:rPr/>
        <w:t>转让给河南省焦作金箭实业总公司。</w:t>
      </w:r>
    </w:p>
    <w:p>
      <w:pPr>
        <w:pStyle w:val="BodyText"/>
        <w:spacing w:line="240" w:lineRule="auto" w:before="53"/>
        <w:ind w:left="472" w:right="94"/>
        <w:jc w:val="left"/>
      </w:pPr>
      <w:r>
        <w:rPr/>
        <w:t>本报告期，公司新设全资子公司北京办饭餐饮管理有限公司。</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本报告期，公司通过重大资产重组的完成，剥离原有明胶、硬胶囊、胶原蛋白肠衣等业务，专注于发展企业互联网服务</w:t>
      </w:r>
    </w:p>
    <w:p>
      <w:pPr>
        <w:pStyle w:val="BodyText"/>
        <w:spacing w:line="360" w:lineRule="auto" w:before="1"/>
        <w:ind w:left="412" w:right="94" w:hanging="300"/>
        <w:jc w:val="left"/>
      </w:pPr>
      <w:r>
        <w:rPr/>
        <w:t>业务，以“连锁化”和“互联网化”的模式为中小微企业提供全程孵化、一站式综合服务，实现产业转型发展的战略。 </w:t>
      </w:r>
      <w:r>
        <w:rPr>
          <w:spacing w:val="-1"/>
        </w:rPr>
        <w:t>公司通过剥离制造业务，集中优势发展企业互联网服务业务，使公司资产及收入规模有所下降，归属母公司所有者的净</w:t>
      </w:r>
    </w:p>
    <w:p>
      <w:pPr>
        <w:pStyle w:val="BodyText"/>
        <w:spacing w:line="222" w:lineRule="exact"/>
        <w:ind w:right="94"/>
        <w:jc w:val="left"/>
      </w:pPr>
      <w:r>
        <w:rPr/>
        <w:t>利润得到提高，有利于进一步提高公司的整体实力和盈利能力。</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6"/>
        <w:gridCol w:w="5103"/>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88,587,691.19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6"/>
          <w:szCs w:val="16"/>
        </w:rPr>
      </w:pPr>
    </w:p>
    <w:p>
      <w:pPr>
        <w:pStyle w:val="BodyText"/>
        <w:spacing w:line="240" w:lineRule="auto" w:before="44"/>
        <w:ind w:right="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33,310,726.50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18,830,188.29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3.65%</w:t>
            </w:r>
          </w:p>
        </w:tc>
      </w:tr>
      <w:tr>
        <w:trPr>
          <w:trHeight w:val="40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13,429,166.67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12,350,943.06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10,666,666.67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88,587,691.19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17.17%</w:t>
            </w:r>
          </w:p>
        </w:tc>
      </w:tr>
    </w:tbl>
    <w:p>
      <w:pPr>
        <w:spacing w:line="240" w:lineRule="auto" w:before="4"/>
        <w:rPr>
          <w:rFonts w:ascii="宋体" w:hAnsi="宋体" w:cs="宋体" w:eastAsia="宋体" w:hint="default"/>
          <w:sz w:val="16"/>
          <w:szCs w:val="16"/>
        </w:rPr>
      </w:pPr>
    </w:p>
    <w:p>
      <w:pPr>
        <w:pStyle w:val="BodyText"/>
        <w:spacing w:line="240" w:lineRule="auto" w:before="44"/>
        <w:ind w:right="0"/>
        <w:jc w:val="left"/>
      </w:pPr>
      <w:r>
        <w:rPr/>
        <w:t>主要客户其他情况说明</w:t>
      </w:r>
    </w:p>
    <w:p>
      <w:pPr>
        <w:pStyle w:val="BodyText"/>
        <w:spacing w:line="578" w:lineRule="auto" w:before="115"/>
        <w:ind w:right="8114"/>
        <w:jc w:val="left"/>
      </w:pPr>
      <w:r>
        <w:rPr/>
        <w:pict>
          <v:shape style="position:absolute;margin-left:56.459999pt;margin-top:52.871742pt;width:479.15pt;height:76.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68,799,941.13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18.95%</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19,823,376.31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14,198,113.21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12,119,578.77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11,971,693.35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10,687,179.49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68,799,941.13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18.95%</w:t>
            </w:r>
          </w:p>
        </w:tc>
      </w:tr>
    </w:tbl>
    <w:p>
      <w:pPr>
        <w:spacing w:line="240" w:lineRule="auto" w:before="4"/>
        <w:rPr>
          <w:rFonts w:ascii="宋体" w:hAnsi="宋体" w:cs="宋体" w:eastAsia="宋体" w:hint="default"/>
          <w:sz w:val="16"/>
          <w:szCs w:val="16"/>
        </w:rPr>
      </w:pPr>
    </w:p>
    <w:p>
      <w:pPr>
        <w:pStyle w:val="BodyText"/>
        <w:spacing w:line="240" w:lineRule="auto" w:before="44"/>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34"/>
        <w:gridCol w:w="1276"/>
        <w:gridCol w:w="1276"/>
        <w:gridCol w:w="992"/>
        <w:gridCol w:w="4961"/>
      </w:tblGrid>
      <w:tr>
        <w:trPr>
          <w:trHeight w:val="32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151,842,866.97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31,837,067.92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376.94%</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1"/>
              <w:jc w:val="left"/>
              <w:rPr>
                <w:rFonts w:ascii="宋体" w:hAnsi="宋体" w:cs="宋体" w:eastAsia="宋体" w:hint="default"/>
                <w:sz w:val="18"/>
                <w:szCs w:val="18"/>
              </w:rPr>
            </w:pPr>
            <w:r>
              <w:rPr>
                <w:rFonts w:ascii="宋体" w:hAnsi="宋体" w:cs="宋体" w:eastAsia="宋体" w:hint="default"/>
                <w:sz w:val="18"/>
                <w:szCs w:val="18"/>
              </w:rPr>
              <w:t>本期较上期增加，主要是公司互联网服务业本期合并范围和市</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场开拓费用增加所致。</w:t>
            </w:r>
          </w:p>
        </w:tc>
      </w:tr>
      <w:tr>
        <w:trPr>
          <w:trHeight w:val="55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172,525,688.60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67,927,583.31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153.98%</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1"/>
              <w:jc w:val="left"/>
              <w:rPr>
                <w:rFonts w:ascii="宋体" w:hAnsi="宋体" w:cs="宋体" w:eastAsia="宋体" w:hint="default"/>
                <w:sz w:val="18"/>
                <w:szCs w:val="18"/>
              </w:rPr>
            </w:pPr>
            <w:r>
              <w:rPr>
                <w:rFonts w:ascii="宋体" w:hAnsi="宋体" w:cs="宋体" w:eastAsia="宋体" w:hint="default"/>
                <w:sz w:val="18"/>
                <w:szCs w:val="18"/>
              </w:rPr>
              <w:t>本期较上期增加，主要是公司互联网服务业本期合并范围、服</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务研发费等增加所致。</w:t>
            </w:r>
          </w:p>
        </w:tc>
      </w:tr>
      <w:tr>
        <w:trPr>
          <w:trHeight w:val="55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-3,412,124.04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4,651,495.19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-173.36%</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1"/>
              <w:jc w:val="left"/>
              <w:rPr>
                <w:rFonts w:ascii="宋体" w:hAnsi="宋体" w:cs="宋体" w:eastAsia="宋体" w:hint="default"/>
                <w:sz w:val="18"/>
                <w:szCs w:val="18"/>
              </w:rPr>
            </w:pPr>
            <w:r>
              <w:rPr>
                <w:rFonts w:ascii="宋体" w:hAnsi="宋体" w:cs="宋体" w:eastAsia="宋体" w:hint="default"/>
                <w:sz w:val="18"/>
                <w:szCs w:val="18"/>
              </w:rPr>
              <w:t>本期较上期减少，主要是公司流动资金利息收入增加，上期利</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息支出较多所致。</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590" w:lineRule="auto"/>
        <w:ind w:left="412" w:right="0" w:hanging="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1"/>
        </w:rPr>
        <w:t>公司在研发投入方面以自主研发和外包相结合，重点投入智慧企业孵化云平台和企业大数据中心平台建设，致力服务于</w:t>
      </w:r>
    </w:p>
    <w:p>
      <w:pPr>
        <w:spacing w:after="0" w:line="59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t>中小微企业全生命周期的孵化；该投入可进一步落实公司的发展战略，服务于大量企业用户，对持续提高公司的盈利能力， 树立公司在企业互联网和现代服务业市场领先的行业地位，具有良好的经济效益和社会效益。</w:t>
      </w:r>
    </w:p>
    <w:p>
      <w:pPr>
        <w:spacing w:line="240" w:lineRule="auto" w:before="5"/>
        <w:rPr>
          <w:rFonts w:ascii="宋体" w:hAnsi="宋体" w:cs="宋体" w:eastAsia="宋体" w:hint="default"/>
          <w:sz w:val="24"/>
          <w:szCs w:val="24"/>
        </w:rPr>
      </w:pPr>
    </w:p>
    <w:p>
      <w:pPr>
        <w:pStyle w:val="BodyText"/>
        <w:spacing w:line="240" w:lineRule="auto"/>
        <w:ind w:right="94"/>
        <w:jc w:val="left"/>
      </w:pPr>
      <w:r>
        <w:rPr/>
        <w:t>公司研发投入情况</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61"/>
        <w:gridCol w:w="2268"/>
        <w:gridCol w:w="2409"/>
        <w:gridCol w:w="1701"/>
      </w:tblGrid>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84"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148</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-29.19%</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40.66%</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24.91%</w:t>
            </w: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72,572,168.90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68,004,505.93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6.72%</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14.07%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-2.44%</w:t>
            </w: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61,676,890.95</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60,146,171.41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2.54%</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84.99%</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88.44%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-3.45%</w:t>
            </w:r>
          </w:p>
        </w:tc>
      </w:tr>
    </w:tbl>
    <w:p>
      <w:pPr>
        <w:pStyle w:val="BodyText"/>
        <w:spacing w:line="240" w:lineRule="auto" w:before="50"/>
        <w:ind w:right="94"/>
        <w:jc w:val="left"/>
      </w:pPr>
      <w:r>
        <w:rPr/>
        <w:t>研发投入总额占营业收入的比重较上年发生显著变化的原因</w:t>
      </w:r>
    </w:p>
    <w:p>
      <w:pPr>
        <w:pStyle w:val="BodyText"/>
        <w:spacing w:line="340" w:lineRule="auto" w:before="117"/>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3"/>
        <w:gridCol w:w="1984"/>
        <w:gridCol w:w="1843"/>
        <w:gridCol w:w="1559"/>
      </w:tblGrid>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1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650,032,206.30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508,008,196.96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27.96%</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680,943,153.94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485,971,049.58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40.12%</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-30,910,947.64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22,037,147.38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-240.27%</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1,230,589,842.50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219,607,300.12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460.36%</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1,387,749,180.65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276,162,581.68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402.51%</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-157,159,338.15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-56,555,281.56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-177.89%</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171,971,386.59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1,057,844,614.66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-83.74%</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22,791,939.47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155,866,508.89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-85.38%</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149,179,447.12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901,978,105.77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-83.46%</w:t>
            </w:r>
          </w:p>
        </w:tc>
      </w:tr>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-38,890,838.67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867,459,971.59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-104.48%</w:t>
            </w:r>
          </w:p>
        </w:tc>
      </w:tr>
    </w:tbl>
    <w:p>
      <w:pPr>
        <w:pStyle w:val="BodyText"/>
        <w:spacing w:line="240" w:lineRule="auto" w:before="50"/>
        <w:ind w:right="94"/>
        <w:jc w:val="left"/>
      </w:pPr>
      <w:r>
        <w:rPr/>
        <w:t>相关数据同比发生重大变动的主要影响因素说明</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40" w:right="94"/>
        <w:jc w:val="left"/>
      </w:pPr>
      <w:r>
        <w:rPr/>
        <w:t>1、经营活动现金流入较上期增加，主要是子公司易桥财税科技和企业管家合并范围增加。</w:t>
      </w:r>
    </w:p>
    <w:p>
      <w:pPr>
        <w:spacing w:line="240" w:lineRule="auto" w:before="6"/>
        <w:rPr>
          <w:rFonts w:ascii="宋体" w:hAnsi="宋体" w:cs="宋体" w:eastAsia="宋体" w:hint="default"/>
          <w:sz w:val="14"/>
          <w:szCs w:val="14"/>
        </w:rPr>
      </w:pPr>
    </w:p>
    <w:p>
      <w:pPr>
        <w:pStyle w:val="BodyText"/>
        <w:spacing w:line="240" w:lineRule="auto"/>
        <w:ind w:left="540" w:right="94"/>
        <w:jc w:val="left"/>
      </w:pPr>
      <w:r>
        <w:rPr/>
        <w:t>2、经营活动现金流出较上期增加，主要是子公司企业管家市场开拓费用增加。</w:t>
      </w:r>
    </w:p>
    <w:p>
      <w:pPr>
        <w:spacing w:line="240" w:lineRule="auto" w:before="6"/>
        <w:rPr>
          <w:rFonts w:ascii="宋体" w:hAnsi="宋体" w:cs="宋体" w:eastAsia="宋体" w:hint="default"/>
          <w:sz w:val="14"/>
          <w:szCs w:val="14"/>
        </w:rPr>
      </w:pPr>
    </w:p>
    <w:p>
      <w:pPr>
        <w:pStyle w:val="BodyText"/>
        <w:spacing w:line="240" w:lineRule="auto"/>
        <w:ind w:left="540" w:right="94"/>
        <w:jc w:val="left"/>
      </w:pPr>
      <w:r>
        <w:rPr/>
        <w:t>3、经营活动产生的现金净额较上期减少，主要是子公司企业管家市场开拓费用增加。</w:t>
      </w:r>
    </w:p>
    <w:p>
      <w:pPr>
        <w:spacing w:line="240" w:lineRule="auto" w:before="4"/>
        <w:rPr>
          <w:rFonts w:ascii="宋体" w:hAnsi="宋体" w:cs="宋体" w:eastAsia="宋体" w:hint="default"/>
          <w:sz w:val="14"/>
          <w:szCs w:val="14"/>
        </w:rPr>
      </w:pPr>
    </w:p>
    <w:p>
      <w:pPr>
        <w:pStyle w:val="BodyText"/>
        <w:spacing w:line="273" w:lineRule="auto"/>
        <w:ind w:right="94" w:firstLine="427"/>
        <w:jc w:val="left"/>
      </w:pPr>
      <w:r>
        <w:rPr>
          <w:spacing w:val="-2"/>
        </w:rPr>
        <w:t>4、投资活动现金流入较上期增加，主要是本期公司处置制造业子公司收回股权转让款、赎回理财产品及减持其他上市</w:t>
      </w:r>
      <w:r>
        <w:rPr/>
        <w:t> 公司股票收益增加。</w:t>
      </w:r>
    </w:p>
    <w:p>
      <w:pPr>
        <w:spacing w:line="240" w:lineRule="auto" w:before="7"/>
        <w:rPr>
          <w:rFonts w:ascii="宋体" w:hAnsi="宋体" w:cs="宋体" w:eastAsia="宋体" w:hint="default"/>
          <w:sz w:val="12"/>
          <w:szCs w:val="12"/>
        </w:rPr>
      </w:pPr>
    </w:p>
    <w:p>
      <w:pPr>
        <w:pStyle w:val="BodyText"/>
        <w:spacing w:line="240" w:lineRule="auto"/>
        <w:ind w:left="540" w:right="94"/>
        <w:jc w:val="left"/>
      </w:pPr>
      <w:r>
        <w:rPr/>
        <w:t>5、投资活动现金流出较上期增加，主要是本期支付的取得子公司的现金净额、对外投资款及购买理财产品增加。</w:t>
      </w:r>
    </w:p>
    <w:p>
      <w:pPr>
        <w:spacing w:line="240" w:lineRule="auto" w:before="6"/>
        <w:rPr>
          <w:rFonts w:ascii="宋体" w:hAnsi="宋体" w:cs="宋体" w:eastAsia="宋体" w:hint="default"/>
          <w:sz w:val="14"/>
          <w:szCs w:val="14"/>
        </w:rPr>
      </w:pPr>
    </w:p>
    <w:p>
      <w:pPr>
        <w:pStyle w:val="BodyText"/>
        <w:spacing w:line="240" w:lineRule="auto"/>
        <w:ind w:left="540" w:right="94"/>
        <w:jc w:val="left"/>
      </w:pPr>
      <w:r>
        <w:rPr/>
        <w:t>6、投资活动产生的现金净额较上期减少，主要是本期支付的取得子公司的现金净额及对外投资款增加。</w:t>
      </w:r>
    </w:p>
    <w:p>
      <w:pPr>
        <w:spacing w:after="0" w:line="240"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2"/>
          <w:szCs w:val="22"/>
        </w:rPr>
      </w:pPr>
    </w:p>
    <w:p>
      <w:pPr>
        <w:pStyle w:val="BodyText"/>
        <w:spacing w:line="240" w:lineRule="auto" w:before="44"/>
        <w:ind w:left="540" w:right="0"/>
        <w:jc w:val="left"/>
      </w:pPr>
      <w:r>
        <w:rPr/>
        <w:t>7、筹资活动现金流入较上期减少，主要是上期发行股份募集资金增加，本期无此事项。</w:t>
      </w:r>
    </w:p>
    <w:p>
      <w:pPr>
        <w:spacing w:line="240" w:lineRule="auto" w:before="6"/>
        <w:rPr>
          <w:rFonts w:ascii="宋体" w:hAnsi="宋体" w:cs="宋体" w:eastAsia="宋体" w:hint="default"/>
          <w:sz w:val="14"/>
          <w:szCs w:val="14"/>
        </w:rPr>
      </w:pPr>
    </w:p>
    <w:p>
      <w:pPr>
        <w:pStyle w:val="BodyText"/>
        <w:spacing w:line="240" w:lineRule="auto"/>
        <w:ind w:left="540" w:right="0"/>
        <w:jc w:val="left"/>
      </w:pPr>
      <w:r>
        <w:rPr/>
        <w:t>8、筹资活动现金流出较上期减少，主要是上期归还借款及支出利息较多，本期无此事项。</w:t>
      </w:r>
    </w:p>
    <w:p>
      <w:pPr>
        <w:spacing w:line="240" w:lineRule="auto" w:before="6"/>
        <w:rPr>
          <w:rFonts w:ascii="宋体" w:hAnsi="宋体" w:cs="宋体" w:eastAsia="宋体" w:hint="default"/>
          <w:sz w:val="14"/>
          <w:szCs w:val="14"/>
        </w:rPr>
      </w:pPr>
    </w:p>
    <w:p>
      <w:pPr>
        <w:pStyle w:val="BodyText"/>
        <w:spacing w:line="240" w:lineRule="auto"/>
        <w:ind w:left="540" w:right="0"/>
        <w:jc w:val="left"/>
      </w:pPr>
      <w:r>
        <w:rPr/>
        <w:t>9、筹资活动产生的现金净额较上期减少，主要是上期发行股份募集资金增加，本期无此事项。</w:t>
      </w:r>
    </w:p>
    <w:p>
      <w:pPr>
        <w:spacing w:line="240" w:lineRule="auto" w:before="6"/>
        <w:rPr>
          <w:rFonts w:ascii="宋体" w:hAnsi="宋体" w:cs="宋体" w:eastAsia="宋体" w:hint="default"/>
          <w:sz w:val="14"/>
          <w:szCs w:val="14"/>
        </w:rPr>
      </w:pPr>
    </w:p>
    <w:p>
      <w:pPr>
        <w:pStyle w:val="BodyText"/>
        <w:spacing w:line="271" w:lineRule="auto"/>
        <w:ind w:right="0" w:firstLine="427"/>
        <w:jc w:val="left"/>
      </w:pPr>
      <w:r>
        <w:rPr/>
        <w:t>10、现金及现金等价物净增加额较上期减少，主要是本期经营性和投资性流出增加及上期发行股份募集资金增加，本 期无此事项。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1418"/>
        <w:gridCol w:w="850"/>
        <w:gridCol w:w="4678"/>
        <w:gridCol w:w="992"/>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58" w:hanging="92"/>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2" w:right="38" w:hanging="180"/>
              <w:jc w:val="left"/>
              <w:rPr>
                <w:rFonts w:ascii="宋体" w:hAnsi="宋体" w:cs="宋体" w:eastAsia="宋体" w:hint="default"/>
                <w:sz w:val="18"/>
                <w:szCs w:val="18"/>
              </w:rPr>
            </w:pPr>
            <w:r>
              <w:rPr>
                <w:rFonts w:ascii="宋体" w:hAnsi="宋体" w:cs="宋体" w:eastAsia="宋体" w:hint="default"/>
                <w:sz w:val="18"/>
                <w:szCs w:val="18"/>
              </w:rPr>
              <w:t>是否具有可 持续性</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220,039,131.16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208.58%</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主要为减持其他上市公司股票获得的收益、对联营企业产生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的投资收益及处置股权投资收益等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11,178,678.60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10.60%</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主要是应收款减值准备及存货跌价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39,155,889.22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37.12%</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主要是非同一控制下企业合并投资成本小于取得投资时应 享有被投资单位可辨认净资产公允价值产生的收益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19,735,864.06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18.71%</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主要为非流动资产报废、业绩对赌奖励及捐赠等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1276"/>
        <w:gridCol w:w="1630"/>
        <w:gridCol w:w="1205"/>
        <w:gridCol w:w="798"/>
        <w:gridCol w:w="1753"/>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960,429,437.86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1,002,188,356.47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36,585,564.22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61,310,654.18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958,327.56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94,943,904.05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-3.01%</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w:t>
            </w:r>
          </w:p>
        </w:tc>
        <w:tc>
          <w:tcPr>
            <w:tcW w:w="163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641,091,965.57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16.70%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105,326,007.09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13.33%</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43,148,456.35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450,366,251.73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w:t>
            </w:r>
          </w:p>
        </w:tc>
        <w:tc>
          <w:tcPr>
            <w:tcW w:w="17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19"/>
          <w:szCs w:val="19"/>
        </w:rPr>
      </w:pPr>
    </w:p>
    <w:p>
      <w:pPr>
        <w:pStyle w:val="BodyText"/>
        <w:spacing w:line="242" w:lineRule="exact"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29" w:lineRule="exact"/>
        <w:ind w:left="0" w:right="112"/>
        <w:jc w:val="right"/>
      </w:pPr>
      <w:r>
        <w:rPr/>
        <w:t>单位：元</w:t>
      </w:r>
    </w:p>
    <w:p>
      <w:pPr>
        <w:spacing w:after="0" w:line="229" w:lineRule="exact"/>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1"/>
        <w:gridCol w:w="1213"/>
        <w:gridCol w:w="1112"/>
        <w:gridCol w:w="1418"/>
        <w:gridCol w:w="850"/>
        <w:gridCol w:w="851"/>
        <w:gridCol w:w="1213"/>
        <w:gridCol w:w="1284"/>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9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3" w:right="72"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9" w:right="5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0" w:right="5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94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178,125,472.71</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139,035,156.64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178,125,472.71</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139,035,156.64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178,125,472.71</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139,035,156.64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0"/>
        <w:ind w:right="0"/>
        <w:jc w:val="left"/>
      </w:pPr>
      <w:r>
        <w:rPr/>
        <w:t>报告期内公司主要资产计量属性是否发生重大变化</w:t>
      </w:r>
    </w:p>
    <w:p>
      <w:pPr>
        <w:spacing w:line="547"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截止报告期末，公司不存在资产权利受限的情况。</w:t>
      </w:r>
    </w:p>
    <w:p>
      <w:pPr>
        <w:pStyle w:val="Heading2"/>
        <w:spacing w:line="240" w:lineRule="auto" w:before="97"/>
        <w:ind w:right="0"/>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9" w:right="0"/>
              <w:jc w:val="left"/>
              <w:rPr>
                <w:rFonts w:ascii="Times New Roman" w:hAnsi="Times New Roman" w:cs="Times New Roman" w:eastAsia="Times New Roman" w:hint="default"/>
                <w:sz w:val="18"/>
                <w:szCs w:val="18"/>
              </w:rPr>
            </w:pPr>
            <w:r>
              <w:rPr>
                <w:rFonts w:ascii="Times New Roman"/>
                <w:sz w:val="18"/>
              </w:rPr>
              <w:t>768,720,000.00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16"/>
        <w:ind w:left="0" w:right="937"/>
        <w:jc w:val="righ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6"/>
        <w:rPr>
          <w:rFonts w:ascii="宋体" w:hAnsi="宋体" w:cs="宋体" w:eastAsia="宋体" w:hint="default"/>
          <w:sz w:val="2"/>
          <w:szCs w:val="2"/>
        </w:rPr>
      </w:pPr>
    </w:p>
    <w:p>
      <w:pPr>
        <w:spacing w:line="20" w:lineRule="exact"/>
        <w:ind w:left="87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Heading3"/>
        <w:spacing w:line="240" w:lineRule="auto" w:before="34"/>
        <w:ind w:left="88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8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24"/>
        <w:ind w:left="0" w:right="937"/>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116"/>
        <w:jc w:val="right"/>
      </w:pPr>
      <w:r>
        <w:rPr/>
        <w:pict>
          <v:group style="position:absolute;margin-left:385.609985pt;margin-top:-152.078278pt;width:32.5pt;height:403.55pt;mso-position-horizontal-relative:page;mso-position-vertical-relative:paragraph;z-index:1192" coordorigin="7712,-3042" coordsize="650,8071">
            <v:group style="position:absolute;left:7720;top:-2319;width:635;height:1405" coordorigin="7720,-2319" coordsize="635,1405">
              <v:shape style="position:absolute;left:7720;top:-2319;width:635;height:1405" coordorigin="7720,-2319" coordsize="635,1405" path="m7720,-2319l8355,-2319,8355,-914,7720,-914,7720,-2319xe" filled="true" fillcolor="#ffffff" stroked="false">
                <v:path arrowok="t"/>
                <v:fill type="solid"/>
              </v:shape>
            </v:group>
            <v:group style="position:absolute;left:7720;top:736;width:635;height:1639" coordorigin="7720,736" coordsize="635,1639">
              <v:shape style="position:absolute;left:7720;top:736;width:635;height:1639" coordorigin="7720,736" coordsize="635,1639" path="m7720,736l8355,736,8355,2375,7720,2375,7720,736xe" filled="true" fillcolor="#ffffff" stroked="false">
                <v:path arrowok="t"/>
                <v:fill type="solid"/>
              </v:shape>
            </v:group>
            <v:group style="position:absolute;left:7720;top:2380;width:635;height:1172" coordorigin="7720,2380" coordsize="635,1172">
              <v:shape style="position:absolute;left:7720;top:2380;width:635;height:1172" coordorigin="7720,2380" coordsize="635,1172" path="m7720,2380l8355,2380,8355,3552,7720,3552,7720,2380xe" filled="true" fillcolor="#ffffff" stroked="false">
                <v:path arrowok="t"/>
                <v:fill type="solid"/>
              </v:shape>
            </v:group>
            <v:group style="position:absolute;left:7717;top:-3037;width:2;height:8061" coordorigin="7717,-3037" coordsize="2,8061">
              <v:shape style="position:absolute;left:7717;top:-3037;width:2;height:8061" coordorigin="7717,-3037" coordsize="0,8061" path="m7717,-3037l7717,5024e" filled="false" stroked="true" strokeweight=".48pt" strokecolor="#000000">
                <v:path arrowok="t"/>
              </v:shape>
            </v:group>
            <v:group style="position:absolute;left:8357;top:-3037;width:2;height:8061" coordorigin="8357,-3037" coordsize="2,8061">
              <v:shape style="position:absolute;left:8357;top:-3037;width:2;height:8061" coordorigin="8357,-3037" coordsize="0,8061" path="m8357,-3037l8357,5024e" filled="false" stroked="true" strokeweight=".48pt" strokecolor="#000000">
                <v:path arrowok="t"/>
              </v:shape>
            </v:group>
            <w10:wrap type="none"/>
          </v:group>
        </w:pict>
      </w:r>
      <w:r>
        <w:rPr/>
        <w:pict>
          <v:group style="position:absolute;margin-left:254.699997pt;margin-top:-151.838287pt;width:.1pt;height:403.05pt;mso-position-horizontal-relative:page;mso-position-vertical-relative:paragraph;z-index:1216" coordorigin="5094,-3037" coordsize="2,8061">
            <v:shape style="position:absolute;left:5094;top:-3037;width:2;height:8061" coordorigin="5094,-3037" coordsize="0,8061" path="m5094,-3037l5094,5024e" filled="false" stroked="true" strokeweight=".48pt" strokecolor="#000000">
              <v:path arrowok="t"/>
            </v:shape>
            <w10:wrap type="none"/>
          </v:group>
        </w:pict>
      </w:r>
      <w:r>
        <w:rPr/>
        <w:pict>
          <v:group style="position:absolute;margin-left:286.700012pt;margin-top:-151.838287pt;width:.1pt;height:403.05pt;mso-position-horizontal-relative:page;mso-position-vertical-relative:paragraph;z-index:1240" coordorigin="5734,-3037" coordsize="2,8061">
            <v:shape style="position:absolute;left:5734;top:-3037;width:2;height:8061" coordorigin="5734,-3037" coordsize="0,8061" path="m5734,-3037l5734,5024e" filled="false" stroked="true" strokeweight=".48pt" strokecolor="#000000">
              <v:path arrowok="t"/>
            </v:shape>
            <w10:wrap type="none"/>
          </v:group>
        </w:pict>
      </w:r>
      <w:r>
        <w:rPr/>
        <w:pict>
          <v:group style="position:absolute;margin-left:314.5pt;margin-top:-151.838287pt;width:.1pt;height:403.05pt;mso-position-horizontal-relative:page;mso-position-vertical-relative:paragraph;z-index:1264" coordorigin="6290,-3037" coordsize="2,8061">
            <v:shape style="position:absolute;left:6290;top:-3037;width:2;height:8061" coordorigin="6290,-3037" coordsize="0,8061" path="m6290,-3037l6290,5024e" filled="false" stroked="true" strokeweight=".48pt" strokecolor="#000000">
              <v:path arrowok="t"/>
            </v:shape>
            <w10:wrap type="none"/>
          </v:group>
        </w:pict>
      </w:r>
      <w:r>
        <w:rPr/>
        <w:pict>
          <v:group style="position:absolute;margin-left:449.75pt;margin-top:-151.838287pt;width:.1pt;height:403.05pt;mso-position-horizontal-relative:page;mso-position-vertical-relative:paragraph;z-index:1288" coordorigin="8995,-3037" coordsize="2,8061">
            <v:shape style="position:absolute;left:8995;top:-3037;width:2;height:8061" coordorigin="8995,-3037" coordsize="0,8061" path="m8995,-3037l8995,5024e" filled="false" stroked="true" strokeweight=".48pt" strokecolor="#000000">
              <v:path arrowok="t"/>
            </v:shape>
            <w10:wrap type="none"/>
          </v:group>
        </w:pict>
      </w:r>
      <w:r>
        <w:rPr/>
        <w:pict>
          <v:group style="position:absolute;margin-left:507.350006pt;margin-top:-151.838287pt;width:.1pt;height:403.05pt;mso-position-horizontal-relative:page;mso-position-vertical-relative:paragraph;z-index:1312" coordorigin="10147,-3037" coordsize="2,8061">
            <v:shape style="position:absolute;left:10147;top:-3037;width:2;height:8061" coordorigin="10147,-3037" coordsize="0,8061" path="m10147,-3037l10147,5024e" filled="false" stroked="true" strokeweight=".48pt" strokecolor="#000000">
              <v:path arrowok="t"/>
            </v:shape>
            <w10:wrap type="none"/>
          </v:group>
        </w:pict>
      </w:r>
      <w:r>
        <w:rPr/>
        <w:pict>
          <v:group style="position:absolute;margin-left:576.900024pt;margin-top:-151.838287pt;width:.1pt;height:403.05pt;mso-position-horizontal-relative:page;mso-position-vertical-relative:paragraph;z-index:1336" coordorigin="11538,-3037" coordsize="2,8061">
            <v:shape style="position:absolute;left:11538;top:-3037;width:2;height:8061" coordorigin="11538,-3037" coordsize="0,8061" path="m11538,-3037l11538,5024e" filled="false" stroked="true" strokeweight=".48pt" strokecolor="#000000">
              <v:path arrowok="t"/>
            </v:shape>
            <w10:wrap type="none"/>
          </v:group>
        </w:pict>
      </w:r>
      <w:r>
        <w:rPr/>
        <w:pict>
          <v:group style="position:absolute;margin-left:644.200012pt;margin-top:-151.838287pt;width:.1pt;height:403.05pt;mso-position-horizontal-relative:page;mso-position-vertical-relative:paragraph;z-index:1360" coordorigin="12884,-3037" coordsize="2,8061">
            <v:shape style="position:absolute;left:12884;top:-3037;width:2;height:8061" coordorigin="12884,-3037" coordsize="0,8061" path="m12884,-3037l12884,5024e" filled="false" stroked="true" strokeweight=".48pt" strokecolor="#000000">
              <v:path arrowok="t"/>
            </v:shape>
            <w10:wrap type="none"/>
          </v:group>
        </w:pict>
      </w:r>
      <w:r>
        <w:rPr/>
        <w:pict>
          <v:group style="position:absolute;margin-left:666.950012pt;margin-top:-151.838287pt;width:.1pt;height:403.05pt;mso-position-horizontal-relative:page;mso-position-vertical-relative:paragraph;z-index:1384" coordorigin="13339,-3037" coordsize="2,8061">
            <v:shape style="position:absolute;left:13339;top:-3037;width:2;height:8061" coordorigin="13339,-3037" coordsize="0,8061" path="m13339,-3037l13339,5024e" filled="false" stroked="true" strokeweight=".48pt" strokecolor="#000000">
              <v:path arrowok="t"/>
            </v:shape>
            <w10:wrap type="none"/>
          </v:group>
        </w:pict>
      </w:r>
      <w:r>
        <w:rPr/>
        <w:pict>
          <v:group style="position:absolute;margin-left:698.849976pt;margin-top:-151.838287pt;width:.1pt;height:403.05pt;mso-position-horizontal-relative:page;mso-position-vertical-relative:paragraph;z-index:1408" coordorigin="13977,-3037" coordsize="2,8061">
            <v:shape style="position:absolute;left:13977;top:-3037;width:2;height:8061" coordorigin="13977,-3037" coordsize="0,8061" path="m13977,-3037l13977,5024e" filled="false" stroked="true" strokeweight=".48pt" strokecolor="#000000">
              <v:path arrowok="t"/>
            </v:shape>
            <w10:wrap type="none"/>
          </v:group>
        </w:pict>
      </w:r>
      <w:r>
        <w:rPr/>
        <w:pict>
          <v:shape style="position:absolute;margin-left:33.810001pt;margin-top:-151.598282pt;width:774.05pt;height:403.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4"/>
                    <w:gridCol w:w="1555"/>
                    <w:gridCol w:w="639"/>
                    <w:gridCol w:w="1345"/>
                    <w:gridCol w:w="640"/>
                    <w:gridCol w:w="556"/>
                    <w:gridCol w:w="1427"/>
                    <w:gridCol w:w="640"/>
                    <w:gridCol w:w="638"/>
                    <w:gridCol w:w="1152"/>
                    <w:gridCol w:w="1391"/>
                    <w:gridCol w:w="1346"/>
                    <w:gridCol w:w="455"/>
                    <w:gridCol w:w="638"/>
                    <w:gridCol w:w="2180"/>
                  </w:tblGrid>
                  <w:tr>
                    <w:trPr>
                      <w:trHeight w:val="711"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161" w:right="69"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3"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623" w:val="left" w:leader="none"/>
                            <w:tab w:pos="7787" w:val="left" w:leader="none"/>
                          </w:tabs>
                          <w:spacing w:line="264" w:lineRule="exact"/>
                          <w:ind w:right="-8838"/>
                          <w:jc w:val="righ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58"/>
                            <w:sz w:val="18"/>
                            <w:szCs w:val="18"/>
                          </w:rPr>
                          <w:t> </w:t>
                        </w:r>
                        <w:r>
                          <w:rPr>
                            <w:rFonts w:ascii="宋体" w:hAnsi="宋体" w:cs="宋体" w:eastAsia="宋体" w:hint="default"/>
                            <w:sz w:val="18"/>
                            <w:szCs w:val="18"/>
                          </w:rPr>
                          <w:t>资金</w:t>
                          <w:tab/>
                          <w:t>投资期 产品类</w:t>
                        </w:r>
                        <w:r>
                          <w:rPr>
                            <w:rFonts w:ascii="宋体" w:hAnsi="宋体" w:cs="宋体" w:eastAsia="宋体" w:hint="default"/>
                            <w:spacing w:val="4"/>
                            <w:sz w:val="18"/>
                            <w:szCs w:val="18"/>
                          </w:rPr>
                          <w:t> </w:t>
                        </w:r>
                        <w:r>
                          <w:rPr>
                            <w:rFonts w:ascii="宋体" w:hAnsi="宋体" w:cs="宋体" w:eastAsia="宋体" w:hint="default"/>
                            <w:position w:val="12"/>
                            <w:sz w:val="18"/>
                            <w:szCs w:val="18"/>
                          </w:rPr>
                          <w:t>截至资产负债</w:t>
                          <w:tab/>
                        </w:r>
                        <w:r>
                          <w:rPr>
                            <w:rFonts w:ascii="宋体" w:hAnsi="宋体" w:cs="宋体" w:eastAsia="宋体" w:hint="default"/>
                            <w:sz w:val="18"/>
                            <w:szCs w:val="18"/>
                          </w:rPr>
                          <w:t>是否</w:t>
                        </w:r>
                        <w:r>
                          <w:rPr>
                            <w:rFonts w:ascii="宋体" w:hAnsi="宋体" w:cs="宋体" w:eastAsia="宋体" w:hint="default"/>
                            <w:spacing w:val="6"/>
                            <w:sz w:val="18"/>
                            <w:szCs w:val="18"/>
                          </w:rPr>
                          <w:t> </w:t>
                        </w:r>
                        <w:r>
                          <w:rPr>
                            <w:rFonts w:ascii="宋体" w:hAnsi="宋体" w:cs="宋体" w:eastAsia="宋体" w:hint="default"/>
                            <w:position w:val="12"/>
                            <w:sz w:val="18"/>
                            <w:szCs w:val="18"/>
                          </w:rPr>
                          <w:t>披露日</w:t>
                        </w:r>
                        <w:r>
                          <w:rPr>
                            <w:rFonts w:ascii="宋体" w:hAnsi="宋体" w:cs="宋体" w:eastAsia="宋体" w:hint="default"/>
                            <w:sz w:val="18"/>
                            <w:szCs w:val="18"/>
                          </w:rPr>
                        </w:r>
                      </w:p>
                      <w:p>
                        <w:pPr>
                          <w:pStyle w:val="TableParagraph"/>
                          <w:tabs>
                            <w:tab w:pos="1569" w:val="left" w:leader="none"/>
                            <w:tab w:pos="2078" w:val="left" w:leader="none"/>
                            <w:tab w:pos="2978" w:val="left" w:leader="none"/>
                            <w:tab w:pos="4192" w:val="left" w:leader="none"/>
                            <w:tab w:pos="4830" w:val="left" w:leader="none"/>
                            <w:tab w:pos="5277" w:val="left" w:leader="none"/>
                            <w:tab w:pos="6726" w:val="left" w:leader="none"/>
                            <w:tab w:pos="7917" w:val="left" w:leader="none"/>
                            <w:tab w:pos="10593" w:val="left" w:leader="none"/>
                          </w:tabs>
                          <w:spacing w:line="235" w:lineRule="exact"/>
                          <w:ind w:left="306" w:right="-10698"/>
                          <w:jc w:val="left"/>
                          <w:rPr>
                            <w:rFonts w:ascii="宋体" w:hAnsi="宋体" w:cs="宋体" w:eastAsia="宋体" w:hint="default"/>
                            <w:sz w:val="18"/>
                            <w:szCs w:val="18"/>
                          </w:rPr>
                        </w:pPr>
                        <w:r>
                          <w:rPr>
                            <w:rFonts w:ascii="宋体" w:hAnsi="宋体" w:cs="宋体" w:eastAsia="宋体" w:hint="default"/>
                            <w:sz w:val="18"/>
                            <w:szCs w:val="18"/>
                          </w:rPr>
                          <w:t>投资金额</w:t>
                          <w:tab/>
                        </w:r>
                        <w:r>
                          <w:rPr>
                            <w:rFonts w:ascii="宋体" w:hAnsi="宋体" w:cs="宋体" w:eastAsia="宋体" w:hint="default"/>
                            <w:position w:val="-11"/>
                            <w:sz w:val="18"/>
                            <w:szCs w:val="18"/>
                          </w:rPr>
                          <w:t>例</w:t>
                          <w:tab/>
                          <w:t>来源</w:t>
                          <w:tab/>
                        </w:r>
                        <w:r>
                          <w:rPr>
                            <w:rFonts w:ascii="宋体" w:hAnsi="宋体" w:cs="宋体" w:eastAsia="宋体" w:hint="default"/>
                            <w:sz w:val="18"/>
                            <w:szCs w:val="18"/>
                          </w:rPr>
                          <w:t>合作方</w:t>
                          <w:tab/>
                        </w:r>
                        <w:r>
                          <w:rPr>
                            <w:rFonts w:ascii="宋体" w:hAnsi="宋体" w:cs="宋体" w:eastAsia="宋体" w:hint="default"/>
                            <w:position w:val="-11"/>
                            <w:sz w:val="18"/>
                            <w:szCs w:val="18"/>
                          </w:rPr>
                          <w:t>限</w:t>
                          <w:tab/>
                          <w:t>型</w:t>
                          <w:tab/>
                        </w:r>
                        <w:r>
                          <w:rPr>
                            <w:rFonts w:ascii="宋体" w:hAnsi="宋体" w:cs="宋体" w:eastAsia="宋体" w:hint="default"/>
                            <w:sz w:val="18"/>
                            <w:szCs w:val="18"/>
                          </w:rPr>
                          <w:t>表日的进展情</w:t>
                          <w:tab/>
                          <w:t>预计收益</w:t>
                          <w:tab/>
                          <w:t>本期投资盈亏  </w:t>
                        </w:r>
                        <w:r>
                          <w:rPr>
                            <w:rFonts w:ascii="宋体" w:hAnsi="宋体" w:cs="宋体" w:eastAsia="宋体" w:hint="default"/>
                            <w:position w:val="-11"/>
                            <w:sz w:val="18"/>
                            <w:szCs w:val="18"/>
                          </w:rPr>
                          <w:t>涉诉</w:t>
                        </w:r>
                        <w:r>
                          <w:rPr>
                            <w:rFonts w:ascii="宋体" w:hAnsi="宋体" w:cs="宋体" w:eastAsia="宋体" w:hint="default"/>
                            <w:spacing w:val="6"/>
                            <w:position w:val="-11"/>
                            <w:sz w:val="18"/>
                            <w:szCs w:val="18"/>
                          </w:rPr>
                          <w:t> </w:t>
                        </w:r>
                        <w:r>
                          <w:rPr>
                            <w:rFonts w:ascii="宋体" w:hAnsi="宋体" w:cs="宋体" w:eastAsia="宋体" w:hint="default"/>
                            <w:sz w:val="18"/>
                            <w:szCs w:val="18"/>
                          </w:rPr>
                          <w:t>期（如</w:t>
                          <w:tab/>
                          <w:t>披露索引（如有）</w:t>
                        </w:r>
                      </w:p>
                      <w:p>
                        <w:pPr>
                          <w:pStyle w:val="TableParagraph"/>
                          <w:tabs>
                            <w:tab w:pos="3998" w:val="left" w:leader="none"/>
                          </w:tabs>
                          <w:spacing w:line="174" w:lineRule="exact"/>
                          <w:ind w:right="-8750"/>
                          <w:jc w:val="right"/>
                          <w:rPr>
                            <w:rFonts w:ascii="宋体" w:hAnsi="宋体" w:cs="宋体" w:eastAsia="宋体" w:hint="default"/>
                            <w:sz w:val="18"/>
                            <w:szCs w:val="18"/>
                          </w:rPr>
                        </w:pPr>
                        <w:r>
                          <w:rPr>
                            <w:rFonts w:ascii="宋体" w:hAnsi="宋体" w:cs="宋体" w:eastAsia="宋体" w:hint="default"/>
                            <w:sz w:val="18"/>
                            <w:szCs w:val="18"/>
                          </w:rPr>
                          <w:t>况</w:t>
                          <w:tab/>
                          <w:t>有）</w:t>
                        </w:r>
                      </w:p>
                    </w:tc>
                    <w:tc>
                      <w:tcPr>
                        <w:tcW w:w="11063" w:type="dxa"/>
                        <w:gridSpan w:val="11"/>
                        <w:tcBorders>
                          <w:top w:val="single" w:sz="4" w:space="0" w:color="000000"/>
                          <w:left w:val="nil" w:sz="6" w:space="0" w:color="auto"/>
                          <w:bottom w:val="single" w:sz="4" w:space="0" w:color="000000"/>
                          <w:right w:val="nil" w:sz="6" w:space="0" w:color="auto"/>
                        </w:tcBorders>
                        <w:shd w:val="clear" w:color="auto" w:fill="D2D2D2"/>
                      </w:tcPr>
                      <w:p>
                        <w:pPr/>
                      </w:p>
                    </w:tc>
                  </w:tr>
                  <w:tr>
                    <w:trPr>
                      <w:trHeight w:val="141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120"/>
                          <w:jc w:val="both"/>
                          <w:rPr>
                            <w:rFonts w:ascii="宋体" w:hAnsi="宋体" w:cs="宋体" w:eastAsia="宋体" w:hint="default"/>
                            <w:sz w:val="18"/>
                            <w:szCs w:val="18"/>
                          </w:rPr>
                        </w:pPr>
                        <w:r>
                          <w:rPr>
                            <w:rFonts w:ascii="宋体" w:hAnsi="宋体" w:cs="宋体" w:eastAsia="宋体" w:hint="default"/>
                            <w:sz w:val="18"/>
                            <w:szCs w:val="18"/>
                          </w:rPr>
                          <w:t>霍尔果斯 易桥快马 企业管理 咨询有限 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37" w:lineRule="auto"/>
                          <w:ind w:left="24" w:right="79"/>
                          <w:jc w:val="both"/>
                          <w:rPr>
                            <w:rFonts w:ascii="宋体" w:hAnsi="宋体" w:cs="宋体" w:eastAsia="宋体" w:hint="default"/>
                            <w:sz w:val="18"/>
                            <w:szCs w:val="18"/>
                          </w:rPr>
                        </w:pPr>
                        <w:r>
                          <w:rPr>
                            <w:rFonts w:ascii="宋体" w:hAnsi="宋体" w:cs="宋体" w:eastAsia="宋体" w:hint="default"/>
                            <w:sz w:val="18"/>
                            <w:szCs w:val="18"/>
                          </w:rPr>
                          <w:t>技术咨询；知识产 权代理；人力资源 外包；工商事务代 理及咨询等</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tabs>
                            <w:tab w:pos="3261" w:val="left" w:leader="none"/>
                            <w:tab w:pos="8241" w:val="left" w:leader="none"/>
                          </w:tabs>
                          <w:spacing w:line="266" w:lineRule="exact"/>
                          <w:ind w:right="-10895"/>
                          <w:jc w:val="right"/>
                          <w:rPr>
                            <w:rFonts w:ascii="宋体" w:hAnsi="宋体" w:cs="宋体" w:eastAsia="宋体" w:hint="default"/>
                            <w:sz w:val="18"/>
                            <w:szCs w:val="18"/>
                          </w:rPr>
                        </w:pPr>
                        <w:r>
                          <w:rPr>
                            <w:rFonts w:ascii="宋体" w:hAnsi="宋体" w:cs="宋体" w:eastAsia="宋体" w:hint="default"/>
                            <w:position w:val="-11"/>
                            <w:sz w:val="18"/>
                            <w:szCs w:val="18"/>
                          </w:rPr>
                          <w:t>募集</w:t>
                          <w:tab/>
                        </w:r>
                        <w:r>
                          <w:rPr>
                            <w:rFonts w:ascii="宋体" w:hAnsi="宋体" w:cs="宋体" w:eastAsia="宋体" w:hint="default"/>
                            <w:sz w:val="18"/>
                            <w:szCs w:val="18"/>
                          </w:rPr>
                          <w:t>资产负债表日</w:t>
                          <w:tab/>
                          <w:t>《关于子公司对霍尔果斯</w:t>
                        </w:r>
                      </w:p>
                      <w:p>
                        <w:pPr>
                          <w:pStyle w:val="TableParagraph"/>
                          <w:tabs>
                            <w:tab w:pos="4631" w:val="left" w:leader="none"/>
                            <w:tab w:pos="8066" w:val="left" w:leader="none"/>
                            <w:tab w:pos="9614" w:val="left" w:leader="none"/>
                            <w:tab w:pos="10250" w:val="left" w:leader="none"/>
                          </w:tabs>
                          <w:spacing w:line="156" w:lineRule="auto" w:before="12"/>
                          <w:ind w:left="52" w:right="-10895" w:firstLine="1956"/>
                          <w:jc w:val="left"/>
                          <w:rPr>
                            <w:rFonts w:ascii="宋体" w:hAnsi="宋体" w:cs="宋体" w:eastAsia="宋体" w:hint="default"/>
                            <w:sz w:val="18"/>
                            <w:szCs w:val="18"/>
                          </w:rPr>
                        </w:pPr>
                        <w:r>
                          <w:rPr>
                            <w:rFonts w:ascii="宋体" w:hAnsi="宋体" w:cs="宋体" w:eastAsia="宋体" w:hint="default"/>
                            <w:position w:val="-11"/>
                            <w:sz w:val="18"/>
                            <w:szCs w:val="18"/>
                          </w:rPr>
                          <w:t>资金 </w:t>
                        </w:r>
                        <w:r>
                          <w:rPr>
                            <w:rFonts w:ascii="宋体" w:hAnsi="宋体" w:cs="宋体" w:eastAsia="宋体" w:hint="default"/>
                            <w:spacing w:val="14"/>
                            <w:position w:val="-11"/>
                            <w:sz w:val="18"/>
                            <w:szCs w:val="18"/>
                          </w:rPr>
                          <w:t> </w:t>
                        </w:r>
                        <w:r>
                          <w:rPr>
                            <w:rFonts w:ascii="宋体" w:hAnsi="宋体" w:cs="宋体" w:eastAsia="宋体" w:hint="default"/>
                            <w:position w:val="-11"/>
                            <w:sz w:val="18"/>
                            <w:szCs w:val="18"/>
                          </w:rPr>
                          <w:t>霍尔果斯神州易</w:t>
                          <w:tab/>
                          <w:t>财税服</w:t>
                        </w:r>
                        <w:r>
                          <w:rPr>
                            <w:rFonts w:ascii="宋体" w:hAnsi="宋体" w:cs="宋体" w:eastAsia="宋体" w:hint="default"/>
                            <w:spacing w:val="8"/>
                            <w:position w:val="-11"/>
                            <w:sz w:val="18"/>
                            <w:szCs w:val="18"/>
                          </w:rPr>
                          <w:t> </w:t>
                        </w:r>
                        <w:r>
                          <w:rPr>
                            <w:rFonts w:ascii="宋体" w:hAnsi="宋体" w:cs="宋体" w:eastAsia="宋体" w:hint="default"/>
                            <w:sz w:val="18"/>
                            <w:szCs w:val="18"/>
                          </w:rPr>
                          <w:t>所涉及的股权</w:t>
                          <w:tab/>
                          <w:tab/>
                        </w:r>
                        <w:r>
                          <w:rPr>
                            <w:rFonts w:ascii="宋体" w:hAnsi="宋体" w:cs="宋体" w:eastAsia="宋体" w:hint="default"/>
                            <w:position w:val="-11"/>
                            <w:sz w:val="18"/>
                            <w:szCs w:val="18"/>
                          </w:rPr>
                          <w:t>2017</w:t>
                        </w:r>
                        <w:r>
                          <w:rPr>
                            <w:rFonts w:ascii="宋体" w:hAnsi="宋体" w:cs="宋体" w:eastAsia="宋体" w:hint="default"/>
                            <w:spacing w:val="-50"/>
                            <w:position w:val="-11"/>
                            <w:sz w:val="18"/>
                            <w:szCs w:val="18"/>
                          </w:rPr>
                          <w:t> </w:t>
                        </w:r>
                        <w:r>
                          <w:rPr>
                            <w:rFonts w:ascii="宋体" w:hAnsi="宋体" w:cs="宋体" w:eastAsia="宋体" w:hint="default"/>
                            <w:position w:val="-11"/>
                            <w:sz w:val="18"/>
                            <w:szCs w:val="18"/>
                          </w:rPr>
                          <w:t>年</w:t>
                        </w:r>
                        <w:r>
                          <w:rPr>
                            <w:rFonts w:ascii="宋体" w:hAnsi="宋体" w:cs="宋体" w:eastAsia="宋体" w:hint="default"/>
                            <w:spacing w:val="-37"/>
                            <w:position w:val="-11"/>
                            <w:sz w:val="18"/>
                            <w:szCs w:val="18"/>
                          </w:rPr>
                          <w:t> </w:t>
                        </w:r>
                        <w:r>
                          <w:rPr>
                            <w:rFonts w:ascii="宋体" w:hAnsi="宋体" w:cs="宋体" w:eastAsia="宋体" w:hint="default"/>
                            <w:sz w:val="18"/>
                            <w:szCs w:val="18"/>
                          </w:rPr>
                          <w:t>易桥快马企业管理咨询有</w:t>
                        </w:r>
                        <w:r>
                          <w:rPr>
                            <w:rFonts w:ascii="宋体" w:hAnsi="宋体" w:cs="宋体" w:eastAsia="宋体" w:hint="default"/>
                            <w:sz w:val="18"/>
                            <w:szCs w:val="18"/>
                          </w:rPr>
                          <w:t> 300,000,000.00 75.00% 及自  桥股权投资合伙</w:t>
                        </w:r>
                        <w:r>
                          <w:rPr>
                            <w:rFonts w:ascii="宋体" w:hAnsi="宋体" w:cs="宋体" w:eastAsia="宋体" w:hint="default"/>
                            <w:spacing w:val="59"/>
                            <w:sz w:val="18"/>
                            <w:szCs w:val="18"/>
                          </w:rPr>
                          <w:t> </w:t>
                        </w:r>
                        <w:r>
                          <w:rPr>
                            <w:rFonts w:ascii="宋体" w:hAnsi="宋体" w:cs="宋体" w:eastAsia="宋体" w:hint="default"/>
                            <w:sz w:val="18"/>
                            <w:szCs w:val="18"/>
                          </w:rPr>
                          <w:t>长期</w:t>
                          <w:tab/>
                          <w:t>务及咨</w:t>
                        </w:r>
                        <w:r>
                          <w:rPr>
                            <w:rFonts w:ascii="宋体" w:hAnsi="宋体" w:cs="宋体" w:eastAsia="宋体" w:hint="default"/>
                            <w:spacing w:val="8"/>
                            <w:sz w:val="18"/>
                            <w:szCs w:val="18"/>
                          </w:rPr>
                          <w:t> </w:t>
                        </w:r>
                        <w:r>
                          <w:rPr>
                            <w:rFonts w:ascii="宋体" w:hAnsi="宋体" w:cs="宋体" w:eastAsia="宋体" w:hint="default"/>
                            <w:position w:val="12"/>
                            <w:sz w:val="18"/>
                            <w:szCs w:val="18"/>
                          </w:rPr>
                          <w:t>产权已全部过</w:t>
                          <w:tab/>
                        </w:r>
                        <w:r>
                          <w:rPr>
                            <w:rFonts w:ascii="Times New Roman" w:hAnsi="Times New Roman" w:cs="Times New Roman" w:eastAsia="Times New Roman" w:hint="default"/>
                            <w:sz w:val="18"/>
                            <w:szCs w:val="18"/>
                          </w:rPr>
                          <w:t>25,812,899.74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否</w:t>
                          <w:tab/>
                          <w:t>06</w:t>
                        </w:r>
                        <w:r>
                          <w:rPr>
                            <w:rFonts w:ascii="宋体" w:hAnsi="宋体" w:cs="宋体" w:eastAsia="宋体" w:hint="default"/>
                            <w:spacing w:val="-47"/>
                            <w:sz w:val="18"/>
                            <w:szCs w:val="18"/>
                          </w:rPr>
                          <w:t> </w:t>
                        </w:r>
                        <w:r>
                          <w:rPr>
                            <w:rFonts w:ascii="宋体" w:hAnsi="宋体" w:cs="宋体" w:eastAsia="宋体" w:hint="default"/>
                            <w:sz w:val="18"/>
                            <w:szCs w:val="18"/>
                          </w:rPr>
                          <w:t>月</w:t>
                          <w:tab/>
                        </w:r>
                        <w:r>
                          <w:rPr>
                            <w:rFonts w:ascii="宋体" w:hAnsi="宋体" w:cs="宋体" w:eastAsia="宋体" w:hint="default"/>
                            <w:position w:val="12"/>
                            <w:sz w:val="18"/>
                            <w:szCs w:val="18"/>
                          </w:rPr>
                          <w:t>限公司增资的公告》</w:t>
                        </w:r>
                        <w:r>
                          <w:rPr>
                            <w:rFonts w:ascii="宋体" w:hAnsi="宋体" w:cs="宋体" w:eastAsia="宋体" w:hint="default"/>
                            <w:sz w:val="18"/>
                            <w:szCs w:val="18"/>
                          </w:rPr>
                        </w:r>
                      </w:p>
                      <w:p>
                        <w:pPr>
                          <w:pStyle w:val="TableParagraph"/>
                          <w:tabs>
                            <w:tab w:pos="2623" w:val="left" w:leader="none"/>
                            <w:tab w:pos="3261" w:val="left" w:leader="none"/>
                            <w:tab w:pos="7605" w:val="left" w:leader="none"/>
                            <w:tab w:pos="8241" w:val="left" w:leader="none"/>
                          </w:tabs>
                          <w:spacing w:line="176" w:lineRule="exact"/>
                          <w:ind w:right="-11039"/>
                          <w:jc w:val="right"/>
                          <w:rPr>
                            <w:rFonts w:ascii="宋体" w:hAnsi="宋体" w:cs="宋体" w:eastAsia="宋体" w:hint="default"/>
                            <w:sz w:val="18"/>
                            <w:szCs w:val="18"/>
                          </w:rPr>
                        </w:pPr>
                        <w:r>
                          <w:rPr>
                            <w:rFonts w:ascii="宋体" w:hAnsi="宋体" w:cs="宋体" w:eastAsia="宋体" w:hint="default"/>
                            <w:position w:val="-11"/>
                            <w:sz w:val="18"/>
                            <w:szCs w:val="18"/>
                          </w:rPr>
                          <w:t>有资 </w:t>
                        </w:r>
                        <w:r>
                          <w:rPr>
                            <w:rFonts w:ascii="宋体" w:hAnsi="宋体" w:cs="宋体" w:eastAsia="宋体" w:hint="default"/>
                            <w:spacing w:val="14"/>
                            <w:position w:val="-11"/>
                            <w:sz w:val="18"/>
                            <w:szCs w:val="18"/>
                          </w:rPr>
                          <w:t> </w:t>
                        </w:r>
                        <w:r>
                          <w:rPr>
                            <w:rFonts w:ascii="宋体" w:hAnsi="宋体" w:cs="宋体" w:eastAsia="宋体" w:hint="default"/>
                            <w:position w:val="-10"/>
                            <w:sz w:val="18"/>
                            <w:szCs w:val="18"/>
                          </w:rPr>
                          <w:t>企业（有限合伙）</w:t>
                          <w:tab/>
                          <w:t>询</w:t>
                          <w:tab/>
                        </w:r>
                        <w:r>
                          <w:rPr>
                            <w:rFonts w:ascii="宋体" w:hAnsi="宋体" w:cs="宋体" w:eastAsia="宋体" w:hint="default"/>
                            <w:sz w:val="18"/>
                            <w:szCs w:val="18"/>
                          </w:rPr>
                          <w:t>户、所涉及的</w:t>
                          <w:tab/>
                        </w:r>
                        <w:r>
                          <w:rPr>
                            <w:rFonts w:ascii="宋体" w:hAnsi="宋体" w:cs="宋体" w:eastAsia="宋体" w:hint="default"/>
                            <w:position w:val="-10"/>
                            <w:sz w:val="18"/>
                            <w:szCs w:val="18"/>
                          </w:rPr>
                          <w:t>30</w:t>
                        </w:r>
                        <w:r>
                          <w:rPr>
                            <w:rFonts w:ascii="宋体" w:hAnsi="宋体" w:cs="宋体" w:eastAsia="宋体" w:hint="default"/>
                            <w:spacing w:val="-47"/>
                            <w:position w:val="-10"/>
                            <w:sz w:val="18"/>
                            <w:szCs w:val="18"/>
                          </w:rPr>
                          <w:t> </w:t>
                        </w:r>
                        <w:r>
                          <w:rPr>
                            <w:rFonts w:ascii="宋体" w:hAnsi="宋体" w:cs="宋体" w:eastAsia="宋体" w:hint="default"/>
                            <w:position w:val="-10"/>
                            <w:sz w:val="18"/>
                            <w:szCs w:val="18"/>
                          </w:rPr>
                          <w:t>日</w:t>
                          <w:tab/>
                        </w:r>
                        <w:r>
                          <w:rPr>
                            <w:rFonts w:ascii="宋体" w:hAnsi="宋体" w:cs="宋体" w:eastAsia="宋体" w:hint="default"/>
                            <w:spacing w:val="-3"/>
                            <w:sz w:val="18"/>
                            <w:szCs w:val="18"/>
                          </w:rPr>
                          <w:t>(2017-080)，刊载于《证券</w:t>
                        </w:r>
                      </w:p>
                      <w:p>
                        <w:pPr>
                          <w:pStyle w:val="TableParagraph"/>
                          <w:tabs>
                            <w:tab w:pos="5270" w:val="left" w:leader="none"/>
                            <w:tab w:pos="10250" w:val="left" w:leader="none"/>
                          </w:tabs>
                          <w:spacing w:line="156" w:lineRule="auto" w:before="12"/>
                          <w:ind w:left="5270" w:right="-11039" w:hanging="3262"/>
                          <w:jc w:val="left"/>
                          <w:rPr>
                            <w:rFonts w:ascii="宋体" w:hAnsi="宋体" w:cs="宋体" w:eastAsia="宋体" w:hint="default"/>
                            <w:sz w:val="18"/>
                            <w:szCs w:val="18"/>
                          </w:rPr>
                        </w:pPr>
                        <w:r>
                          <w:rPr>
                            <w:rFonts w:ascii="宋体" w:hAnsi="宋体" w:cs="宋体" w:eastAsia="宋体" w:hint="default"/>
                            <w:position w:val="-11"/>
                            <w:sz w:val="18"/>
                            <w:szCs w:val="18"/>
                          </w:rPr>
                          <w:t>金</w:t>
                          <w:tab/>
                        </w:r>
                        <w:r>
                          <w:rPr>
                            <w:rFonts w:ascii="宋体" w:hAnsi="宋体" w:cs="宋体" w:eastAsia="宋体" w:hint="default"/>
                            <w:sz w:val="18"/>
                            <w:szCs w:val="18"/>
                          </w:rPr>
                          <w:t>债权债务已全</w:t>
                          <w:tab/>
                        </w:r>
                        <w:r>
                          <w:rPr>
                            <w:rFonts w:ascii="宋体" w:hAnsi="宋体" w:cs="宋体" w:eastAsia="宋体" w:hint="default"/>
                            <w:spacing w:val="-17"/>
                            <w:sz w:val="18"/>
                            <w:szCs w:val="18"/>
                          </w:rPr>
                          <w:t>时报》、《证券日报》和巨潮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部转移</w:t>
                          <w:tab/>
                          <w:t>资讯网</w:t>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tcPr>
                      <w:p>
                        <w:pPr/>
                      </w:p>
                    </w:tc>
                    <w:tc>
                      <w:tcPr>
                        <w:tcW w:w="1427" w:type="dxa"/>
                        <w:tcBorders>
                          <w:top w:val="single" w:sz="4" w:space="0" w:color="000000"/>
                          <w:left w:val="nil" w:sz="6" w:space="0" w:color="auto"/>
                          <w:bottom w:val="single" w:sz="4" w:space="0" w:color="000000"/>
                          <w:right w:val="nil" w:sz="6" w:space="0" w:color="auto"/>
                        </w:tcBorders>
                      </w:tcPr>
                      <w:p>
                        <w:pPr/>
                      </w:p>
                    </w:tc>
                    <w:tc>
                      <w:tcPr>
                        <w:tcW w:w="640"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164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22" w:right="120"/>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4" w:right="79"/>
                          <w:jc w:val="left"/>
                          <w:rPr>
                            <w:rFonts w:ascii="宋体" w:hAnsi="宋体" w:cs="宋体" w:eastAsia="宋体" w:hint="default"/>
                            <w:sz w:val="18"/>
                            <w:szCs w:val="18"/>
                          </w:rPr>
                        </w:pPr>
                        <w:r>
                          <w:rPr>
                            <w:rFonts w:ascii="宋体" w:hAnsi="宋体" w:cs="宋体" w:eastAsia="宋体" w:hint="default"/>
                            <w:sz w:val="18"/>
                            <w:szCs w:val="18"/>
                          </w:rPr>
                          <w:t>信息技术咨询服 务；网络技术的研 究、开发；计算机 技术开发、技术服 务；企业管理咨询 服务等。</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837"/>
                          <w:jc w:val="right"/>
                          <w:rPr>
                            <w:rFonts w:ascii="宋体" w:hAnsi="宋体" w:cs="宋体" w:eastAsia="宋体" w:hint="default"/>
                            <w:sz w:val="18"/>
                            <w:szCs w:val="18"/>
                          </w:rPr>
                        </w:pPr>
                        <w:r>
                          <w:rPr>
                            <w:rFonts w:ascii="宋体" w:hAnsi="宋体" w:cs="宋体" w:eastAsia="宋体" w:hint="default"/>
                            <w:sz w:val="18"/>
                            <w:szCs w:val="18"/>
                          </w:rPr>
                          <w:t>电子政</w:t>
                        </w:r>
                      </w:p>
                      <w:p>
                        <w:pPr>
                          <w:pStyle w:val="TableParagraph"/>
                          <w:tabs>
                            <w:tab w:pos="5618" w:val="left" w:leader="none"/>
                          </w:tabs>
                          <w:spacing w:line="173" w:lineRule="exact"/>
                          <w:ind w:right="-10895"/>
                          <w:jc w:val="right"/>
                          <w:rPr>
                            <w:rFonts w:ascii="宋体" w:hAnsi="宋体" w:cs="宋体" w:eastAsia="宋体" w:hint="default"/>
                            <w:sz w:val="18"/>
                            <w:szCs w:val="18"/>
                          </w:rPr>
                        </w:pPr>
                        <w:r>
                          <w:rPr>
                            <w:rFonts w:ascii="宋体" w:hAnsi="宋体" w:cs="宋体" w:eastAsia="宋体" w:hint="default"/>
                            <w:sz w:val="18"/>
                            <w:szCs w:val="18"/>
                          </w:rPr>
                          <w:t>务、电</w:t>
                          <w:tab/>
                          <w:t>《关于公司收购广州网融</w:t>
                        </w:r>
                      </w:p>
                      <w:p>
                        <w:pPr>
                          <w:pStyle w:val="TableParagraph"/>
                          <w:tabs>
                            <w:tab w:pos="2764" w:val="left" w:leader="none"/>
                            <w:tab w:pos="4631" w:val="left" w:leader="none"/>
                            <w:tab w:pos="7746" w:val="left" w:leader="none"/>
                            <w:tab w:pos="8157" w:val="left" w:leader="none"/>
                            <w:tab w:pos="8382" w:val="left" w:leader="none"/>
                            <w:tab w:pos="9614" w:val="left" w:leader="none"/>
                            <w:tab w:pos="10250" w:val="left" w:leader="none"/>
                          </w:tabs>
                          <w:spacing w:line="156" w:lineRule="auto" w:before="54"/>
                          <w:ind w:left="141" w:right="-11039" w:firstLine="4490"/>
                          <w:jc w:val="right"/>
                          <w:rPr>
                            <w:rFonts w:ascii="宋体" w:hAnsi="宋体" w:cs="宋体" w:eastAsia="宋体" w:hint="default"/>
                            <w:sz w:val="18"/>
                            <w:szCs w:val="18"/>
                          </w:rPr>
                        </w:pPr>
                        <w:r>
                          <w:rPr>
                            <w:rFonts w:ascii="宋体" w:hAnsi="宋体" w:cs="宋体" w:eastAsia="宋体" w:hint="default"/>
                            <w:sz w:val="18"/>
                            <w:szCs w:val="18"/>
                          </w:rPr>
                          <w:t>子商务</w:t>
                        </w:r>
                        <w:r>
                          <w:rPr>
                            <w:rFonts w:ascii="宋体" w:hAnsi="宋体" w:cs="宋体" w:eastAsia="宋体" w:hint="default"/>
                            <w:spacing w:val="8"/>
                            <w:sz w:val="18"/>
                            <w:szCs w:val="18"/>
                          </w:rPr>
                          <w:t> </w:t>
                        </w:r>
                        <w:r>
                          <w:rPr>
                            <w:rFonts w:ascii="宋体" w:hAnsi="宋体" w:cs="宋体" w:eastAsia="宋体" w:hint="default"/>
                            <w:position w:val="12"/>
                            <w:sz w:val="18"/>
                            <w:szCs w:val="18"/>
                          </w:rPr>
                          <w:t>资产负债表日</w:t>
                          <w:tab/>
                          <w:tab/>
                          <w:tab/>
                          <w:tab/>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信息技术有限公司</w:t>
                        </w:r>
                        <w:r>
                          <w:rPr>
                            <w:rFonts w:ascii="宋体" w:hAnsi="宋体" w:cs="宋体" w:eastAsia="宋体" w:hint="default"/>
                            <w:spacing w:val="-46"/>
                            <w:sz w:val="18"/>
                            <w:szCs w:val="18"/>
                          </w:rPr>
                          <w:t> </w:t>
                        </w:r>
                        <w:r>
                          <w:rPr>
                            <w:rFonts w:ascii="宋体" w:hAnsi="宋体" w:cs="宋体" w:eastAsia="宋体" w:hint="default"/>
                            <w:sz w:val="18"/>
                            <w:szCs w:val="18"/>
                          </w:rPr>
                          <w:t>25%股权</w:t>
                        </w:r>
                        <w:r>
                          <w:rPr>
                            <w:rFonts w:ascii="宋体" w:hAnsi="宋体" w:cs="宋体" w:eastAsia="宋体" w:hint="default"/>
                            <w:sz w:val="18"/>
                            <w:szCs w:val="18"/>
                          </w:rPr>
                          <w:t> 48,720,000.00 25.00% </w:t>
                        </w:r>
                        <w:r>
                          <w:rPr>
                            <w:rFonts w:ascii="宋体" w:hAnsi="宋体" w:cs="宋体" w:eastAsia="宋体" w:hint="default"/>
                            <w:position w:val="12"/>
                            <w:sz w:val="18"/>
                            <w:szCs w:val="18"/>
                          </w:rPr>
                          <w:t>自有  </w:t>
                        </w:r>
                        <w:r>
                          <w:rPr>
                            <w:rFonts w:ascii="宋体" w:hAnsi="宋体" w:cs="宋体" w:eastAsia="宋体" w:hint="default"/>
                            <w:spacing w:val="-9"/>
                            <w:position w:val="12"/>
                            <w:sz w:val="18"/>
                            <w:szCs w:val="18"/>
                          </w:rPr>
                          <w:t>陈颖、陈勇、等自</w:t>
                        </w:r>
                        <w:r>
                          <w:rPr>
                            <w:rFonts w:ascii="宋体" w:hAnsi="宋体" w:cs="宋体" w:eastAsia="宋体" w:hint="default"/>
                            <w:spacing w:val="-49"/>
                            <w:position w:val="12"/>
                            <w:sz w:val="18"/>
                            <w:szCs w:val="18"/>
                          </w:rPr>
                          <w:t> </w:t>
                        </w:r>
                        <w:r>
                          <w:rPr>
                            <w:rFonts w:ascii="宋体" w:hAnsi="宋体" w:cs="宋体" w:eastAsia="宋体" w:hint="default"/>
                            <w:sz w:val="18"/>
                            <w:szCs w:val="18"/>
                          </w:rPr>
                          <w:t>长期</w:t>
                          <w:tab/>
                          <w:t>信息安</w:t>
                        </w:r>
                        <w:r>
                          <w:rPr>
                            <w:rFonts w:ascii="宋体" w:hAnsi="宋体" w:cs="宋体" w:eastAsia="宋体" w:hint="default"/>
                            <w:spacing w:val="8"/>
                            <w:sz w:val="18"/>
                            <w:szCs w:val="18"/>
                          </w:rPr>
                          <w:t> </w:t>
                        </w:r>
                        <w:r>
                          <w:rPr>
                            <w:rFonts w:ascii="宋体" w:hAnsi="宋体" w:cs="宋体" w:eastAsia="宋体" w:hint="default"/>
                            <w:position w:val="12"/>
                            <w:sz w:val="18"/>
                            <w:szCs w:val="18"/>
                          </w:rPr>
                          <w:t>所涉及的股权</w:t>
                          <w:tab/>
                          <w:tab/>
                        </w:r>
                        <w:r>
                          <w:rPr>
                            <w:rFonts w:ascii="Times New Roman" w:hAnsi="Times New Roman" w:cs="Times New Roman" w:eastAsia="Times New Roman" w:hint="default"/>
                            <w:sz w:val="18"/>
                            <w:szCs w:val="18"/>
                          </w:rPr>
                          <w:t>2,280,284.64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否</w:t>
                          <w:tab/>
                          <w:t>07</w:t>
                        </w:r>
                        <w:r>
                          <w:rPr>
                            <w:rFonts w:ascii="宋体" w:hAnsi="宋体" w:cs="宋体" w:eastAsia="宋体" w:hint="default"/>
                            <w:spacing w:val="-47"/>
                            <w:sz w:val="18"/>
                            <w:szCs w:val="18"/>
                          </w:rPr>
                          <w:t> </w:t>
                        </w:r>
                        <w:r>
                          <w:rPr>
                            <w:rFonts w:ascii="宋体" w:hAnsi="宋体" w:cs="宋体" w:eastAsia="宋体" w:hint="default"/>
                            <w:sz w:val="18"/>
                            <w:szCs w:val="18"/>
                          </w:rPr>
                          <w:t>月</w:t>
                          <w:tab/>
                        </w:r>
                        <w:r>
                          <w:rPr>
                            <w:rFonts w:ascii="宋体" w:hAnsi="宋体" w:cs="宋体" w:eastAsia="宋体" w:hint="default"/>
                            <w:spacing w:val="-3"/>
                            <w:sz w:val="18"/>
                            <w:szCs w:val="18"/>
                          </w:rPr>
                          <w:t>的公告》(2017-089)，刊载</w:t>
                        </w:r>
                        <w:r>
                          <w:rPr>
                            <w:rFonts w:ascii="宋体" w:hAnsi="宋体" w:cs="宋体" w:eastAsia="宋体" w:hint="default"/>
                            <w:sz w:val="18"/>
                            <w:szCs w:val="18"/>
                          </w:rPr>
                          <w:t> </w:t>
                        </w:r>
                        <w:r>
                          <w:rPr>
                            <w:rFonts w:ascii="宋体" w:hAnsi="宋体" w:cs="宋体" w:eastAsia="宋体" w:hint="default"/>
                            <w:position w:val="12"/>
                            <w:sz w:val="18"/>
                            <w:szCs w:val="18"/>
                          </w:rPr>
                          <w:t>资金 </w:t>
                        </w:r>
                        <w:r>
                          <w:rPr>
                            <w:rFonts w:ascii="宋体" w:hAnsi="宋体" w:cs="宋体" w:eastAsia="宋体" w:hint="default"/>
                            <w:spacing w:val="14"/>
                            <w:position w:val="12"/>
                            <w:sz w:val="18"/>
                            <w:szCs w:val="18"/>
                          </w:rPr>
                          <w:t> </w:t>
                        </w:r>
                        <w:r>
                          <w:rPr>
                            <w:rFonts w:ascii="宋体" w:hAnsi="宋体" w:cs="宋体" w:eastAsia="宋体" w:hint="default"/>
                            <w:position w:val="12"/>
                            <w:sz w:val="18"/>
                            <w:szCs w:val="18"/>
                          </w:rPr>
                          <w:t>然人</w:t>
                          <w:tab/>
                        </w:r>
                        <w:r>
                          <w:rPr>
                            <w:rFonts w:ascii="宋体" w:hAnsi="宋体" w:cs="宋体" w:eastAsia="宋体" w:hint="default"/>
                            <w:sz w:val="18"/>
                            <w:szCs w:val="18"/>
                          </w:rPr>
                          <w:t>全行业</w:t>
                        </w:r>
                        <w:r>
                          <w:rPr>
                            <w:rFonts w:ascii="宋体" w:hAnsi="宋体" w:cs="宋体" w:eastAsia="宋体" w:hint="default"/>
                            <w:spacing w:val="8"/>
                            <w:sz w:val="18"/>
                            <w:szCs w:val="18"/>
                          </w:rPr>
                          <w:t> </w:t>
                        </w:r>
                        <w:r>
                          <w:rPr>
                            <w:rFonts w:ascii="宋体" w:hAnsi="宋体" w:cs="宋体" w:eastAsia="宋体" w:hint="default"/>
                            <w:position w:val="12"/>
                            <w:sz w:val="18"/>
                            <w:szCs w:val="18"/>
                          </w:rPr>
                          <w:t>产权已全部过</w:t>
                          <w:tab/>
                          <w:tab/>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w:t>
                          <w:tab/>
                          <w:tab/>
                        </w:r>
                        <w:r>
                          <w:rPr>
                            <w:rFonts w:ascii="宋体" w:hAnsi="宋体" w:cs="宋体" w:eastAsia="宋体" w:hint="default"/>
                            <w:spacing w:val="-24"/>
                            <w:sz w:val="18"/>
                            <w:szCs w:val="18"/>
                          </w:rPr>
                          <w:t>于《证券时报》、《证券日报</w:t>
                        </w:r>
                      </w:p>
                      <w:p>
                        <w:pPr>
                          <w:pStyle w:val="TableParagraph"/>
                          <w:tabs>
                            <w:tab w:pos="5618" w:val="left" w:leader="none"/>
                          </w:tabs>
                          <w:spacing w:line="240" w:lineRule="exact"/>
                          <w:ind w:right="-9995"/>
                          <w:jc w:val="right"/>
                          <w:rPr>
                            <w:rFonts w:ascii="宋体" w:hAnsi="宋体" w:cs="宋体" w:eastAsia="宋体" w:hint="default"/>
                            <w:sz w:val="18"/>
                            <w:szCs w:val="18"/>
                          </w:rPr>
                        </w:pPr>
                        <w:r>
                          <w:rPr>
                            <w:rFonts w:ascii="宋体" w:hAnsi="宋体" w:cs="宋体" w:eastAsia="宋体" w:hint="default"/>
                            <w:sz w:val="18"/>
                            <w:szCs w:val="18"/>
                          </w:rPr>
                          <w:t>的软件</w:t>
                        </w:r>
                        <w:r>
                          <w:rPr>
                            <w:rFonts w:ascii="宋体" w:hAnsi="宋体" w:cs="宋体" w:eastAsia="宋体" w:hint="default"/>
                            <w:spacing w:val="8"/>
                            <w:sz w:val="18"/>
                            <w:szCs w:val="18"/>
                          </w:rPr>
                          <w:t> </w:t>
                        </w:r>
                        <w:r>
                          <w:rPr>
                            <w:rFonts w:ascii="宋体" w:hAnsi="宋体" w:cs="宋体" w:eastAsia="宋体" w:hint="default"/>
                            <w:position w:val="12"/>
                            <w:sz w:val="18"/>
                            <w:szCs w:val="18"/>
                          </w:rPr>
                          <w:t>户</w:t>
                          <w:tab/>
                        </w:r>
                        <w:r>
                          <w:rPr>
                            <w:rFonts w:ascii="宋体" w:hAnsi="宋体" w:cs="宋体" w:eastAsia="宋体" w:hint="default"/>
                            <w:sz w:val="18"/>
                            <w:szCs w:val="18"/>
                          </w:rPr>
                          <w:t>和巨潮资讯网</w:t>
                        </w:r>
                      </w:p>
                      <w:p>
                        <w:pPr>
                          <w:pStyle w:val="TableParagraph"/>
                          <w:spacing w:line="234" w:lineRule="exact"/>
                          <w:ind w:right="-3657"/>
                          <w:jc w:val="right"/>
                          <w:rPr>
                            <w:rFonts w:ascii="宋体" w:hAnsi="宋体" w:cs="宋体" w:eastAsia="宋体" w:hint="default"/>
                            <w:sz w:val="18"/>
                            <w:szCs w:val="18"/>
                          </w:rPr>
                        </w:pPr>
                        <w:r>
                          <w:rPr>
                            <w:rFonts w:ascii="宋体" w:hAnsi="宋体" w:cs="宋体" w:eastAsia="宋体" w:hint="default"/>
                            <w:sz w:val="18"/>
                            <w:szCs w:val="18"/>
                          </w:rPr>
                          <w:t>开发</w:t>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tcPr>
                      <w:p>
                        <w:pPr/>
                      </w:p>
                    </w:tc>
                    <w:tc>
                      <w:tcPr>
                        <w:tcW w:w="1427" w:type="dxa"/>
                        <w:tcBorders>
                          <w:top w:val="single" w:sz="4" w:space="0" w:color="000000"/>
                          <w:left w:val="nil" w:sz="6" w:space="0" w:color="auto"/>
                          <w:bottom w:val="single" w:sz="4" w:space="0" w:color="000000"/>
                          <w:right w:val="nil" w:sz="6" w:space="0" w:color="auto"/>
                        </w:tcBorders>
                      </w:tcPr>
                      <w:p>
                        <w:pPr/>
                      </w:p>
                    </w:tc>
                    <w:tc>
                      <w:tcPr>
                        <w:tcW w:w="640"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164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22" w:right="120"/>
                          <w:jc w:val="both"/>
                          <w:rPr>
                            <w:rFonts w:ascii="宋体" w:hAnsi="宋体" w:cs="宋体" w:eastAsia="宋体" w:hint="default"/>
                            <w:sz w:val="18"/>
                            <w:szCs w:val="18"/>
                          </w:rPr>
                        </w:pPr>
                        <w:r>
                          <w:rPr>
                            <w:rFonts w:ascii="宋体" w:hAnsi="宋体" w:cs="宋体" w:eastAsia="宋体" w:hint="default"/>
                            <w:sz w:val="18"/>
                            <w:szCs w:val="18"/>
                          </w:rPr>
                          <w:t>宁波神州 开元会计 服务有限 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24" w:right="21"/>
                          <w:jc w:val="both"/>
                          <w:rPr>
                            <w:rFonts w:ascii="宋体" w:hAnsi="宋体" w:cs="宋体" w:eastAsia="宋体" w:hint="default"/>
                            <w:sz w:val="18"/>
                            <w:szCs w:val="18"/>
                          </w:rPr>
                        </w:pPr>
                        <w:r>
                          <w:rPr>
                            <w:rFonts w:ascii="宋体" w:hAnsi="宋体" w:cs="宋体" w:eastAsia="宋体" w:hint="default"/>
                            <w:sz w:val="18"/>
                            <w:szCs w:val="18"/>
                          </w:rPr>
                          <w:t>会计服务及咨询； 代理记账；</w:t>
                        </w:r>
                        <w:r>
                          <w:rPr>
                            <w:rFonts w:ascii="宋体" w:hAnsi="宋体" w:cs="宋体" w:eastAsia="宋体" w:hint="default"/>
                            <w:spacing w:val="-33"/>
                            <w:sz w:val="18"/>
                            <w:szCs w:val="18"/>
                          </w:rPr>
                          <w:t> </w:t>
                        </w:r>
                        <w:r>
                          <w:rPr>
                            <w:rFonts w:ascii="宋体" w:hAnsi="宋体" w:cs="宋体" w:eastAsia="宋体" w:hint="default"/>
                            <w:sz w:val="18"/>
                            <w:szCs w:val="18"/>
                          </w:rPr>
                          <w:t>财务咨</w:t>
                        </w:r>
                        <w:r>
                          <w:rPr>
                            <w:rFonts w:ascii="宋体" w:hAnsi="宋体" w:cs="宋体" w:eastAsia="宋体" w:hint="default"/>
                            <w:sz w:val="18"/>
                            <w:szCs w:val="18"/>
                          </w:rPr>
                          <w:t> 询等</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tabs>
                            <w:tab w:pos="2707" w:val="left" w:leader="none"/>
                          </w:tabs>
                          <w:spacing w:line="267" w:lineRule="exact"/>
                          <w:ind w:right="-5015"/>
                          <w:jc w:val="right"/>
                          <w:rPr>
                            <w:rFonts w:ascii="宋体" w:hAnsi="宋体" w:cs="宋体" w:eastAsia="宋体" w:hint="default"/>
                            <w:sz w:val="18"/>
                            <w:szCs w:val="18"/>
                          </w:rPr>
                        </w:pPr>
                        <w:r>
                          <w:rPr>
                            <w:rFonts w:ascii="宋体" w:hAnsi="宋体" w:cs="宋体" w:eastAsia="宋体" w:hint="default"/>
                            <w:sz w:val="18"/>
                            <w:szCs w:val="18"/>
                          </w:rPr>
                          <w:t>霍尔果斯硕佳股</w:t>
                          <w:tab/>
                        </w:r>
                        <w:r>
                          <w:rPr>
                            <w:rFonts w:ascii="宋体" w:hAnsi="宋体" w:cs="宋体" w:eastAsia="宋体" w:hint="default"/>
                            <w:position w:val="-11"/>
                            <w:sz w:val="18"/>
                            <w:szCs w:val="18"/>
                          </w:rPr>
                          <w:t>资产负债表日</w:t>
                        </w:r>
                        <w:r>
                          <w:rPr>
                            <w:rFonts w:ascii="宋体" w:hAnsi="宋体" w:cs="宋体" w:eastAsia="宋体" w:hint="default"/>
                            <w:sz w:val="18"/>
                            <w:szCs w:val="18"/>
                          </w:rPr>
                        </w:r>
                      </w:p>
                      <w:p>
                        <w:pPr>
                          <w:pStyle w:val="TableParagraph"/>
                          <w:tabs>
                            <w:tab w:pos="4631" w:val="left" w:leader="none"/>
                            <w:tab w:pos="5270" w:val="left" w:leader="none"/>
                          </w:tabs>
                          <w:spacing w:line="156" w:lineRule="auto" w:before="12"/>
                          <w:ind w:left="2562" w:right="-4924"/>
                          <w:jc w:val="left"/>
                          <w:rPr>
                            <w:rFonts w:ascii="宋体" w:hAnsi="宋体" w:cs="宋体" w:eastAsia="宋体" w:hint="default"/>
                            <w:sz w:val="18"/>
                            <w:szCs w:val="18"/>
                          </w:rPr>
                        </w:pPr>
                        <w:r>
                          <w:rPr>
                            <w:rFonts w:ascii="宋体" w:hAnsi="宋体" w:cs="宋体" w:eastAsia="宋体" w:hint="default"/>
                            <w:sz w:val="18"/>
                            <w:szCs w:val="18"/>
                          </w:rPr>
                          <w:t>权投资有限公司；</w:t>
                          <w:tab/>
                          <w:tab/>
                        </w:r>
                        <w:r>
                          <w:rPr>
                            <w:rFonts w:ascii="宋体" w:hAnsi="宋体" w:cs="宋体" w:eastAsia="宋体" w:hint="default"/>
                            <w:position w:val="-11"/>
                            <w:sz w:val="18"/>
                            <w:szCs w:val="18"/>
                          </w:rPr>
                          <w:t>所涉及</w:t>
                        </w:r>
                        <w:r>
                          <w:rPr>
                            <w:rFonts w:ascii="宋体" w:hAnsi="宋体" w:cs="宋体" w:eastAsia="宋体" w:hint="default"/>
                            <w:spacing w:val="-2"/>
                            <w:position w:val="-11"/>
                            <w:sz w:val="18"/>
                            <w:szCs w:val="18"/>
                          </w:rPr>
                          <w:t> </w:t>
                        </w:r>
                        <w:r>
                          <w:rPr>
                            <w:rFonts w:ascii="宋体" w:hAnsi="宋体" w:cs="宋体" w:eastAsia="宋体" w:hint="default"/>
                            <w:position w:val="-11"/>
                            <w:sz w:val="18"/>
                            <w:szCs w:val="18"/>
                          </w:rPr>
                          <w:t>的股</w:t>
                        </w:r>
                        <w:r>
                          <w:rPr>
                            <w:rFonts w:ascii="宋体" w:hAnsi="宋体" w:cs="宋体" w:eastAsia="宋体" w:hint="default"/>
                            <w:position w:val="-11"/>
                            <w:sz w:val="18"/>
                            <w:szCs w:val="18"/>
                          </w:rPr>
                          <w:t> </w:t>
                        </w:r>
                        <w:r>
                          <w:rPr>
                            <w:rFonts w:ascii="宋体" w:hAnsi="宋体" w:cs="宋体" w:eastAsia="宋体" w:hint="default"/>
                            <w:sz w:val="18"/>
                            <w:szCs w:val="18"/>
                          </w:rPr>
                          <w:t>西藏天元方创创</w:t>
                          <w:tab/>
                          <w:t>财税服</w:t>
                        </w:r>
                      </w:p>
                      <w:p>
                        <w:pPr>
                          <w:pStyle w:val="TableParagraph"/>
                          <w:tabs>
                            <w:tab w:pos="4631" w:val="left" w:leader="none"/>
                            <w:tab w:pos="5270" w:val="left" w:leader="none"/>
                            <w:tab w:pos="8066" w:val="left" w:leader="none"/>
                          </w:tabs>
                          <w:spacing w:line="153" w:lineRule="auto" w:before="5"/>
                          <w:ind w:left="2008" w:right="-8003" w:hanging="1956"/>
                          <w:jc w:val="left"/>
                          <w:rPr>
                            <w:rFonts w:ascii="宋体" w:hAnsi="宋体" w:cs="宋体" w:eastAsia="宋体" w:hint="default"/>
                            <w:sz w:val="18"/>
                            <w:szCs w:val="18"/>
                          </w:rPr>
                        </w:pPr>
                        <w:r>
                          <w:rPr>
                            <w:rFonts w:ascii="宋体" w:hAnsi="宋体" w:cs="宋体" w:eastAsia="宋体" w:hint="default"/>
                            <w:sz w:val="18"/>
                            <w:szCs w:val="18"/>
                          </w:rPr>
                          <w:t>270,000,000.00 60.00% </w:t>
                        </w:r>
                        <w:r>
                          <w:rPr>
                            <w:rFonts w:ascii="宋体" w:hAnsi="宋体" w:cs="宋体" w:eastAsia="宋体" w:hint="default"/>
                            <w:position w:val="12"/>
                            <w:sz w:val="18"/>
                            <w:szCs w:val="18"/>
                          </w:rPr>
                          <w:t>自有</w:t>
                        </w:r>
                        <w:r>
                          <w:rPr>
                            <w:rFonts w:ascii="宋体" w:hAnsi="宋体" w:cs="宋体" w:eastAsia="宋体" w:hint="default"/>
                            <w:spacing w:val="59"/>
                            <w:position w:val="12"/>
                            <w:sz w:val="18"/>
                            <w:szCs w:val="18"/>
                          </w:rPr>
                          <w:t> </w:t>
                        </w:r>
                        <w:r>
                          <w:rPr>
                            <w:rFonts w:ascii="宋体" w:hAnsi="宋体" w:cs="宋体" w:eastAsia="宋体" w:hint="default"/>
                            <w:sz w:val="18"/>
                            <w:szCs w:val="18"/>
                          </w:rPr>
                          <w:t>业投资有限公司；长期</w:t>
                          <w:tab/>
                          <w:t>务及咨</w:t>
                        </w:r>
                        <w:r>
                          <w:rPr>
                            <w:rFonts w:ascii="宋体" w:hAnsi="宋体" w:cs="宋体" w:eastAsia="宋体" w:hint="default"/>
                            <w:spacing w:val="8"/>
                            <w:sz w:val="18"/>
                            <w:szCs w:val="18"/>
                          </w:rPr>
                          <w:t> </w:t>
                        </w:r>
                        <w:r>
                          <w:rPr>
                            <w:rFonts w:ascii="宋体" w:hAnsi="宋体" w:cs="宋体" w:eastAsia="宋体" w:hint="default"/>
                            <w:position w:val="12"/>
                            <w:sz w:val="18"/>
                            <w:szCs w:val="18"/>
                          </w:rPr>
                          <w:t>权产权已全部</w:t>
                          <w:tab/>
                        </w:r>
                        <w:r>
                          <w:rPr>
                            <w:rFonts w:ascii="Times New Roman" w:hAnsi="Times New Roman" w:cs="Times New Roman" w:eastAsia="Times New Roman" w:hint="default"/>
                            <w:sz w:val="18"/>
                            <w:szCs w:val="18"/>
                          </w:rPr>
                          <w:t>13,364,089.44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否 资金 </w:t>
                        </w:r>
                        <w:r>
                          <w:rPr>
                            <w:rFonts w:ascii="宋体" w:hAnsi="宋体" w:cs="宋体" w:eastAsia="宋体" w:hint="default"/>
                            <w:spacing w:val="14"/>
                            <w:sz w:val="18"/>
                            <w:szCs w:val="18"/>
                          </w:rPr>
                          <w:t> </w:t>
                        </w:r>
                        <w:r>
                          <w:rPr>
                            <w:rFonts w:ascii="宋体" w:hAnsi="宋体" w:cs="宋体" w:eastAsia="宋体" w:hint="default"/>
                            <w:position w:val="-11"/>
                            <w:sz w:val="18"/>
                            <w:szCs w:val="18"/>
                          </w:rPr>
                          <w:t>霍尔果斯神州易</w:t>
                          <w:tab/>
                          <w:t>询</w:t>
                          <w:tab/>
                        </w:r>
                        <w:r>
                          <w:rPr>
                            <w:rFonts w:ascii="宋体" w:hAnsi="宋体" w:cs="宋体" w:eastAsia="宋体" w:hint="default"/>
                            <w:sz w:val="18"/>
                            <w:szCs w:val="18"/>
                          </w:rPr>
                          <w:t>过户、所涉及</w:t>
                        </w:r>
                      </w:p>
                      <w:p>
                        <w:pPr>
                          <w:pStyle w:val="TableParagraph"/>
                          <w:tabs>
                            <w:tab w:pos="2707" w:val="left" w:leader="none"/>
                          </w:tabs>
                          <w:spacing w:line="221" w:lineRule="exact"/>
                          <w:ind w:right="-5015"/>
                          <w:jc w:val="right"/>
                          <w:rPr>
                            <w:rFonts w:ascii="宋体" w:hAnsi="宋体" w:cs="宋体" w:eastAsia="宋体" w:hint="default"/>
                            <w:sz w:val="18"/>
                            <w:szCs w:val="18"/>
                          </w:rPr>
                        </w:pPr>
                        <w:r>
                          <w:rPr>
                            <w:rFonts w:ascii="宋体" w:hAnsi="宋体" w:cs="宋体" w:eastAsia="宋体" w:hint="default"/>
                            <w:sz w:val="18"/>
                            <w:szCs w:val="18"/>
                          </w:rPr>
                          <w:t>桥股权投资合伙</w:t>
                          <w:tab/>
                        </w:r>
                        <w:r>
                          <w:rPr>
                            <w:rFonts w:ascii="宋体" w:hAnsi="宋体" w:cs="宋体" w:eastAsia="宋体" w:hint="default"/>
                            <w:position w:val="12"/>
                            <w:sz w:val="18"/>
                            <w:szCs w:val="18"/>
                          </w:rPr>
                          <w:t>的债权债务已</w:t>
                        </w:r>
                        <w:r>
                          <w:rPr>
                            <w:rFonts w:ascii="宋体" w:hAnsi="宋体" w:cs="宋体" w:eastAsia="宋体" w:hint="default"/>
                            <w:sz w:val="18"/>
                            <w:szCs w:val="18"/>
                          </w:rPr>
                        </w:r>
                      </w:p>
                      <w:p>
                        <w:pPr>
                          <w:pStyle w:val="TableParagraph"/>
                          <w:tabs>
                            <w:tab w:pos="2707" w:val="left" w:leader="none"/>
                          </w:tabs>
                          <w:spacing w:line="294" w:lineRule="exact"/>
                          <w:ind w:right="-4655"/>
                          <w:jc w:val="right"/>
                          <w:rPr>
                            <w:rFonts w:ascii="宋体" w:hAnsi="宋体" w:cs="宋体" w:eastAsia="宋体" w:hint="default"/>
                            <w:sz w:val="18"/>
                            <w:szCs w:val="18"/>
                          </w:rPr>
                        </w:pPr>
                        <w:r>
                          <w:rPr>
                            <w:rFonts w:ascii="宋体" w:hAnsi="宋体" w:cs="宋体" w:eastAsia="宋体" w:hint="default"/>
                            <w:sz w:val="18"/>
                            <w:szCs w:val="18"/>
                          </w:rPr>
                          <w:t>企业（有限合伙）</w:t>
                          <w:tab/>
                        </w:r>
                        <w:r>
                          <w:rPr>
                            <w:rFonts w:ascii="宋体" w:hAnsi="宋体" w:cs="宋体" w:eastAsia="宋体" w:hint="default"/>
                            <w:position w:val="12"/>
                            <w:sz w:val="18"/>
                            <w:szCs w:val="18"/>
                          </w:rPr>
                          <w:t>全部转移</w:t>
                        </w:r>
                        <w:r>
                          <w:rPr>
                            <w:rFonts w:ascii="宋体" w:hAnsi="宋体" w:cs="宋体" w:eastAsia="宋体" w:hint="default"/>
                            <w:sz w:val="18"/>
                            <w:szCs w:val="18"/>
                          </w:rPr>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tcPr>
                      <w:p>
                        <w:pPr/>
                      </w:p>
                    </w:tc>
                    <w:tc>
                      <w:tcPr>
                        <w:tcW w:w="1427" w:type="dxa"/>
                        <w:tcBorders>
                          <w:top w:val="single" w:sz="4" w:space="0" w:color="000000"/>
                          <w:left w:val="nil" w:sz="6" w:space="0" w:color="auto"/>
                          <w:bottom w:val="single" w:sz="4" w:space="0" w:color="000000"/>
                          <w:right w:val="nil" w:sz="6" w:space="0" w:color="auto"/>
                        </w:tcBorders>
                      </w:tcPr>
                      <w:p>
                        <w:pPr/>
                      </w:p>
                    </w:tc>
                    <w:tc>
                      <w:tcPr>
                        <w:tcW w:w="640"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117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2" w:right="120"/>
                          <w:jc w:val="both"/>
                          <w:rPr>
                            <w:rFonts w:ascii="宋体" w:hAnsi="宋体" w:cs="宋体" w:eastAsia="宋体" w:hint="default"/>
                            <w:sz w:val="18"/>
                            <w:szCs w:val="18"/>
                          </w:rPr>
                        </w:pPr>
                        <w:r>
                          <w:rPr>
                            <w:rFonts w:ascii="宋体" w:hAnsi="宋体" w:cs="宋体" w:eastAsia="宋体" w:hint="default"/>
                            <w:sz w:val="18"/>
                            <w:szCs w:val="18"/>
                          </w:rPr>
                          <w:t>霍尔果斯 快马财税 管理服务 有限公司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both"/>
                          <w:rPr>
                            <w:rFonts w:ascii="宋体" w:hAnsi="宋体" w:cs="宋体" w:eastAsia="宋体" w:hint="default"/>
                            <w:sz w:val="18"/>
                            <w:szCs w:val="18"/>
                          </w:rPr>
                        </w:pPr>
                        <w:r>
                          <w:rPr>
                            <w:rFonts w:ascii="宋体" w:hAnsi="宋体" w:cs="宋体" w:eastAsia="宋体" w:hint="default"/>
                            <w:sz w:val="18"/>
                            <w:szCs w:val="18"/>
                          </w:rPr>
                          <w:t>知识产权代理；人</w:t>
                        </w:r>
                      </w:p>
                      <w:p>
                        <w:pPr>
                          <w:pStyle w:val="TableParagraph"/>
                          <w:spacing w:line="237" w:lineRule="auto"/>
                          <w:ind w:left="24" w:right="79"/>
                          <w:jc w:val="both"/>
                          <w:rPr>
                            <w:rFonts w:ascii="宋体" w:hAnsi="宋体" w:cs="宋体" w:eastAsia="宋体" w:hint="default"/>
                            <w:sz w:val="18"/>
                            <w:szCs w:val="18"/>
                          </w:rPr>
                        </w:pPr>
                        <w:r>
                          <w:rPr>
                            <w:rFonts w:ascii="宋体" w:hAnsi="宋体" w:cs="宋体" w:eastAsia="宋体" w:hint="default"/>
                            <w:sz w:val="18"/>
                            <w:szCs w:val="18"/>
                          </w:rPr>
                          <w:t>力资源外包；工商 事务代理及咨询； 财务培训及咨询； 代理记账等</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tabs>
                            <w:tab w:pos="2068" w:val="left" w:leader="none"/>
                          </w:tabs>
                          <w:spacing w:line="294" w:lineRule="exact" w:before="85"/>
                          <w:ind w:right="-5015"/>
                          <w:jc w:val="right"/>
                          <w:rPr>
                            <w:rFonts w:ascii="宋体" w:hAnsi="宋体" w:cs="宋体" w:eastAsia="宋体" w:hint="default"/>
                            <w:sz w:val="18"/>
                            <w:szCs w:val="18"/>
                          </w:rPr>
                        </w:pPr>
                        <w:r>
                          <w:rPr>
                            <w:rFonts w:ascii="宋体" w:hAnsi="宋体" w:cs="宋体" w:eastAsia="宋体" w:hint="default"/>
                            <w:sz w:val="18"/>
                            <w:szCs w:val="18"/>
                          </w:rPr>
                          <w:t>霍尔果斯神州易</w:t>
                          <w:tab/>
                          <w:t>财税服</w:t>
                        </w:r>
                        <w:r>
                          <w:rPr>
                            <w:rFonts w:ascii="宋体" w:hAnsi="宋体" w:cs="宋体" w:eastAsia="宋体" w:hint="default"/>
                            <w:spacing w:val="8"/>
                            <w:sz w:val="18"/>
                            <w:szCs w:val="18"/>
                          </w:rPr>
                          <w:t> </w:t>
                        </w:r>
                        <w:r>
                          <w:rPr>
                            <w:rFonts w:ascii="宋体" w:hAnsi="宋体" w:cs="宋体" w:eastAsia="宋体" w:hint="default"/>
                            <w:position w:val="12"/>
                            <w:sz w:val="18"/>
                            <w:szCs w:val="18"/>
                          </w:rPr>
                          <w:t>资产负债表日</w:t>
                        </w:r>
                        <w:r>
                          <w:rPr>
                            <w:rFonts w:ascii="宋体" w:hAnsi="宋体" w:cs="宋体" w:eastAsia="宋体" w:hint="default"/>
                            <w:sz w:val="18"/>
                            <w:szCs w:val="18"/>
                          </w:rPr>
                        </w:r>
                      </w:p>
                      <w:p>
                        <w:pPr>
                          <w:pStyle w:val="TableParagraph"/>
                          <w:tabs>
                            <w:tab w:pos="4631" w:val="left" w:leader="none"/>
                            <w:tab w:pos="5270" w:val="left" w:leader="none"/>
                            <w:tab w:pos="8066" w:val="left" w:leader="none"/>
                          </w:tabs>
                          <w:spacing w:line="151" w:lineRule="auto" w:before="61"/>
                          <w:ind w:left="2008" w:right="-8003" w:hanging="1956"/>
                          <w:jc w:val="left"/>
                          <w:rPr>
                            <w:rFonts w:ascii="宋体" w:hAnsi="宋体" w:cs="宋体" w:eastAsia="宋体" w:hint="default"/>
                            <w:sz w:val="18"/>
                            <w:szCs w:val="18"/>
                          </w:rPr>
                        </w:pPr>
                        <w:r>
                          <w:rPr>
                            <w:rFonts w:ascii="宋体" w:hAnsi="宋体" w:cs="宋体" w:eastAsia="宋体" w:hint="default"/>
                            <w:sz w:val="18"/>
                            <w:szCs w:val="18"/>
                          </w:rPr>
                          <w:t>100,000,000.00 29.41% </w:t>
                        </w:r>
                        <w:r>
                          <w:rPr>
                            <w:rFonts w:ascii="宋体" w:hAnsi="宋体" w:cs="宋体" w:eastAsia="宋体" w:hint="default"/>
                            <w:position w:val="12"/>
                            <w:sz w:val="18"/>
                            <w:szCs w:val="18"/>
                          </w:rPr>
                          <w:t>自有  </w:t>
                        </w:r>
                        <w:r>
                          <w:rPr>
                            <w:rFonts w:ascii="宋体" w:hAnsi="宋体" w:cs="宋体" w:eastAsia="宋体" w:hint="default"/>
                            <w:sz w:val="18"/>
                            <w:szCs w:val="18"/>
                          </w:rPr>
                          <w:t>桥股权投资合伙</w:t>
                        </w:r>
                        <w:r>
                          <w:rPr>
                            <w:rFonts w:ascii="宋体" w:hAnsi="宋体" w:cs="宋体" w:eastAsia="宋体" w:hint="default"/>
                            <w:spacing w:val="59"/>
                            <w:sz w:val="18"/>
                            <w:szCs w:val="18"/>
                          </w:rPr>
                          <w:t> </w:t>
                        </w:r>
                        <w:r>
                          <w:rPr>
                            <w:rFonts w:ascii="宋体" w:hAnsi="宋体" w:cs="宋体" w:eastAsia="宋体" w:hint="default"/>
                            <w:sz w:val="18"/>
                            <w:szCs w:val="18"/>
                          </w:rPr>
                          <w:t>长期</w:t>
                          <w:tab/>
                          <w:t>务及咨</w:t>
                        </w:r>
                        <w:r>
                          <w:rPr>
                            <w:rFonts w:ascii="宋体" w:hAnsi="宋体" w:cs="宋体" w:eastAsia="宋体" w:hint="default"/>
                            <w:spacing w:val="8"/>
                            <w:sz w:val="18"/>
                            <w:szCs w:val="18"/>
                          </w:rPr>
                          <w:t> </w:t>
                        </w:r>
                        <w:r>
                          <w:rPr>
                            <w:rFonts w:ascii="宋体" w:hAnsi="宋体" w:cs="宋体" w:eastAsia="宋体" w:hint="default"/>
                            <w:position w:val="12"/>
                            <w:sz w:val="18"/>
                            <w:szCs w:val="18"/>
                          </w:rPr>
                          <w:t>所涉及的股权</w:t>
                          <w:tab/>
                        </w:r>
                        <w:r>
                          <w:rPr>
                            <w:rFonts w:ascii="Times New Roman" w:hAnsi="Times New Roman" w:cs="Times New Roman" w:eastAsia="Times New Roman" w:hint="default"/>
                            <w:sz w:val="18"/>
                            <w:szCs w:val="18"/>
                          </w:rPr>
                          <w:t>41,567,683.06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否 </w:t>
                        </w:r>
                        <w:r>
                          <w:rPr>
                            <w:rFonts w:ascii="宋体" w:hAnsi="宋体" w:cs="宋体" w:eastAsia="宋体" w:hint="default"/>
                            <w:position w:val="12"/>
                            <w:sz w:val="18"/>
                            <w:szCs w:val="18"/>
                          </w:rPr>
                          <w:t>资金 </w:t>
                        </w:r>
                        <w:r>
                          <w:rPr>
                            <w:rFonts w:ascii="宋体" w:hAnsi="宋体" w:cs="宋体" w:eastAsia="宋体" w:hint="default"/>
                            <w:spacing w:val="14"/>
                            <w:position w:val="12"/>
                            <w:sz w:val="18"/>
                            <w:szCs w:val="18"/>
                          </w:rPr>
                          <w:t> </w:t>
                        </w:r>
                        <w:r>
                          <w:rPr>
                            <w:rFonts w:ascii="宋体" w:hAnsi="宋体" w:cs="宋体" w:eastAsia="宋体" w:hint="default"/>
                            <w:sz w:val="18"/>
                            <w:szCs w:val="18"/>
                          </w:rPr>
                          <w:t>企业（有限合伙）</w:t>
                          <w:tab/>
                          <w:t>询</w:t>
                          <w:tab/>
                        </w:r>
                        <w:r>
                          <w:rPr>
                            <w:rFonts w:ascii="宋体" w:hAnsi="宋体" w:cs="宋体" w:eastAsia="宋体" w:hint="default"/>
                            <w:position w:val="12"/>
                            <w:sz w:val="18"/>
                            <w:szCs w:val="18"/>
                          </w:rPr>
                          <w:t>产权已全部过</w:t>
                        </w:r>
                        <w:r>
                          <w:rPr>
                            <w:rFonts w:ascii="宋体" w:hAnsi="宋体" w:cs="宋体" w:eastAsia="宋体" w:hint="default"/>
                            <w:sz w:val="18"/>
                            <w:szCs w:val="18"/>
                          </w:rPr>
                        </w:r>
                      </w:p>
                      <w:p>
                        <w:pPr>
                          <w:pStyle w:val="TableParagraph"/>
                          <w:spacing w:line="127" w:lineRule="exact"/>
                          <w:ind w:right="-4115"/>
                          <w:jc w:val="right"/>
                          <w:rPr>
                            <w:rFonts w:ascii="宋体" w:hAnsi="宋体" w:cs="宋体" w:eastAsia="宋体" w:hint="default"/>
                            <w:sz w:val="18"/>
                            <w:szCs w:val="18"/>
                          </w:rPr>
                        </w:pPr>
                        <w:r>
                          <w:rPr>
                            <w:rFonts w:ascii="宋体" w:hAnsi="宋体" w:cs="宋体" w:eastAsia="宋体" w:hint="default"/>
                            <w:sz w:val="18"/>
                            <w:szCs w:val="18"/>
                          </w:rPr>
                          <w:t>户</w:t>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tcPr>
                      <w:p>
                        <w:pPr/>
                      </w:p>
                    </w:tc>
                    <w:tc>
                      <w:tcPr>
                        <w:tcW w:w="1427" w:type="dxa"/>
                        <w:tcBorders>
                          <w:top w:val="single" w:sz="4" w:space="0" w:color="000000"/>
                          <w:left w:val="nil" w:sz="6" w:space="0" w:color="auto"/>
                          <w:bottom w:val="single" w:sz="4" w:space="0" w:color="000000"/>
                          <w:right w:val="nil" w:sz="6" w:space="0" w:color="auto"/>
                        </w:tcBorders>
                      </w:tcPr>
                      <w:p>
                        <w:pPr/>
                      </w:p>
                    </w:tc>
                    <w:tc>
                      <w:tcPr>
                        <w:tcW w:w="640"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117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3"/>
                          <w:ind w:left="22" w:right="120"/>
                          <w:jc w:val="both"/>
                          <w:rPr>
                            <w:rFonts w:ascii="宋体" w:hAnsi="宋体" w:cs="宋体" w:eastAsia="宋体" w:hint="default"/>
                            <w:sz w:val="18"/>
                            <w:szCs w:val="18"/>
                          </w:rPr>
                        </w:pPr>
                        <w:r>
                          <w:rPr>
                            <w:rFonts w:ascii="宋体" w:hAnsi="宋体" w:cs="宋体" w:eastAsia="宋体" w:hint="default"/>
                            <w:sz w:val="18"/>
                            <w:szCs w:val="18"/>
                          </w:rPr>
                          <w:t>神州优才 人力资源 服务有限 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人力资源管理咨</w:t>
                        </w:r>
                      </w:p>
                      <w:p>
                        <w:pPr>
                          <w:pStyle w:val="TableParagraph"/>
                          <w:spacing w:line="237" w:lineRule="auto"/>
                          <w:ind w:left="24" w:right="79"/>
                          <w:jc w:val="both"/>
                          <w:rPr>
                            <w:rFonts w:ascii="宋体" w:hAnsi="宋体" w:cs="宋体" w:eastAsia="宋体" w:hint="default"/>
                            <w:sz w:val="18"/>
                            <w:szCs w:val="18"/>
                          </w:rPr>
                        </w:pPr>
                        <w:r>
                          <w:rPr>
                            <w:rFonts w:ascii="宋体" w:hAnsi="宋体" w:cs="宋体" w:eastAsia="宋体" w:hint="default"/>
                            <w:sz w:val="18"/>
                            <w:szCs w:val="18"/>
                          </w:rPr>
                          <w:t>询；人才供求信息 的收集、整理、储 存、发布和咨询服 务等</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新设</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8"/>
                          <w:ind w:right="-3837"/>
                          <w:jc w:val="right"/>
                          <w:rPr>
                            <w:rFonts w:ascii="宋体" w:hAnsi="宋体" w:cs="宋体" w:eastAsia="宋体" w:hint="default"/>
                            <w:sz w:val="18"/>
                            <w:szCs w:val="18"/>
                          </w:rPr>
                        </w:pPr>
                        <w:r>
                          <w:rPr>
                            <w:rFonts w:ascii="宋体" w:hAnsi="宋体" w:cs="宋体" w:eastAsia="宋体" w:hint="default"/>
                            <w:sz w:val="18"/>
                            <w:szCs w:val="18"/>
                          </w:rPr>
                          <w:t>人力资</w:t>
                        </w:r>
                      </w:p>
                      <w:p>
                        <w:pPr>
                          <w:pStyle w:val="TableParagraph"/>
                          <w:tabs>
                            <w:tab w:pos="3990" w:val="left" w:leader="none"/>
                            <w:tab w:pos="4631" w:val="left" w:leader="none"/>
                            <w:tab w:pos="8291" w:val="left" w:leader="none"/>
                          </w:tabs>
                          <w:spacing w:line="300" w:lineRule="exact"/>
                          <w:ind w:left="141" w:right="-8003"/>
                          <w:jc w:val="center"/>
                          <w:rPr>
                            <w:rFonts w:ascii="宋体" w:hAnsi="宋体" w:cs="宋体" w:eastAsia="宋体" w:hint="default"/>
                            <w:sz w:val="18"/>
                            <w:szCs w:val="18"/>
                          </w:rPr>
                        </w:pPr>
                        <w:r>
                          <w:rPr>
                            <w:rFonts w:ascii="宋体" w:hAnsi="宋体" w:cs="宋体" w:eastAsia="宋体" w:hint="default"/>
                            <w:sz w:val="18"/>
                            <w:szCs w:val="18"/>
                          </w:rPr>
                          <w:t>50,000,000.00 </w:t>
                        </w:r>
                        <w:r>
                          <w:rPr>
                            <w:rFonts w:ascii="宋体" w:hAnsi="宋体" w:cs="宋体" w:eastAsia="宋体" w:hint="default"/>
                            <w:position w:val="12"/>
                            <w:sz w:val="18"/>
                            <w:szCs w:val="18"/>
                          </w:rPr>
                          <w:t>100.00 自有</w:t>
                        </w:r>
                        <w:r>
                          <w:rPr>
                            <w:rFonts w:ascii="宋体" w:hAnsi="宋体" w:cs="宋体" w:eastAsia="宋体" w:hint="default"/>
                            <w:spacing w:val="72"/>
                            <w:position w:val="12"/>
                            <w:sz w:val="18"/>
                            <w:szCs w:val="18"/>
                          </w:rPr>
                          <w:t> </w:t>
                        </w:r>
                        <w:r>
                          <w:rPr>
                            <w:rFonts w:ascii="宋体" w:hAnsi="宋体" w:cs="宋体" w:eastAsia="宋体" w:hint="default"/>
                            <w:sz w:val="18"/>
                            <w:szCs w:val="18"/>
                          </w:rPr>
                          <w:t>无</w:t>
                          <w:tab/>
                          <w:t>长期</w:t>
                          <w:tab/>
                        </w:r>
                        <w:r>
                          <w:rPr>
                            <w:rFonts w:ascii="宋体" w:hAnsi="宋体" w:cs="宋体" w:eastAsia="宋体" w:hint="default"/>
                            <w:position w:val="12"/>
                            <w:sz w:val="18"/>
                            <w:szCs w:val="18"/>
                          </w:rPr>
                          <w:t>源管理</w:t>
                        </w:r>
                        <w:r>
                          <w:rPr>
                            <w:rFonts w:ascii="宋体" w:hAnsi="宋体" w:cs="宋体" w:eastAsia="宋体" w:hint="default"/>
                            <w:spacing w:val="8"/>
                            <w:position w:val="12"/>
                            <w:sz w:val="18"/>
                            <w:szCs w:val="18"/>
                          </w:rPr>
                          <w:t> </w:t>
                        </w:r>
                        <w:r>
                          <w:rPr>
                            <w:rFonts w:ascii="宋体" w:hAnsi="宋体" w:cs="宋体" w:eastAsia="宋体" w:hint="default"/>
                            <w:sz w:val="18"/>
                            <w:szCs w:val="18"/>
                          </w:rPr>
                          <w:t>已注册成立</w:t>
                          <w:tab/>
                        </w:r>
                        <w:r>
                          <w:rPr>
                            <w:rFonts w:ascii="Times New Roman" w:hAnsi="Times New Roman" w:cs="Times New Roman" w:eastAsia="Times New Roman" w:hint="default"/>
                            <w:sz w:val="18"/>
                            <w:szCs w:val="18"/>
                          </w:rPr>
                          <w:t>284,214.92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否</w:t>
                        </w:r>
                      </w:p>
                      <w:p>
                        <w:pPr>
                          <w:pStyle w:val="TableParagraph"/>
                          <w:tabs>
                            <w:tab w:pos="2769" w:val="left" w:leader="none"/>
                          </w:tabs>
                          <w:spacing w:line="168" w:lineRule="exact"/>
                          <w:ind w:right="-383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资金</w:t>
                          <w:tab/>
                          <w:t>咨询、</w:t>
                        </w:r>
                      </w:p>
                      <w:p>
                        <w:pPr>
                          <w:pStyle w:val="TableParagraph"/>
                          <w:spacing w:line="234" w:lineRule="exact"/>
                          <w:ind w:right="-3657"/>
                          <w:jc w:val="right"/>
                          <w:rPr>
                            <w:rFonts w:ascii="宋体" w:hAnsi="宋体" w:cs="宋体" w:eastAsia="宋体" w:hint="default"/>
                            <w:sz w:val="18"/>
                            <w:szCs w:val="18"/>
                          </w:rPr>
                        </w:pPr>
                        <w:r>
                          <w:rPr>
                            <w:rFonts w:ascii="宋体" w:hAnsi="宋体" w:cs="宋体" w:eastAsia="宋体" w:hint="default"/>
                            <w:sz w:val="18"/>
                            <w:szCs w:val="18"/>
                          </w:rPr>
                          <w:t>服务</w:t>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tcPr>
                      <w:p>
                        <w:pPr/>
                      </w:p>
                    </w:tc>
                    <w:tc>
                      <w:tcPr>
                        <w:tcW w:w="1427" w:type="dxa"/>
                        <w:tcBorders>
                          <w:top w:val="single" w:sz="4" w:space="0" w:color="000000"/>
                          <w:left w:val="nil" w:sz="6" w:space="0" w:color="auto"/>
                          <w:bottom w:val="single" w:sz="4" w:space="0" w:color="000000"/>
                          <w:right w:val="nil" w:sz="6" w:space="0" w:color="auto"/>
                        </w:tcBorders>
                      </w:tcPr>
                      <w:p>
                        <w:pPr/>
                      </w:p>
                    </w:tc>
                    <w:tc>
                      <w:tcPr>
                        <w:tcW w:w="640"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tcPr>
                      <w:p>
                        <w:pPr/>
                      </w:p>
                    </w:tc>
                    <w:tc>
                      <w:tcPr>
                        <w:tcW w:w="638"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29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0"/>
                          <w:jc w:val="center"/>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222"/>
                          <w:jc w:val="right"/>
                          <w:rPr>
                            <w:rFonts w:ascii="宋体" w:hAnsi="宋体" w:cs="宋体" w:eastAsia="宋体" w:hint="default"/>
                            <w:sz w:val="18"/>
                            <w:szCs w:val="18"/>
                          </w:rPr>
                        </w:pPr>
                        <w:r>
                          <w:rPr>
                            <w:rFonts w:ascii="宋体"/>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569" w:val="left" w:leader="none"/>
                            <w:tab w:pos="2166" w:val="left" w:leader="none"/>
                            <w:tab w:pos="3158" w:val="left" w:leader="none"/>
                            <w:tab w:pos="4192" w:val="left" w:leader="none"/>
                            <w:tab w:pos="4830" w:val="left" w:leader="none"/>
                            <w:tab w:pos="5726" w:val="left" w:leader="none"/>
                            <w:tab w:pos="8066" w:val="left" w:leader="none"/>
                            <w:tab w:pos="9813" w:val="left" w:leader="none"/>
                            <w:tab w:pos="11222" w:val="left" w:leader="none"/>
                          </w:tabs>
                          <w:spacing w:line="245" w:lineRule="exact"/>
                          <w:ind w:left="52" w:right="-10068"/>
                          <w:jc w:val="left"/>
                          <w:rPr>
                            <w:rFonts w:ascii="宋体" w:hAnsi="宋体" w:cs="宋体" w:eastAsia="宋体" w:hint="default"/>
                            <w:sz w:val="18"/>
                            <w:szCs w:val="18"/>
                          </w:rPr>
                        </w:pPr>
                        <w:r>
                          <w:rPr>
                            <w:rFonts w:ascii="宋体"/>
                            <w:spacing w:val="-1"/>
                            <w:sz w:val="18"/>
                          </w:rPr>
                          <w:t>768,720,000.00</w:t>
                          <w:tab/>
                        </w:r>
                        <w:r>
                          <w:rPr>
                            <w:rFonts w:ascii="宋体"/>
                            <w:sz w:val="18"/>
                          </w:rPr>
                          <w:t>--</w:t>
                          <w:tab/>
                          <w:t>--</w:t>
                          <w:tab/>
                          <w:t>--</w:t>
                          <w:tab/>
                          <w:t>--</w:t>
                          <w:tab/>
                          <w:t>--</w:t>
                          <w:tab/>
                          <w:t>--</w:t>
                          <w:tab/>
                        </w:r>
                        <w:r>
                          <w:rPr>
                            <w:rFonts w:ascii="Times New Roman"/>
                            <w:spacing w:val="-1"/>
                            <w:sz w:val="18"/>
                          </w:rPr>
                          <w:t>83,309,171.80</w:t>
                        </w:r>
                        <w:r>
                          <w:rPr>
                            <w:rFonts w:ascii="Times New Roman"/>
                            <w:sz w:val="18"/>
                          </w:rPr>
                          <w:t>  </w:t>
                        </w:r>
                        <w:r>
                          <w:rPr>
                            <w:rFonts w:ascii="Times New Roman"/>
                            <w:spacing w:val="38"/>
                            <w:sz w:val="18"/>
                          </w:rPr>
                          <w:t> </w:t>
                        </w:r>
                        <w:r>
                          <w:rPr>
                            <w:rFonts w:ascii="宋体"/>
                            <w:sz w:val="18"/>
                          </w:rPr>
                          <w:t>--</w:t>
                          <w:tab/>
                          <w:t>--</w:t>
                          <w:tab/>
                          <w:t>--</w:t>
                        </w:r>
                      </w:p>
                    </w:tc>
                    <w:tc>
                      <w:tcPr>
                        <w:tcW w:w="640" w:type="dxa"/>
                        <w:tcBorders>
                          <w:top w:val="single" w:sz="4" w:space="0" w:color="000000"/>
                          <w:left w:val="single" w:sz="4" w:space="0" w:color="000000"/>
                          <w:bottom w:val="single" w:sz="4" w:space="0" w:color="000000"/>
                          <w:right w:val="nil" w:sz="6" w:space="0" w:color="auto"/>
                        </w:tcBorders>
                      </w:tcPr>
                      <w:p>
                        <w:pPr/>
                      </w:p>
                    </w:tc>
                    <w:tc>
                      <w:tcPr>
                        <w:tcW w:w="556" w:type="dxa"/>
                        <w:tcBorders>
                          <w:top w:val="single" w:sz="4" w:space="0" w:color="000000"/>
                          <w:left w:val="nil" w:sz="6" w:space="0" w:color="auto"/>
                          <w:bottom w:val="single" w:sz="4" w:space="0" w:color="000000"/>
                          <w:right w:val="nil" w:sz="6" w:space="0" w:color="auto"/>
                        </w:tcBorders>
                        <w:shd w:val="clear" w:color="auto" w:fill="D2D2D2"/>
                      </w:tcPr>
                      <w:p>
                        <w:pPr/>
                      </w:p>
                    </w:tc>
                    <w:tc>
                      <w:tcPr>
                        <w:tcW w:w="1427" w:type="dxa"/>
                        <w:tcBorders>
                          <w:top w:val="single" w:sz="4" w:space="0" w:color="000000"/>
                          <w:left w:val="nil" w:sz="6" w:space="0" w:color="auto"/>
                          <w:bottom w:val="single" w:sz="4" w:space="0" w:color="000000"/>
                          <w:right w:val="nil" w:sz="6" w:space="0" w:color="auto"/>
                        </w:tcBorders>
                        <w:shd w:val="clear" w:color="auto" w:fill="D2D2D2"/>
                      </w:tcPr>
                      <w:p>
                        <w:pPr/>
                      </w:p>
                    </w:tc>
                    <w:tc>
                      <w:tcPr>
                        <w:tcW w:w="640" w:type="dxa"/>
                        <w:tcBorders>
                          <w:top w:val="single" w:sz="4" w:space="0" w:color="000000"/>
                          <w:left w:val="nil" w:sz="6" w:space="0" w:color="auto"/>
                          <w:bottom w:val="single" w:sz="4" w:space="0" w:color="000000"/>
                          <w:right w:val="nil" w:sz="6" w:space="0" w:color="auto"/>
                        </w:tcBorders>
                        <w:shd w:val="clear" w:color="auto" w:fill="D2D2D2"/>
                      </w:tcPr>
                      <w:p>
                        <w:pPr/>
                      </w:p>
                    </w:tc>
                    <w:tc>
                      <w:tcPr>
                        <w:tcW w:w="638" w:type="dxa"/>
                        <w:tcBorders>
                          <w:top w:val="single" w:sz="4" w:space="0" w:color="000000"/>
                          <w:left w:val="nil" w:sz="6" w:space="0" w:color="auto"/>
                          <w:bottom w:val="single" w:sz="4" w:space="0" w:color="000000"/>
                          <w:right w:val="nil" w:sz="6" w:space="0" w:color="auto"/>
                        </w:tcBorders>
                        <w:shd w:val="clear" w:color="auto" w:fill="D2D2D2"/>
                      </w:tcPr>
                      <w:p>
                        <w:pPr/>
                      </w:p>
                    </w:tc>
                    <w:tc>
                      <w:tcPr>
                        <w:tcW w:w="1152" w:type="dxa"/>
                        <w:tcBorders>
                          <w:top w:val="single" w:sz="4" w:space="0" w:color="000000"/>
                          <w:left w:val="nil" w:sz="6" w:space="0" w:color="auto"/>
                          <w:bottom w:val="single" w:sz="4" w:space="0" w:color="000000"/>
                          <w:right w:val="nil" w:sz="6" w:space="0" w:color="auto"/>
                        </w:tcBorders>
                        <w:shd w:val="clear" w:color="auto" w:fill="D2D2D2"/>
                      </w:tcPr>
                      <w:p>
                        <w:pPr/>
                      </w:p>
                    </w:tc>
                    <w:tc>
                      <w:tcPr>
                        <w:tcW w:w="139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455" w:type="dxa"/>
                        <w:tcBorders>
                          <w:top w:val="single" w:sz="4" w:space="0" w:color="000000"/>
                          <w:left w:val="nil" w:sz="6" w:space="0" w:color="auto"/>
                          <w:bottom w:val="single" w:sz="4" w:space="0" w:color="000000"/>
                          <w:right w:val="nil" w:sz="6" w:space="0" w:color="auto"/>
                        </w:tcBorders>
                        <w:shd w:val="clear" w:color="auto" w:fill="D2D2D2"/>
                      </w:tcPr>
                      <w:p>
                        <w:pPr/>
                      </w:p>
                    </w:tc>
                    <w:tc>
                      <w:tcPr>
                        <w:tcW w:w="638" w:type="dxa"/>
                        <w:tcBorders>
                          <w:top w:val="single" w:sz="4" w:space="0" w:color="000000"/>
                          <w:left w:val="nil" w:sz="6" w:space="0" w:color="auto"/>
                          <w:bottom w:val="single" w:sz="4" w:space="0" w:color="000000"/>
                          <w:right w:val="nil" w:sz="6" w:space="0" w:color="auto"/>
                        </w:tcBorders>
                        <w:shd w:val="clear" w:color="auto" w:fill="D2D2D2"/>
                      </w:tcPr>
                      <w:p>
                        <w:pPr/>
                      </w:p>
                    </w:tc>
                    <w:tc>
                      <w:tcPr>
                        <w:tcW w:w="2180" w:type="dxa"/>
                        <w:tcBorders>
                          <w:top w:val="single" w:sz="4" w:space="0" w:color="000000"/>
                          <w:left w:val="nil" w:sz="6" w:space="0" w:color="auto"/>
                          <w:bottom w:val="single" w:sz="4" w:space="0" w:color="000000"/>
                          <w:right w:val="nil" w:sz="6" w:space="0" w:color="auto"/>
                        </w:tcBorders>
                        <w:shd w:val="clear" w:color="auto" w:fill="D2D2D2"/>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936"/>
        <w:jc w:val="right"/>
        <w:rPr>
          <w:rFonts w:ascii="Times New Roman" w:hAnsi="Times New Roman" w:cs="Times New Roman" w:eastAsia="Times New Roman" w:hint="default"/>
        </w:rPr>
      </w:pPr>
      <w:r>
        <w:rPr>
          <w:rFonts w:ascii="Times New Roman"/>
        </w:rPr>
        <w:t>20</w:t>
      </w:r>
    </w:p>
    <w:p>
      <w:pPr>
        <w:spacing w:after="0" w:line="240" w:lineRule="auto"/>
        <w:jc w:val="right"/>
        <w:rPr>
          <w:rFonts w:ascii="Times New Roman" w:hAnsi="Times New Roman" w:cs="Times New Roman" w:eastAsia="Times New Roman" w:hint="default"/>
        </w:rPr>
        <w:sectPr>
          <w:headerReference w:type="default" r:id="rId14"/>
          <w:footerReference w:type="default" r:id="rId15"/>
          <w:pgSz w:w="16840" w:h="11910" w:orient="landscape"/>
          <w:pgMar w:header="0" w:footer="0" w:top="800" w:bottom="280" w:left="56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pStyle w:val="Heading3"/>
        <w:spacing w:line="240" w:lineRule="auto" w:before="34"/>
        <w:ind w:left="532" w:right="0"/>
        <w:jc w:val="left"/>
        <w:rPr>
          <w:b w:val="0"/>
          <w:bCs w:val="0"/>
        </w:rPr>
      </w:pPr>
      <w:bookmarkStart w:name="（3）持有其他上市公司股权情况的说明" w:id="5"/>
      <w:bookmarkEnd w:id="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left="532"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12"/>
        <w:rPr>
          <w:rFonts w:ascii="宋体" w:hAnsi="宋体" w:cs="宋体" w:eastAsia="宋体" w:hint="default"/>
          <w:b/>
          <w:bCs/>
          <w:sz w:val="21"/>
          <w:szCs w:val="21"/>
        </w:rPr>
      </w:pPr>
    </w:p>
    <w:p>
      <w:pPr>
        <w:pStyle w:val="BodyText"/>
        <w:spacing w:line="266" w:lineRule="auto"/>
        <w:ind w:left="53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公司报告期不存在证券投资。</w:t>
      </w:r>
    </w:p>
    <w:p>
      <w:pPr>
        <w:spacing w:line="240" w:lineRule="auto" w:before="9"/>
        <w:rPr>
          <w:rFonts w:ascii="宋体" w:hAnsi="宋体" w:cs="宋体" w:eastAsia="宋体" w:hint="default"/>
          <w:sz w:val="20"/>
          <w:szCs w:val="20"/>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left="532" w:right="7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公司报告期不存在衍生品投资。</w:t>
      </w:r>
    </w:p>
    <w:p>
      <w:pPr>
        <w:spacing w:line="240" w:lineRule="auto" w:before="12"/>
        <w:rPr>
          <w:rFonts w:ascii="宋体" w:hAnsi="宋体" w:cs="宋体" w:eastAsia="宋体" w:hint="default"/>
          <w:sz w:val="19"/>
          <w:szCs w:val="19"/>
        </w:rPr>
      </w:pPr>
    </w:p>
    <w:p>
      <w:pPr>
        <w:pStyle w:val="Heading3"/>
        <w:spacing w:line="240" w:lineRule="auto"/>
        <w:ind w:left="532" w:right="0"/>
        <w:jc w:val="left"/>
        <w:rPr>
          <w:b w:val="0"/>
          <w:bCs w:val="0"/>
        </w:rPr>
      </w:pPr>
      <w:r>
        <w:rPr/>
        <w:t>（3）持有其他上市公司股权情况的说明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3"/>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4"/>
          <w:szCs w:val="4"/>
        </w:rPr>
      </w:pPr>
    </w:p>
    <w:tbl>
      <w:tblPr>
        <w:tblW w:w="0" w:type="auto"/>
        <w:jc w:val="left"/>
        <w:tblInd w:w="236" w:type="dxa"/>
        <w:tblLayout w:type="fixed"/>
        <w:tblCellMar>
          <w:top w:w="0" w:type="dxa"/>
          <w:left w:w="0" w:type="dxa"/>
          <w:bottom w:w="0" w:type="dxa"/>
          <w:right w:w="0" w:type="dxa"/>
        </w:tblCellMar>
        <w:tblLook w:val="01E0"/>
      </w:tblPr>
      <w:tblGrid>
        <w:gridCol w:w="817"/>
        <w:gridCol w:w="851"/>
        <w:gridCol w:w="1447"/>
        <w:gridCol w:w="821"/>
        <w:gridCol w:w="1418"/>
        <w:gridCol w:w="1559"/>
        <w:gridCol w:w="1660"/>
        <w:gridCol w:w="1033"/>
        <w:gridCol w:w="607"/>
      </w:tblGrid>
      <w:tr>
        <w:trPr>
          <w:trHeight w:val="954" w:hRule="exact"/>
        </w:trPr>
        <w:tc>
          <w:tcPr>
            <w:tcW w:w="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08" w:right="127"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24" w:right="145"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31" w:right="0"/>
              <w:jc w:val="both"/>
              <w:rPr>
                <w:rFonts w:ascii="宋体" w:hAnsi="宋体" w:cs="宋体" w:eastAsia="宋体" w:hint="default"/>
                <w:sz w:val="18"/>
                <w:szCs w:val="18"/>
              </w:rPr>
            </w:pPr>
            <w:r>
              <w:rPr>
                <w:rFonts w:ascii="宋体" w:hAnsi="宋体" w:cs="宋体" w:eastAsia="宋体" w:hint="default"/>
                <w:sz w:val="18"/>
                <w:szCs w:val="18"/>
              </w:rPr>
              <w:t>期末占</w:t>
            </w:r>
          </w:p>
          <w:p>
            <w:pPr>
              <w:pStyle w:val="TableParagraph"/>
              <w:spacing w:line="232" w:lineRule="exact" w:before="23"/>
              <w:ind w:left="97" w:right="71" w:firstLine="33"/>
              <w:jc w:val="both"/>
              <w:rPr>
                <w:rFonts w:ascii="宋体" w:hAnsi="宋体" w:cs="宋体" w:eastAsia="宋体" w:hint="default"/>
                <w:sz w:val="18"/>
                <w:szCs w:val="18"/>
              </w:rPr>
            </w:pPr>
            <w:r>
              <w:rPr>
                <w:rFonts w:ascii="宋体" w:hAnsi="宋体" w:cs="宋体" w:eastAsia="宋体" w:hint="default"/>
                <w:sz w:val="18"/>
                <w:szCs w:val="18"/>
              </w:rPr>
              <w:t>该公司 股权比 例（%）</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报告期损益（元）</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69" w:right="97" w:hanging="269"/>
              <w:jc w:val="left"/>
              <w:rPr>
                <w:rFonts w:ascii="宋体" w:hAnsi="宋体" w:cs="宋体" w:eastAsia="宋体" w:hint="default"/>
                <w:sz w:val="18"/>
                <w:szCs w:val="18"/>
              </w:rPr>
            </w:pPr>
            <w:r>
              <w:rPr>
                <w:rFonts w:ascii="宋体" w:hAnsi="宋体" w:cs="宋体" w:eastAsia="宋体" w:hint="default"/>
                <w:sz w:val="18"/>
                <w:szCs w:val="18"/>
              </w:rPr>
              <w:t>报告期所有者权益 变动（元）</w:t>
            </w:r>
          </w:p>
        </w:tc>
        <w:tc>
          <w:tcPr>
            <w:tcW w:w="10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27" w:right="14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487" w:hRule="exact"/>
        </w:trPr>
        <w:tc>
          <w:tcPr>
            <w:tcW w:w="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128" w:right="0"/>
              <w:jc w:val="left"/>
              <w:rPr>
                <w:rFonts w:ascii="宋体" w:hAnsi="宋体" w:cs="宋体" w:eastAsia="宋体" w:hint="default"/>
                <w:sz w:val="18"/>
                <w:szCs w:val="18"/>
              </w:rPr>
            </w:pPr>
            <w:r>
              <w:rPr>
                <w:rFonts w:ascii="宋体"/>
                <w:sz w:val="18"/>
              </w:rPr>
              <w:t>002821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144" w:right="0"/>
              <w:jc w:val="left"/>
              <w:rPr>
                <w:rFonts w:ascii="宋体" w:hAnsi="宋体" w:cs="宋体" w:eastAsia="宋体" w:hint="default"/>
                <w:sz w:val="18"/>
                <w:szCs w:val="18"/>
              </w:rPr>
            </w:pPr>
            <w:r>
              <w:rPr>
                <w:rFonts w:ascii="宋体" w:hAnsi="宋体" w:cs="宋体" w:eastAsia="宋体" w:hint="default"/>
                <w:sz w:val="18"/>
                <w:szCs w:val="18"/>
              </w:rPr>
              <w:t>凯莱英</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159" w:right="0"/>
              <w:jc w:val="left"/>
              <w:rPr>
                <w:rFonts w:ascii="宋体" w:hAnsi="宋体" w:cs="宋体" w:eastAsia="宋体" w:hint="default"/>
                <w:sz w:val="18"/>
                <w:szCs w:val="18"/>
              </w:rPr>
            </w:pPr>
            <w:r>
              <w:rPr>
                <w:rFonts w:ascii="宋体"/>
                <w:sz w:val="18"/>
              </w:rPr>
              <w:t>20,000,000.00</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253" w:right="0"/>
              <w:jc w:val="left"/>
              <w:rPr>
                <w:rFonts w:ascii="宋体" w:hAnsi="宋体" w:cs="宋体" w:eastAsia="宋体" w:hint="default"/>
                <w:sz w:val="18"/>
                <w:szCs w:val="18"/>
              </w:rPr>
            </w:pPr>
            <w:r>
              <w:rPr>
                <w:rFonts w:ascii="宋体"/>
                <w:sz w:val="18"/>
              </w:rPr>
              <w:t>0.08%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130" w:right="0"/>
              <w:jc w:val="left"/>
              <w:rPr>
                <w:rFonts w:ascii="宋体" w:hAnsi="宋体" w:cs="宋体" w:eastAsia="宋体" w:hint="default"/>
                <w:sz w:val="18"/>
                <w:szCs w:val="18"/>
              </w:rPr>
            </w:pPr>
            <w:r>
              <w:rPr>
                <w:rFonts w:ascii="宋体"/>
                <w:sz w:val="18"/>
              </w:rPr>
              <w:t>11,641,543.20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84" w:right="0"/>
              <w:jc w:val="center"/>
              <w:rPr>
                <w:rFonts w:ascii="宋体" w:hAnsi="宋体" w:cs="宋体" w:eastAsia="宋体" w:hint="default"/>
                <w:sz w:val="18"/>
                <w:szCs w:val="18"/>
              </w:rPr>
            </w:pPr>
            <w:r>
              <w:rPr>
                <w:rFonts w:ascii="宋体"/>
                <w:sz w:val="18"/>
              </w:rPr>
              <w:t>110,893,321.88</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192" w:right="0"/>
              <w:jc w:val="left"/>
              <w:rPr>
                <w:rFonts w:ascii="宋体" w:hAnsi="宋体" w:cs="宋体" w:eastAsia="宋体" w:hint="default"/>
                <w:sz w:val="18"/>
                <w:szCs w:val="18"/>
              </w:rPr>
            </w:pPr>
            <w:r>
              <w:rPr>
                <w:rFonts w:ascii="宋体"/>
                <w:sz w:val="18"/>
              </w:rPr>
              <w:t>-111,112,330.62</w:t>
            </w:r>
          </w:p>
        </w:tc>
        <w:tc>
          <w:tcPr>
            <w:tcW w:w="103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z w:val="18"/>
                <w:szCs w:val="18"/>
              </w:rPr>
              <w:t>可供出售</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before="34"/>
        <w:ind w:left="53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4"/>
        <w:ind w:left="0" w:right="552"/>
        <w:jc w:val="right"/>
      </w:pPr>
      <w:r>
        <w:rPr/>
        <w:t>单位：万元</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866"/>
        <w:gridCol w:w="1119"/>
        <w:gridCol w:w="850"/>
        <w:gridCol w:w="993"/>
        <w:gridCol w:w="992"/>
        <w:gridCol w:w="992"/>
        <w:gridCol w:w="992"/>
        <w:gridCol w:w="993"/>
        <w:gridCol w:w="850"/>
        <w:gridCol w:w="992"/>
        <w:gridCol w:w="851"/>
      </w:tblGrid>
      <w:tr>
        <w:trPr>
          <w:trHeight w:val="791"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募集方式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39" w:right="5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0" w:right="41"/>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0" w:right="39"/>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0" w:right="40"/>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1" w:right="38"/>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0" w:right="4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60" w:right="5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1" w:right="39"/>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9" w:right="6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sz w:val="18"/>
              </w:rPr>
              <w:t>2016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99,325.09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54,151.15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64,216.49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29,700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35,108.6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专户存储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99,325.09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54,151.15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64,216.49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29,700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29,700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35,108.6</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04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9" w:hRule="exact"/>
        </w:trPr>
        <w:tc>
          <w:tcPr>
            <w:tcW w:w="104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4" w:right="20"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5"/>
                <w:sz w:val="18"/>
                <w:szCs w:val="18"/>
              </w:rPr>
              <w:t>日，经公司第七届董事会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年第五次临时会议、第七届监事会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年第五次临时会议以及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年第二次临时股东大会审议批准，同意公司在保持“智慧企业孵化云平台”项目投资额不变的情况下，变更该项目线下服务体系的实 施方式。由自建方式变更为由企业管家根据项目建设进度，通过增资或收购标的企业以控股的形式建设线下服务网点，进一步保障企 业互联网服务线上线下有效结合。通过增资方式对易桥快马进行股权并购，其中以募集资金向易桥快马增资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1" w:lineRule="exact" w:before="25"/>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年第八次临时会议决议、第七届监事会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年第七次临时会议决议审议通过，同意</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万元人民币对企业管家进行增资。</w:t>
            </w:r>
          </w:p>
          <w:p>
            <w:pPr>
              <w:pStyle w:val="TableParagraph"/>
              <w:spacing w:line="241" w:lineRule="exact" w:before="2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年第九次临时会议、第七届监事会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年第八次临时会议审议通过，同意公司使用</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闲置募集资金人民币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万元暂时补充流动资金，使用期限为自董事会审议通过之日起不超过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240" w:lineRule="auto" w:before="2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年第十七次临时会议、第七届监事会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年第十六次临时会议审议通过，同意公司</w:t>
            </w:r>
          </w:p>
        </w:tc>
      </w:tr>
    </w:tbl>
    <w:p>
      <w:pPr>
        <w:spacing w:after="0" w:line="240" w:lineRule="auto"/>
        <w:jc w:val="left"/>
        <w:rPr>
          <w:rFonts w:ascii="宋体" w:hAnsi="宋体" w:cs="宋体" w:eastAsia="宋体" w:hint="default"/>
          <w:sz w:val="18"/>
          <w:szCs w:val="18"/>
        </w:rPr>
        <w:sectPr>
          <w:footerReference w:type="default" r:id="rId16"/>
          <w:pgSz w:w="11910" w:h="16840"/>
          <w:pgMar w:footer="978" w:header="0" w:top="1060" w:bottom="1160" w:left="600" w:right="580"/>
          <w:pgNumType w:start="21"/>
        </w:sectPr>
      </w:pPr>
    </w:p>
    <w:p>
      <w:pPr>
        <w:spacing w:line="240" w:lineRule="auto" w:before="10"/>
        <w:rPr>
          <w:rFonts w:ascii="宋体" w:hAnsi="宋体" w:cs="宋体" w:eastAsia="宋体" w:hint="default"/>
          <w:sz w:val="28"/>
          <w:szCs w:val="28"/>
        </w:rPr>
      </w:pPr>
    </w:p>
    <w:p>
      <w:pPr>
        <w:spacing w:line="517" w:lineRule="exact"/>
        <w:ind w:left="468"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524.5pt;height:25.85pt;mso-position-horizontal-relative:char;mso-position-vertical-relative:line" type="#_x0000_t202" filled="false" stroked="true" strokeweight=".48pt" strokecolor="#000000">
            <w10:anchorlock/>
            <v:textbox inset="0,0,0,0">
              <w:txbxContent>
                <w:p>
                  <w:pPr>
                    <w:pStyle w:val="BodyText"/>
                    <w:spacing w:line="214" w:lineRule="exact"/>
                    <w:ind w:left="23" w:right="0"/>
                    <w:jc w:val="left"/>
                  </w:pPr>
                  <w:r>
                    <w:rPr/>
                    <w:t>使用暂时闲置募集资金人民币</w:t>
                  </w:r>
                  <w:r>
                    <w:rPr>
                      <w:spacing w:val="-48"/>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2"/>
                    </w:rPr>
                    <w:t> </w:t>
                  </w:r>
                  <w:r>
                    <w:rPr/>
                    <w:t>万元购买银行保本型理财产品。截止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日，公司使用暂时闲置募集资金</w:t>
                  </w:r>
                  <w:r>
                    <w:rPr>
                      <w:spacing w:val="-46"/>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2"/>
                    </w:rPr>
                    <w:t> </w:t>
                  </w:r>
                  <w:r>
                    <w:rPr/>
                    <w:t>万</w:t>
                  </w:r>
                </w:p>
                <w:p>
                  <w:pPr>
                    <w:pStyle w:val="BodyText"/>
                    <w:spacing w:line="227" w:lineRule="exact"/>
                    <w:ind w:left="23" w:right="0"/>
                    <w:jc w:val="left"/>
                  </w:pPr>
                  <w:r>
                    <w:rPr/>
                    <w:t>元，在中国光大银行西宁分行用于购买银行保本型理财产品。</w:t>
                  </w:r>
                </w:p>
              </w:txbxContent>
            </v:textbox>
          </v:shape>
        </w:pict>
      </w:r>
      <w:r>
        <w:rPr>
          <w:rFonts w:ascii="宋体" w:hAnsi="宋体" w:cs="宋体" w:eastAsia="宋体" w:hint="default"/>
          <w:position w:val="-9"/>
          <w:sz w:val="20"/>
          <w:szCs w:val="20"/>
        </w:rPr>
      </w:r>
    </w:p>
    <w:p>
      <w:pPr>
        <w:spacing w:line="240" w:lineRule="auto" w:before="1"/>
        <w:rPr>
          <w:rFonts w:ascii="宋体" w:hAnsi="宋体" w:cs="宋体" w:eastAsia="宋体" w:hint="default"/>
          <w:sz w:val="18"/>
          <w:szCs w:val="18"/>
        </w:rPr>
      </w:pPr>
    </w:p>
    <w:p>
      <w:pPr>
        <w:pStyle w:val="Heading3"/>
        <w:spacing w:line="240" w:lineRule="auto" w:before="34"/>
        <w:ind w:left="89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8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2"/>
        <w:ind w:left="0" w:right="95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92"/>
        <w:ind w:left="0" w:right="109"/>
        <w:jc w:val="right"/>
      </w:pPr>
      <w:r>
        <w:rPr/>
        <w:pict>
          <v:shape style="position:absolute;margin-left:17.309999pt;margin-top:-472.228271pt;width:560.950pt;height:600.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779"/>
                    <w:gridCol w:w="1063"/>
                    <w:gridCol w:w="993"/>
                    <w:gridCol w:w="921"/>
                    <w:gridCol w:w="992"/>
                    <w:gridCol w:w="780"/>
                    <w:gridCol w:w="1658"/>
                    <w:gridCol w:w="632"/>
                    <w:gridCol w:w="567"/>
                    <w:gridCol w:w="692"/>
                  </w:tblGrid>
                  <w:tr>
                    <w:trPr>
                      <w:trHeight w:val="1257"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877" w:right="66" w:hanging="809"/>
                          <w:jc w:val="left"/>
                          <w:rPr>
                            <w:rFonts w:ascii="宋体" w:hAnsi="宋体" w:cs="宋体" w:eastAsia="宋体" w:hint="default"/>
                            <w:sz w:val="18"/>
                            <w:szCs w:val="18"/>
                          </w:rPr>
                        </w:pPr>
                        <w:r>
                          <w:rPr>
                            <w:rFonts w:ascii="宋体" w:hAnsi="宋体" w:cs="宋体" w:eastAsia="宋体" w:hint="default"/>
                            <w:sz w:val="18"/>
                            <w:szCs w:val="18"/>
                          </w:rPr>
                          <w:t>承诺投资项目和超募资金 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76" w:right="74"/>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206" w:right="40"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94" w:right="9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52" w:lineRule="auto"/>
                          <w:ind w:left="42"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374" w:right="102" w:hanging="272"/>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41" w:right="3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98" w:right="9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71" w:right="6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24" w:hRule="exact"/>
                    </w:trPr>
                    <w:tc>
                      <w:tcPr>
                        <w:tcW w:w="112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智慧企业孵化云平台项目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70,591.65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70,591.65</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53,718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62,146.39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88.04%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企业大数据中心平台项目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32,216.75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32,216.75</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2,070.1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6.43%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22"/>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102,808.4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102,808.4</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54,151.15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64,216.49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7"/>
                          <w:jc w:val="right"/>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77"/>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112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22"/>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102,808.4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102,808.4</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54,151.15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64,216.49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17"/>
                          <w:jc w:val="right"/>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77"/>
                          <w:jc w:val="right"/>
                          <w:rPr>
                            <w:rFonts w:ascii="Times New Roman" w:hAnsi="Times New Roman" w:cs="Times New Roman" w:eastAsia="Times New Roman" w:hint="default"/>
                            <w:sz w:val="18"/>
                            <w:szCs w:val="18"/>
                          </w:rPr>
                        </w:pPr>
                        <w:r>
                          <w:rPr>
                            <w:rFonts w:ascii="Times New Roman"/>
                            <w:sz w:val="18"/>
                          </w:rPr>
                          <w:t>--</w:t>
                        </w:r>
                      </w:p>
                    </w:tc>
                  </w:tr>
                  <w:tr>
                    <w:trPr>
                      <w:trHeight w:val="79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3" w:right="20"/>
                          <w:jc w:val="left"/>
                          <w:rPr>
                            <w:rFonts w:ascii="宋体" w:hAnsi="宋体" w:cs="宋体" w:eastAsia="宋体" w:hint="default"/>
                            <w:sz w:val="18"/>
                            <w:szCs w:val="18"/>
                          </w:rPr>
                        </w:pPr>
                        <w:r>
                          <w:rPr>
                            <w:rFonts w:ascii="宋体" w:hAnsi="宋体" w:cs="宋体" w:eastAsia="宋体" w:hint="default"/>
                            <w:sz w:val="18"/>
                            <w:szCs w:val="18"/>
                          </w:rPr>
                          <w:t>未达到计划进度或预计收 </w:t>
                        </w:r>
                        <w:r>
                          <w:rPr>
                            <w:rFonts w:ascii="宋体" w:hAnsi="宋体" w:cs="宋体" w:eastAsia="宋体" w:hint="default"/>
                            <w:spacing w:val="-8"/>
                            <w:sz w:val="18"/>
                            <w:szCs w:val="18"/>
                          </w:rPr>
                          <w:t>益的情况和原因（分具体项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尚处在项目研发投入阶段</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3" w:right="112"/>
                          <w:jc w:val="left"/>
                          <w:rPr>
                            <w:rFonts w:ascii="宋体" w:hAnsi="宋体" w:cs="宋体" w:eastAsia="宋体" w:hint="default"/>
                            <w:sz w:val="18"/>
                            <w:szCs w:val="18"/>
                          </w:rPr>
                        </w:pPr>
                        <w:r>
                          <w:rPr>
                            <w:rFonts w:ascii="宋体" w:hAnsi="宋体" w:cs="宋体" w:eastAsia="宋体" w:hint="default"/>
                            <w:sz w:val="18"/>
                            <w:szCs w:val="18"/>
                          </w:rPr>
                          <w:t>项目可行性发生重大变化 的情况说明</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67"/>
                          <w:ind w:left="23" w:right="20"/>
                          <w:jc w:val="left"/>
                          <w:rPr>
                            <w:rFonts w:ascii="宋体" w:hAnsi="宋体" w:cs="宋体" w:eastAsia="宋体" w:hint="default"/>
                            <w:sz w:val="18"/>
                            <w:szCs w:val="18"/>
                          </w:rPr>
                        </w:pPr>
                        <w:r>
                          <w:rPr>
                            <w:rFonts w:ascii="宋体" w:hAnsi="宋体" w:cs="宋体" w:eastAsia="宋体" w:hint="default"/>
                            <w:spacing w:val="-8"/>
                            <w:sz w:val="18"/>
                            <w:szCs w:val="18"/>
                          </w:rPr>
                          <w:t>超募资金的金额、用途及使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用进展情况</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23" w:right="112"/>
                          <w:jc w:val="left"/>
                          <w:rPr>
                            <w:rFonts w:ascii="宋体" w:hAnsi="宋体" w:cs="宋体" w:eastAsia="宋体" w:hint="default"/>
                            <w:sz w:val="18"/>
                            <w:szCs w:val="18"/>
                          </w:rPr>
                        </w:pPr>
                        <w:r>
                          <w:rPr>
                            <w:rFonts w:ascii="宋体" w:hAnsi="宋体" w:cs="宋体" w:eastAsia="宋体" w:hint="default"/>
                            <w:sz w:val="18"/>
                            <w:szCs w:val="18"/>
                          </w:rPr>
                          <w:t>募集资金投资项目实施地 点变更情况</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7" w:hRule="exact"/>
                    </w:trPr>
                    <w:tc>
                      <w:tcPr>
                        <w:tcW w:w="2127" w:type="dxa"/>
                        <w:vMerge/>
                        <w:tcBorders>
                          <w:left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32" w:lineRule="exact"/>
                          <w:ind w:left="23" w:right="112"/>
                          <w:jc w:val="left"/>
                          <w:rPr>
                            <w:rFonts w:ascii="宋体" w:hAnsi="宋体" w:cs="宋体" w:eastAsia="宋体" w:hint="default"/>
                            <w:sz w:val="18"/>
                            <w:szCs w:val="18"/>
                          </w:rPr>
                        </w:pPr>
                        <w:r>
                          <w:rPr>
                            <w:rFonts w:ascii="宋体" w:hAnsi="宋体" w:cs="宋体" w:eastAsia="宋体" w:hint="default"/>
                            <w:sz w:val="18"/>
                            <w:szCs w:val="18"/>
                          </w:rPr>
                          <w:t>募集资金投资项目实施方 式调整情况</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3" w:hRule="exact"/>
                    </w:trPr>
                    <w:tc>
                      <w:tcPr>
                        <w:tcW w:w="2127" w:type="dxa"/>
                        <w:vMerge/>
                        <w:tcBorders>
                          <w:left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25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年第五次临时会议、第七届监事会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年第五次临时会议以及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32" w:lineRule="auto"/>
                          <w:ind w:left="22"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年第二次临时股东大会审议批准，同意公司在保持“智慧企业孵化云平台”项目投资额不变的情况 下，变更该项目线下服务体系的实施方式。由自建方式变更为由企业管家根据项目建设进度，通过增资或收购标的 企业以控股的形式建设线下服务网点，进一步保障企业互联网服务线上线下有效结合。通过增资方式对易桥快马进 行股权并购，其中以募集资金向易桥快马增资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2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32" w:lineRule="exact"/>
                          <w:ind w:left="23" w:right="112"/>
                          <w:jc w:val="left"/>
                          <w:rPr>
                            <w:rFonts w:ascii="宋体" w:hAnsi="宋体" w:cs="宋体" w:eastAsia="宋体" w:hint="default"/>
                            <w:sz w:val="18"/>
                            <w:szCs w:val="18"/>
                          </w:rPr>
                        </w:pPr>
                        <w:r>
                          <w:rPr>
                            <w:rFonts w:ascii="宋体" w:hAnsi="宋体" w:cs="宋体" w:eastAsia="宋体" w:hint="default"/>
                            <w:sz w:val="18"/>
                            <w:szCs w:val="18"/>
                          </w:rPr>
                          <w:t>募集资金投资项目先期投 入及置换情况</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年第十一次临时会议、第七届监事会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年第八次临时会议审议，</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同意公司以募集资金置换预先已投入募集资金投资项目的自筹资金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3,779.38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2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112"/>
                          <w:jc w:val="left"/>
                          <w:rPr>
                            <w:rFonts w:ascii="宋体" w:hAnsi="宋体" w:cs="宋体" w:eastAsia="宋体" w:hint="default"/>
                            <w:sz w:val="18"/>
                            <w:szCs w:val="18"/>
                          </w:rPr>
                        </w:pPr>
                        <w:r>
                          <w:rPr>
                            <w:rFonts w:ascii="宋体" w:hAnsi="宋体" w:cs="宋体" w:eastAsia="宋体" w:hint="default"/>
                            <w:sz w:val="18"/>
                            <w:szCs w:val="18"/>
                          </w:rPr>
                          <w:t>用闲置募集资金暂时补充 流动资金情况</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年第九次临时会议、第七届监事会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年第八次临时会议审议通过</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同意公司使用闲置募集资金人民币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万元暂时补充流动资金，使用期限为自董事会审议通过之日起不超过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32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67"/>
                          <w:ind w:left="23" w:right="112"/>
                          <w:jc w:val="left"/>
                          <w:rPr>
                            <w:rFonts w:ascii="宋体" w:hAnsi="宋体" w:cs="宋体" w:eastAsia="宋体" w:hint="default"/>
                            <w:sz w:val="18"/>
                            <w:szCs w:val="18"/>
                          </w:rPr>
                        </w:pPr>
                        <w:r>
                          <w:rPr>
                            <w:rFonts w:ascii="宋体" w:hAnsi="宋体" w:cs="宋体" w:eastAsia="宋体" w:hint="default"/>
                            <w:sz w:val="18"/>
                            <w:szCs w:val="18"/>
                          </w:rPr>
                          <w:t>项目实施出现募集资金结 余的金额及原因</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9077" w:type="dxa"/>
                        <w:gridSpan w:val="10"/>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3" w:right="112"/>
                          <w:jc w:val="left"/>
                          <w:rPr>
                            <w:rFonts w:ascii="宋体" w:hAnsi="宋体" w:cs="宋体" w:eastAsia="宋体" w:hint="default"/>
                            <w:sz w:val="18"/>
                            <w:szCs w:val="18"/>
                          </w:rPr>
                        </w:pPr>
                        <w:r>
                          <w:rPr>
                            <w:rFonts w:ascii="宋体" w:hAnsi="宋体" w:cs="宋体" w:eastAsia="宋体" w:hint="default"/>
                            <w:sz w:val="18"/>
                            <w:szCs w:val="18"/>
                          </w:rPr>
                          <w:t>尚未使用的募集资金用途 及去向</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存放在专用账户内</w:t>
                        </w:r>
                      </w:p>
                    </w:tc>
                  </w:tr>
                  <w:tr>
                    <w:trPr>
                      <w:trHeight w:val="52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募集资金使用及披露中存</w:t>
                        </w:r>
                      </w:p>
                    </w:tc>
                    <w:tc>
                      <w:tcPr>
                        <w:tcW w:w="90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月份募集资金实施主体子公司企业管家将募集资金由募集资金专户转入公司基本户，在基本户中支付 </w:t>
                        </w:r>
                        <w:r>
                          <w:rPr>
                            <w:rFonts w:ascii="宋体" w:hAnsi="宋体" w:cs="宋体" w:eastAsia="宋体" w:hint="default"/>
                            <w:spacing w:val="-2"/>
                            <w:sz w:val="18"/>
                            <w:szCs w:val="18"/>
                          </w:rPr>
                          <w:t>募投项目人工成本；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、子公司企业管家以募集资金垫付关联方北京办饭餐饮管理有限公司、顺利帮（北京）科技服</w:t>
                        </w:r>
                      </w:p>
                    </w:tc>
                  </w:tr>
                </w:tbl>
                <w:p>
                  <w:pPr/>
                </w:p>
              </w:txbxContent>
            </v:textbox>
            <w10:wrap type="none"/>
          </v:shape>
        </w:pict>
      </w:r>
      <w:r>
        <w:rPr/>
        <w:t>，</w:t>
      </w:r>
    </w:p>
    <w:p>
      <w:pPr>
        <w:spacing w:after="0" w:line="240" w:lineRule="auto"/>
        <w:jc w:val="right"/>
        <w:sectPr>
          <w:pgSz w:w="11910" w:h="16840"/>
          <w:pgMar w:header="0" w:footer="978" w:top="1060" w:bottom="1160" w:left="240" w:right="180"/>
        </w:sectPr>
      </w:pPr>
    </w:p>
    <w:p>
      <w:pPr>
        <w:spacing w:line="240" w:lineRule="auto" w:before="1"/>
        <w:rPr>
          <w:rFonts w:ascii="宋体" w:hAnsi="宋体" w:cs="宋体" w:eastAsia="宋体" w:hint="default"/>
          <w:sz w:val="28"/>
          <w:szCs w:val="28"/>
        </w:rPr>
      </w:pPr>
    </w:p>
    <w:p>
      <w:pPr>
        <w:spacing w:line="531" w:lineRule="exact"/>
        <w:ind w:left="101"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61.2pt;height:26.6pt;mso-position-horizontal-relative:char;mso-position-vertical-relative:line" coordorigin="0,0" coordsize="11224,532">
            <v:group style="position:absolute;left:13;top:13;width:2122;height:511" coordorigin="13,13" coordsize="2122,511">
              <v:shape style="position:absolute;left:13;top:13;width:2122;height:511" coordorigin="13,13" coordsize="2122,511" path="m13,13l2135,13,2135,524,13,524,13,13xe" filled="true" fillcolor="#d2d2d2" stroked="false">
                <v:path arrowok="t"/>
                <v:fill type="solid"/>
              </v:shape>
            </v:group>
            <v:group style="position:absolute;left:5;top:10;width:11214;height:2" coordorigin="5,10" coordsize="11214,2">
              <v:shape style="position:absolute;left:5;top:10;width:11214;height:2" coordorigin="5,10" coordsize="11214,0" path="m5,10l11218,10e" filled="false" stroked="true" strokeweight=".48pt" strokecolor="#000000">
                <v:path arrowok="t"/>
              </v:shape>
            </v:group>
            <v:group style="position:absolute;left:5;top:527;width:11214;height:2" coordorigin="5,527" coordsize="11214,2">
              <v:shape style="position:absolute;left:5;top:527;width:11214;height:2" coordorigin="5,527" coordsize="11214,0" path="m5,527l11218,527e" filled="false" stroked="true" strokeweight=".48pt" strokecolor="#000000">
                <v:path arrowok="t"/>
              </v:shape>
            </v:group>
            <v:group style="position:absolute;left:10;top:5;width:2;height:517" coordorigin="10,5" coordsize="2,517">
              <v:shape style="position:absolute;left:10;top:5;width:2;height:517" coordorigin="10,5" coordsize="0,517" path="m10,5l10,522e" filled="false" stroked="true" strokeweight=".48pt" strokecolor="#000000">
                <v:path arrowok="t"/>
              </v:shape>
            </v:group>
            <v:group style="position:absolute;left:2137;top:5;width:2;height:517" coordorigin="2137,5" coordsize="2,517">
              <v:shape style="position:absolute;left:2137;top:5;width:2;height:517" coordorigin="2137,5" coordsize="0,517" path="m2137,5l2137,522e" filled="false" stroked="true" strokeweight=".48pt" strokecolor="#000000">
                <v:path arrowok="t"/>
              </v:shape>
            </v:group>
            <v:group style="position:absolute;left:11214;top:5;width:2;height:517" coordorigin="11214,5" coordsize="2,517">
              <v:shape style="position:absolute;left:11214;top:5;width:2;height:517" coordorigin="11214,5" coordsize="0,517" path="m11214,5l11214,522e" filled="false" stroked="true" strokeweight=".48pt" strokecolor="#000000">
                <v:path arrowok="t"/>
              </v:shape>
              <v:shape style="position:absolute;left:10;top:10;width:2127;height:517" type="#_x0000_t202" filled="false" stroked="false">
                <v:textbox inset="0,0,0,0">
                  <w:txbxContent>
                    <w:p>
                      <w:pPr>
                        <w:spacing w:line="214"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在的问题或其他情况</w:t>
                      </w:r>
                    </w:p>
                  </w:txbxContent>
                </v:textbox>
                <w10:wrap type="none"/>
              </v:shape>
              <v:shape style="position:absolute;left:2137;top:10;width:9077;height:517" type="#_x0000_t202" filled="false" stroked="false">
                <v:textbox inset="0,0,0,0">
                  <w:txbxContent>
                    <w:p>
                      <w:pPr>
                        <w:spacing w:line="219"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务有限公司房租等费用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日全部转回；</w:t>
                      </w:r>
                      <w:r>
                        <w:rPr>
                          <w:rFonts w:ascii="Times New Roman" w:hAnsi="Times New Roman" w:cs="Times New Roman" w:eastAsia="Times New Roman" w:hint="default"/>
                          <w:sz w:val="18"/>
                          <w:szCs w:val="18"/>
                        </w:rPr>
                        <w:t>3</w:t>
                      </w:r>
                      <w:r>
                        <w:rPr>
                          <w:rFonts w:ascii="宋体" w:hAnsi="宋体" w:cs="宋体" w:eastAsia="宋体" w:hint="default"/>
                          <w:sz w:val="18"/>
                          <w:szCs w:val="18"/>
                        </w:rPr>
                        <w:t>、子公司企业管家以募集资金垫付</w:t>
                      </w:r>
                    </w:p>
                    <w:p>
                      <w:pPr>
                        <w:spacing w:line="241"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关联方易桥财税科技人员成本、房租等共计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957.88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日该部分资金已全部转回。</w:t>
                      </w:r>
                    </w:p>
                  </w:txbxContent>
                </v:textbox>
                <w10:wrap type="none"/>
              </v:shape>
            </v:group>
          </v:group>
        </w:pict>
      </w:r>
      <w:r>
        <w:rPr>
          <w:rFonts w:ascii="宋体" w:hAnsi="宋体" w:cs="宋体" w:eastAsia="宋体" w:hint="default"/>
          <w:position w:val="-10"/>
          <w:sz w:val="20"/>
          <w:szCs w:val="20"/>
        </w:rPr>
      </w:r>
    </w:p>
    <w:p>
      <w:pPr>
        <w:spacing w:line="240" w:lineRule="auto" w:before="10"/>
        <w:rPr>
          <w:rFonts w:ascii="宋体" w:hAnsi="宋体" w:cs="宋体" w:eastAsia="宋体" w:hint="default"/>
          <w:sz w:val="17"/>
          <w:szCs w:val="17"/>
        </w:rPr>
      </w:pPr>
    </w:p>
    <w:p>
      <w:pPr>
        <w:pStyle w:val="Heading3"/>
        <w:spacing w:line="240" w:lineRule="auto" w:before="34"/>
        <w:ind w:left="892"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8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2"/>
        <w:ind w:left="0" w:right="892"/>
        <w:jc w:val="right"/>
      </w:pPr>
      <w:r>
        <w:rPr/>
        <w:t>单位：万元</w:t>
      </w:r>
    </w:p>
    <w:p>
      <w:pPr>
        <w:spacing w:line="240" w:lineRule="auto" w:before="2"/>
        <w:rPr>
          <w:rFonts w:ascii="宋体" w:hAnsi="宋体" w:cs="宋体" w:eastAsia="宋体" w:hint="default"/>
          <w:sz w:val="5"/>
          <w:szCs w:val="5"/>
        </w:rPr>
      </w:pPr>
    </w:p>
    <w:tbl>
      <w:tblPr>
        <w:tblW w:w="0" w:type="auto"/>
        <w:jc w:val="left"/>
        <w:tblInd w:w="438" w:type="dxa"/>
        <w:tblLayout w:type="fixed"/>
        <w:tblCellMar>
          <w:top w:w="0" w:type="dxa"/>
          <w:left w:w="0" w:type="dxa"/>
          <w:bottom w:w="0" w:type="dxa"/>
          <w:right w:w="0" w:type="dxa"/>
        </w:tblCellMar>
        <w:tblLook w:val="01E0"/>
      </w:tblPr>
      <w:tblGrid>
        <w:gridCol w:w="1276"/>
        <w:gridCol w:w="1276"/>
        <w:gridCol w:w="957"/>
        <w:gridCol w:w="958"/>
        <w:gridCol w:w="957"/>
        <w:gridCol w:w="956"/>
        <w:gridCol w:w="957"/>
        <w:gridCol w:w="743"/>
        <w:gridCol w:w="709"/>
        <w:gridCol w:w="1751"/>
      </w:tblGrid>
      <w:tr>
        <w:trPr>
          <w:trHeight w:val="99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32" w:lineRule="exact"/>
              <w:ind w:left="453" w:right="91"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11"/>
              <w:ind w:left="24"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32" w:lineRule="exact"/>
              <w:ind w:left="24"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6"/>
              <w:ind w:left="21"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auto" w:before="128"/>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6"/>
              <w:ind w:left="24" w:right="2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6"/>
              <w:ind w:left="96" w:right="9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6"/>
              <w:ind w:left="78"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32" w:lineRule="exact"/>
              <w:ind w:left="149" w:right="58" w:hanging="89"/>
              <w:jc w:val="left"/>
              <w:rPr>
                <w:rFonts w:ascii="宋体" w:hAnsi="宋体" w:cs="宋体" w:eastAsia="宋体" w:hint="default"/>
                <w:sz w:val="18"/>
                <w:szCs w:val="18"/>
              </w:rPr>
            </w:pPr>
            <w:r>
              <w:rPr>
                <w:rFonts w:ascii="宋体" w:hAnsi="宋体" w:cs="宋体" w:eastAsia="宋体" w:hint="default"/>
                <w:sz w:val="18"/>
                <w:szCs w:val="18"/>
              </w:rPr>
              <w:t>变更后的项目可行性 是否发生重大变化</w:t>
            </w:r>
          </w:p>
        </w:tc>
      </w:tr>
      <w:tr>
        <w:trPr>
          <w:trHeight w:val="55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61"/>
              <w:jc w:val="left"/>
              <w:rPr>
                <w:rFonts w:ascii="宋体" w:hAnsi="宋体" w:cs="宋体" w:eastAsia="宋体" w:hint="default"/>
                <w:sz w:val="18"/>
                <w:szCs w:val="18"/>
              </w:rPr>
            </w:pPr>
            <w:r>
              <w:rPr>
                <w:rFonts w:ascii="宋体" w:hAnsi="宋体" w:cs="宋体" w:eastAsia="宋体" w:hint="default"/>
                <w:sz w:val="18"/>
                <w:szCs w:val="18"/>
              </w:rPr>
              <w:t>智慧企业孵化 云平台项目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161"/>
              <w:jc w:val="left"/>
              <w:rPr>
                <w:rFonts w:ascii="宋体" w:hAnsi="宋体" w:cs="宋体" w:eastAsia="宋体" w:hint="default"/>
                <w:sz w:val="18"/>
                <w:szCs w:val="18"/>
              </w:rPr>
            </w:pPr>
            <w:r>
              <w:rPr>
                <w:rFonts w:ascii="宋体" w:hAnsi="宋体" w:cs="宋体" w:eastAsia="宋体" w:hint="default"/>
                <w:sz w:val="18"/>
                <w:szCs w:val="18"/>
              </w:rPr>
              <w:t>智慧企业孵化 云平台项目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70,591.65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53,718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62,146.39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88.04%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70,591.65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53,718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62,146.39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3" w:right="0"/>
              <w:jc w:val="left"/>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w:t>
            </w:r>
          </w:p>
        </w:tc>
        <w:tc>
          <w:tcPr>
            <w:tcW w:w="7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2658"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3"/>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变更原因、决策程序及信息披露情况说明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分</w:t>
            </w:r>
            <w:r>
              <w:rPr>
                <w:rFonts w:ascii="宋体" w:hAnsi="宋体" w:cs="宋体" w:eastAsia="宋体" w:hint="default"/>
                <w:spacing w:val="-77"/>
                <w:sz w:val="18"/>
                <w:szCs w:val="18"/>
              </w:rPr>
              <w:t> </w:t>
            </w:r>
            <w:r>
              <w:rPr>
                <w:rFonts w:ascii="宋体" w:hAnsi="宋体" w:cs="宋体" w:eastAsia="宋体" w:hint="default"/>
                <w:sz w:val="18"/>
                <w:szCs w:val="18"/>
              </w:rPr>
              <w:t>具体项目</w:t>
            </w:r>
            <w:r>
              <w:rPr>
                <w:rFonts w:ascii="Times New Roman" w:hAnsi="Times New Roman" w:cs="Times New Roman" w:eastAsia="Times New Roman" w:hint="default"/>
                <w:sz w:val="18"/>
                <w:szCs w:val="18"/>
              </w:rPr>
              <w:t>)</w:t>
            </w:r>
          </w:p>
        </w:tc>
        <w:tc>
          <w:tcPr>
            <w:tcW w:w="70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20"/>
              <w:jc w:val="both"/>
              <w:rPr>
                <w:rFonts w:ascii="宋体" w:hAnsi="宋体" w:cs="宋体" w:eastAsia="宋体" w:hint="default"/>
                <w:sz w:val="18"/>
                <w:szCs w:val="18"/>
              </w:rPr>
            </w:pPr>
            <w:r>
              <w:rPr>
                <w:rFonts w:ascii="宋体" w:hAnsi="宋体" w:cs="宋体" w:eastAsia="宋体" w:hint="default"/>
                <w:spacing w:val="-2"/>
                <w:sz w:val="18"/>
                <w:szCs w:val="18"/>
              </w:rPr>
              <w:t>为了提高募集资金使用效率，加快募集资金投资项目建设，公司在保持“智慧企业孵化云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平台”项目投资额不变的情况下，拟变更该项目线下服务体系的实施方式。由自建方式变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更为企业管家根据项目建设进度，通过增资或收购标的企业以控股的形式建设线下服务网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点，进一步保障企业互联网服务线上线下有效结合。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w:t>
            </w:r>
          </w:p>
          <w:p>
            <w:pPr>
              <w:pStyle w:val="TableParagraph"/>
              <w:spacing w:line="21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年第五次临时会议、第七届监事会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年第五次临时会议以及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32" w:lineRule="exact" w:before="17"/>
              <w:ind w:left="22" w:right="2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年第二次临时股东大会审议批准，同意变更募集资金投资项目“智慧企业孵化云 </w:t>
            </w:r>
            <w:r>
              <w:rPr>
                <w:rFonts w:ascii="宋体" w:hAnsi="宋体" w:cs="宋体" w:eastAsia="宋体" w:hint="default"/>
                <w:spacing w:val="-2"/>
                <w:sz w:val="18"/>
                <w:szCs w:val="18"/>
              </w:rPr>
              <w:t>平台”线下服务体系的实施方式，由自建方式变更为企业管家通过增资方式对易桥快马进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行股权并购，进一步保障企业互联网服务线上线下有效结合。企业管家以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亿元人民币对</w:t>
            </w:r>
          </w:p>
          <w:p>
            <w:pPr>
              <w:pStyle w:val="TableParagraph"/>
              <w:spacing w:line="218" w:lineRule="exact"/>
              <w:ind w:left="22" w:right="0"/>
              <w:jc w:val="both"/>
              <w:rPr>
                <w:rFonts w:ascii="宋体" w:hAnsi="宋体" w:cs="宋体" w:eastAsia="宋体" w:hint="default"/>
                <w:sz w:val="18"/>
                <w:szCs w:val="18"/>
              </w:rPr>
            </w:pPr>
            <w:r>
              <w:rPr>
                <w:rFonts w:ascii="宋体" w:hAnsi="宋体" w:cs="宋体" w:eastAsia="宋体" w:hint="default"/>
                <w:sz w:val="18"/>
                <w:szCs w:val="18"/>
              </w:rPr>
              <w:t>易桥快马进行增资（其中：使用募集资金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万元，自有资金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，增资后企业</w:t>
            </w:r>
          </w:p>
          <w:p>
            <w:pPr>
              <w:pStyle w:val="TableParagraph"/>
              <w:spacing w:line="232" w:lineRule="exact" w:before="17"/>
              <w:ind w:left="22" w:right="20"/>
              <w:jc w:val="both"/>
              <w:rPr>
                <w:rFonts w:ascii="宋体" w:hAnsi="宋体" w:cs="宋体" w:eastAsia="宋体" w:hint="default"/>
                <w:sz w:val="18"/>
                <w:szCs w:val="18"/>
              </w:rPr>
            </w:pPr>
            <w:r>
              <w:rPr>
                <w:rFonts w:ascii="宋体" w:hAnsi="宋体" w:cs="宋体" w:eastAsia="宋体" w:hint="default"/>
                <w:sz w:val="18"/>
                <w:szCs w:val="18"/>
              </w:rPr>
              <w:t>管家持有易桥快马</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75%</w:t>
            </w:r>
            <w:r>
              <w:rPr>
                <w:rFonts w:ascii="宋体" w:hAnsi="宋体" w:cs="宋体" w:eastAsia="宋体" w:hint="default"/>
                <w:spacing w:val="-2"/>
                <w:sz w:val="18"/>
                <w:szCs w:val="18"/>
              </w:rPr>
              <w:t>股权。易桥快马将使用本次增资价款及自有资金进一步对全国优秀</w:t>
            </w:r>
            <w:r>
              <w:rPr>
                <w:rFonts w:ascii="宋体" w:hAnsi="宋体" w:cs="宋体" w:eastAsia="宋体" w:hint="default"/>
                <w:sz w:val="18"/>
                <w:szCs w:val="18"/>
              </w:rPr>
              <w:t> 企业服务商进行整合并购。</w:t>
            </w:r>
          </w:p>
        </w:tc>
      </w:tr>
      <w:tr>
        <w:trPr>
          <w:trHeight w:val="557"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0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尚处在项目研发投入阶段</w:t>
            </w:r>
          </w:p>
        </w:tc>
      </w:tr>
      <w:tr>
        <w:trPr>
          <w:trHeight w:val="556" w:hRule="exact"/>
        </w:trPr>
        <w:tc>
          <w:tcPr>
            <w:tcW w:w="35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4"/>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 明</w:t>
            </w:r>
          </w:p>
        </w:tc>
        <w:tc>
          <w:tcPr>
            <w:tcW w:w="70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892" w:right="0"/>
        <w:jc w:val="left"/>
        <w:rPr>
          <w:b w:val="0"/>
          <w:bCs w:val="0"/>
        </w:rPr>
      </w:pPr>
      <w:r>
        <w:rPr/>
        <w:t>六、重大资产和股权出售</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892"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2"/>
          <w:szCs w:val="22"/>
        </w:rPr>
      </w:pPr>
    </w:p>
    <w:p>
      <w:pPr>
        <w:pStyle w:val="BodyText"/>
        <w:spacing w:line="261" w:lineRule="auto"/>
        <w:ind w:left="892" w:right="8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89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8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4"/>
          <w:szCs w:val="4"/>
        </w:rPr>
      </w:pPr>
    </w:p>
    <w:tbl>
      <w:tblPr>
        <w:tblW w:w="0" w:type="auto"/>
        <w:jc w:val="left"/>
        <w:tblInd w:w="326" w:type="dxa"/>
        <w:tblLayout w:type="fixed"/>
        <w:tblCellMar>
          <w:top w:w="0" w:type="dxa"/>
          <w:left w:w="0" w:type="dxa"/>
          <w:bottom w:w="0" w:type="dxa"/>
          <w:right w:w="0" w:type="dxa"/>
        </w:tblCellMar>
        <w:tblLook w:val="01E0"/>
      </w:tblPr>
      <w:tblGrid>
        <w:gridCol w:w="685"/>
        <w:gridCol w:w="786"/>
        <w:gridCol w:w="683"/>
        <w:gridCol w:w="524"/>
        <w:gridCol w:w="683"/>
        <w:gridCol w:w="929"/>
        <w:gridCol w:w="683"/>
        <w:gridCol w:w="1039"/>
        <w:gridCol w:w="434"/>
        <w:gridCol w:w="683"/>
        <w:gridCol w:w="683"/>
        <w:gridCol w:w="683"/>
        <w:gridCol w:w="953"/>
        <w:gridCol w:w="1315"/>
      </w:tblGrid>
      <w:tr>
        <w:trPr>
          <w:trHeight w:val="280" w:hRule="exact"/>
        </w:trPr>
        <w:tc>
          <w:tcPr>
            <w:tcW w:w="6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是否按</w:t>
            </w: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33" w:hRule="exact"/>
        </w:trPr>
        <w:tc>
          <w:tcPr>
            <w:tcW w:w="6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299" w:right="26" w:hanging="272"/>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8" w:right="74"/>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232" w:lineRule="exact" w:before="22"/>
              <w:ind w:left="78" w:right="74"/>
              <w:jc w:val="left"/>
              <w:rPr>
                <w:rFonts w:ascii="宋体" w:hAnsi="宋体" w:cs="宋体" w:eastAsia="宋体" w:hint="default"/>
                <w:sz w:val="18"/>
                <w:szCs w:val="18"/>
              </w:rPr>
            </w:pPr>
            <w:r>
              <w:rPr>
                <w:rFonts w:ascii="宋体" w:hAnsi="宋体" w:cs="宋体" w:eastAsia="宋体" w:hint="default"/>
                <w:sz w:val="18"/>
                <w:szCs w:val="18"/>
              </w:rPr>
              <w:t>（万 元）</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auto" w:before="90"/>
              <w:ind w:left="65" w:right="66"/>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0" w:right="97"/>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1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244" w:right="62"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4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31" w:right="3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66"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计划如</w:t>
            </w:r>
          </w:p>
          <w:p>
            <w:pPr>
              <w:pStyle w:val="TableParagraph"/>
              <w:spacing w:line="237" w:lineRule="auto"/>
              <w:ind w:left="65" w:right="66" w:firstLine="2"/>
              <w:jc w:val="center"/>
              <w:rPr>
                <w:rFonts w:ascii="宋体" w:hAnsi="宋体" w:cs="宋体" w:eastAsia="宋体" w:hint="default"/>
                <w:sz w:val="18"/>
                <w:szCs w:val="18"/>
              </w:rPr>
            </w:pPr>
            <w:r>
              <w:rPr>
                <w:rFonts w:ascii="宋体" w:hAnsi="宋体" w:cs="宋体" w:eastAsia="宋体" w:hint="default"/>
                <w:sz w:val="18"/>
                <w:szCs w:val="18"/>
              </w:rPr>
              <w:t>期实 施，如 未按计 划实 施，应 当说明 原因及 公司已 采取的</w:t>
            </w:r>
          </w:p>
        </w:tc>
        <w:tc>
          <w:tcPr>
            <w:tcW w:w="9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77" w:hRule="exact"/>
        </w:trPr>
        <w:tc>
          <w:tcPr>
            <w:tcW w:w="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4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措施</w:t>
            </w:r>
          </w:p>
        </w:tc>
        <w:tc>
          <w:tcPr>
            <w:tcW w:w="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8" w:top="1060" w:bottom="1160" w:left="240" w:right="240"/>
        </w:sectPr>
      </w:pPr>
    </w:p>
    <w:p>
      <w:pPr>
        <w:spacing w:line="240" w:lineRule="auto" w:before="5"/>
        <w:rPr>
          <w:rFonts w:ascii="宋体" w:hAnsi="宋体" w:cs="宋体" w:eastAsia="宋体" w:hint="default"/>
          <w:sz w:val="28"/>
          <w:szCs w:val="28"/>
        </w:rPr>
      </w:pPr>
    </w:p>
    <w:tbl>
      <w:tblPr>
        <w:tblW w:w="0" w:type="auto"/>
        <w:jc w:val="left"/>
        <w:tblInd w:w="206" w:type="dxa"/>
        <w:tblLayout w:type="fixed"/>
        <w:tblCellMar>
          <w:top w:w="0" w:type="dxa"/>
          <w:left w:w="0" w:type="dxa"/>
          <w:bottom w:w="0" w:type="dxa"/>
          <w:right w:w="0" w:type="dxa"/>
        </w:tblCellMar>
        <w:tblLook w:val="01E0"/>
      </w:tblPr>
      <w:tblGrid>
        <w:gridCol w:w="685"/>
        <w:gridCol w:w="786"/>
        <w:gridCol w:w="683"/>
        <w:gridCol w:w="524"/>
        <w:gridCol w:w="683"/>
        <w:gridCol w:w="929"/>
        <w:gridCol w:w="683"/>
        <w:gridCol w:w="1039"/>
        <w:gridCol w:w="434"/>
        <w:gridCol w:w="683"/>
        <w:gridCol w:w="683"/>
        <w:gridCol w:w="683"/>
        <w:gridCol w:w="953"/>
        <w:gridCol w:w="1315"/>
      </w:tblGrid>
      <w:tr>
        <w:trPr>
          <w:trHeight w:val="278" w:hRule="exact"/>
        </w:trPr>
        <w:tc>
          <w:tcPr>
            <w:tcW w:w="685"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2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43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《关于诉讼的</w:t>
            </w:r>
          </w:p>
        </w:tc>
      </w:tr>
      <w:tr>
        <w:trPr>
          <w:trHeight w:val="116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24" w:right="109"/>
              <w:jc w:val="both"/>
              <w:rPr>
                <w:rFonts w:ascii="宋体" w:hAnsi="宋体" w:cs="宋体" w:eastAsia="宋体" w:hint="default"/>
                <w:sz w:val="18"/>
                <w:szCs w:val="18"/>
              </w:rPr>
            </w:pPr>
            <w:r>
              <w:rPr>
                <w:rFonts w:ascii="宋体" w:hAnsi="宋体" w:cs="宋体" w:eastAsia="宋体" w:hint="default"/>
                <w:sz w:val="18"/>
                <w:szCs w:val="18"/>
              </w:rPr>
              <w:t>河南省 焦作金 箭实业 总公司</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河南焦作</w:t>
            </w:r>
          </w:p>
          <w:p>
            <w:pPr>
              <w:pStyle w:val="TableParagraph"/>
              <w:spacing w:line="232"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金箭明胶 有限责任 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有利于盘</w:t>
            </w:r>
          </w:p>
          <w:p>
            <w:pPr>
              <w:pStyle w:val="TableParagraph"/>
              <w:spacing w:line="237" w:lineRule="auto"/>
              <w:ind w:left="23" w:right="174"/>
              <w:jc w:val="both"/>
              <w:rPr>
                <w:rFonts w:ascii="宋体" w:hAnsi="宋体" w:cs="宋体" w:eastAsia="宋体" w:hint="default"/>
                <w:sz w:val="18"/>
                <w:szCs w:val="18"/>
              </w:rPr>
            </w:pPr>
            <w:r>
              <w:rPr>
                <w:rFonts w:ascii="宋体" w:hAnsi="宋体" w:cs="宋体" w:eastAsia="宋体" w:hint="default"/>
                <w:sz w:val="18"/>
                <w:szCs w:val="18"/>
              </w:rPr>
              <w:t>活公司存 量资产并 获得一定 收益</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3" w:right="103"/>
              <w:jc w:val="both"/>
              <w:rPr>
                <w:rFonts w:ascii="宋体" w:hAnsi="宋体" w:cs="宋体" w:eastAsia="宋体" w:hint="default"/>
                <w:sz w:val="18"/>
                <w:szCs w:val="18"/>
              </w:rPr>
            </w:pPr>
            <w:r>
              <w:rPr>
                <w:rFonts w:ascii="宋体" w:hAnsi="宋体" w:cs="宋体" w:eastAsia="宋体" w:hint="default"/>
                <w:sz w:val="18"/>
                <w:szCs w:val="18"/>
              </w:rPr>
              <w:t>依据评估结 果以名义价 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元转让</w:t>
            </w:r>
          </w:p>
        </w:tc>
        <w:tc>
          <w:tcPr>
            <w:tcW w:w="4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22" w:right="109"/>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进展公告》</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(2017-038)</w:t>
            </w:r>
            <w:r>
              <w:rPr>
                <w:rFonts w:ascii="宋体" w:hAnsi="宋体" w:cs="宋体" w:eastAsia="宋体" w:hint="default"/>
                <w:sz w:val="18"/>
                <w:szCs w:val="18"/>
              </w:rPr>
              <w:t>，刊</w:t>
            </w:r>
          </w:p>
          <w:p>
            <w:pPr>
              <w:pStyle w:val="TableParagraph"/>
              <w:spacing w:line="232" w:lineRule="exact" w:before="17"/>
              <w:ind w:left="22" w:right="20"/>
              <w:jc w:val="left"/>
              <w:rPr>
                <w:rFonts w:ascii="宋体" w:hAnsi="宋体" w:cs="宋体" w:eastAsia="宋体" w:hint="default"/>
                <w:sz w:val="18"/>
                <w:szCs w:val="18"/>
              </w:rPr>
            </w:pPr>
            <w:r>
              <w:rPr>
                <w:rFonts w:ascii="宋体" w:hAnsi="宋体" w:cs="宋体" w:eastAsia="宋体" w:hint="default"/>
                <w:sz w:val="18"/>
                <w:szCs w:val="18"/>
              </w:rPr>
              <w:t>载于《证券时 </w:t>
            </w:r>
            <w:r>
              <w:rPr>
                <w:rFonts w:ascii="宋体" w:hAnsi="宋体" w:cs="宋体" w:eastAsia="宋体" w:hint="default"/>
                <w:spacing w:val="-30"/>
                <w:sz w:val="18"/>
                <w:szCs w:val="18"/>
              </w:rPr>
              <w:t>报》、</w:t>
            </w:r>
            <w:r>
              <w:rPr>
                <w:rFonts w:ascii="宋体" w:hAnsi="宋体" w:cs="宋体" w:eastAsia="宋体" w:hint="default"/>
                <w:spacing w:val="-2"/>
                <w:sz w:val="18"/>
                <w:szCs w:val="18"/>
              </w:rPr>
              <w:t> </w:t>
            </w:r>
            <w:r>
              <w:rPr>
                <w:rFonts w:ascii="宋体" w:hAnsi="宋体" w:cs="宋体" w:eastAsia="宋体" w:hint="default"/>
                <w:sz w:val="18"/>
                <w:szCs w:val="18"/>
              </w:rPr>
              <w:t>《证券日</w:t>
            </w:r>
            <w:r>
              <w:rPr>
                <w:rFonts w:ascii="宋体" w:hAnsi="宋体" w:cs="宋体" w:eastAsia="宋体" w:hint="default"/>
                <w:sz w:val="18"/>
                <w:szCs w:val="18"/>
              </w:rPr>
              <w:t> 报》和巨潮资讯</w:t>
            </w:r>
          </w:p>
        </w:tc>
      </w:tr>
      <w:tr>
        <w:trPr>
          <w:trHeight w:val="278" w:hRule="exact"/>
        </w:trPr>
        <w:tc>
          <w:tcPr>
            <w:tcW w:w="685"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2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43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280" w:hRule="exact"/>
        </w:trPr>
        <w:tc>
          <w:tcPr>
            <w:tcW w:w="685"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2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43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《重大资产出</w:t>
            </w:r>
          </w:p>
        </w:tc>
      </w:tr>
      <w:tr>
        <w:trPr>
          <w:trHeight w:val="233" w:hRule="exact"/>
        </w:trPr>
        <w:tc>
          <w:tcPr>
            <w:tcW w:w="685"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52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929"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43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售暨关联交易</w:t>
            </w:r>
          </w:p>
        </w:tc>
      </w:tr>
      <w:tr>
        <w:trPr>
          <w:trHeight w:val="116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37" w:lineRule="auto" w:before="88"/>
              <w:ind w:left="24" w:right="109"/>
              <w:jc w:val="both"/>
              <w:rPr>
                <w:rFonts w:ascii="宋体" w:hAnsi="宋体" w:cs="宋体" w:eastAsia="宋体" w:hint="default"/>
                <w:sz w:val="18"/>
                <w:szCs w:val="18"/>
              </w:rPr>
            </w:pPr>
            <w:r>
              <w:rPr>
                <w:rFonts w:ascii="宋体" w:hAnsi="宋体" w:cs="宋体" w:eastAsia="宋体" w:hint="default"/>
                <w:sz w:val="18"/>
                <w:szCs w:val="18"/>
              </w:rPr>
              <w:t>湖北宜 景常弘 科技有 限公司</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青海明胶</w:t>
            </w:r>
          </w:p>
          <w:p>
            <w:pPr>
              <w:pStyle w:val="TableParagraph"/>
              <w:spacing w:line="232" w:lineRule="exact" w:before="23"/>
              <w:ind w:left="23" w:right="31"/>
              <w:jc w:val="left"/>
              <w:rPr>
                <w:rFonts w:ascii="宋体" w:hAnsi="宋体" w:cs="宋体" w:eastAsia="宋体" w:hint="default"/>
                <w:sz w:val="18"/>
                <w:szCs w:val="18"/>
              </w:rPr>
            </w:pPr>
            <w:r>
              <w:rPr>
                <w:rFonts w:ascii="宋体" w:hAnsi="宋体" w:cs="宋体" w:eastAsia="宋体" w:hint="default"/>
                <w:sz w:val="18"/>
                <w:szCs w:val="18"/>
              </w:rPr>
              <w:t>有限责任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40"/>
              <w:ind w:right="20"/>
              <w:jc w:val="right"/>
              <w:rPr>
                <w:rFonts w:ascii="Times New Roman" w:hAnsi="Times New Roman" w:cs="Times New Roman" w:eastAsia="Times New Roman" w:hint="default"/>
                <w:sz w:val="18"/>
                <w:szCs w:val="18"/>
              </w:rPr>
            </w:pPr>
            <w:r>
              <w:rPr>
                <w:rFonts w:ascii="Times New Roman"/>
                <w:sz w:val="18"/>
              </w:rPr>
              <w:t>12,53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40"/>
              <w:ind w:right="19"/>
              <w:jc w:val="right"/>
              <w:rPr>
                <w:rFonts w:ascii="Times New Roman" w:hAnsi="Times New Roman" w:cs="Times New Roman" w:eastAsia="Times New Roman" w:hint="default"/>
                <w:sz w:val="18"/>
                <w:szCs w:val="18"/>
              </w:rPr>
            </w:pPr>
            <w:r>
              <w:rPr>
                <w:rFonts w:ascii="Times New Roman"/>
                <w:spacing w:val="-1"/>
                <w:sz w:val="18"/>
              </w:rPr>
              <w:t>-1,960.5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37" w:lineRule="auto" w:before="88"/>
              <w:ind w:left="23" w:right="174"/>
              <w:jc w:val="both"/>
              <w:rPr>
                <w:rFonts w:ascii="宋体" w:hAnsi="宋体" w:cs="宋体" w:eastAsia="宋体" w:hint="default"/>
                <w:sz w:val="18"/>
                <w:szCs w:val="18"/>
              </w:rPr>
            </w:pPr>
            <w:r>
              <w:rPr>
                <w:rFonts w:ascii="宋体" w:hAnsi="宋体" w:cs="宋体" w:eastAsia="宋体" w:hint="default"/>
                <w:sz w:val="18"/>
                <w:szCs w:val="18"/>
              </w:rPr>
              <w:t>剥离明胶 有利于实 现产业转 型</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23" w:right="103"/>
              <w:jc w:val="left"/>
              <w:rPr>
                <w:rFonts w:ascii="宋体" w:hAnsi="宋体" w:cs="宋体" w:eastAsia="宋体" w:hint="default"/>
                <w:sz w:val="18"/>
                <w:szCs w:val="18"/>
              </w:rPr>
            </w:pPr>
            <w:r>
              <w:rPr>
                <w:rFonts w:ascii="宋体" w:hAnsi="宋体" w:cs="宋体" w:eastAsia="宋体" w:hint="default"/>
                <w:sz w:val="18"/>
                <w:szCs w:val="18"/>
              </w:rPr>
              <w:t>依据评估结 果</w:t>
            </w:r>
          </w:p>
        </w:tc>
        <w:tc>
          <w:tcPr>
            <w:tcW w:w="4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2" w:right="109"/>
              <w:jc w:val="both"/>
              <w:rPr>
                <w:rFonts w:ascii="宋体" w:hAnsi="宋体" w:cs="宋体" w:eastAsia="宋体" w:hint="default"/>
                <w:sz w:val="18"/>
                <w:szCs w:val="18"/>
              </w:rPr>
            </w:pPr>
            <w:r>
              <w:rPr>
                <w:rFonts w:ascii="宋体" w:hAnsi="宋体" w:cs="宋体" w:eastAsia="宋体" w:hint="default"/>
                <w:sz w:val="18"/>
                <w:szCs w:val="18"/>
              </w:rPr>
              <w:t>控股股 东之子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报告书（草案）</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摘要》</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(2017-129)</w:t>
            </w:r>
            <w:r>
              <w:rPr>
                <w:rFonts w:ascii="宋体" w:hAnsi="宋体" w:cs="宋体" w:eastAsia="宋体" w:hint="default"/>
                <w:sz w:val="18"/>
                <w:szCs w:val="18"/>
              </w:rPr>
              <w:t>，刊</w:t>
            </w:r>
          </w:p>
          <w:p>
            <w:pPr>
              <w:pStyle w:val="TableParagraph"/>
              <w:spacing w:line="232" w:lineRule="exact" w:before="17"/>
              <w:ind w:left="22" w:right="20"/>
              <w:jc w:val="left"/>
              <w:rPr>
                <w:rFonts w:ascii="宋体" w:hAnsi="宋体" w:cs="宋体" w:eastAsia="宋体" w:hint="default"/>
                <w:sz w:val="18"/>
                <w:szCs w:val="18"/>
              </w:rPr>
            </w:pPr>
            <w:r>
              <w:rPr>
                <w:rFonts w:ascii="宋体" w:hAnsi="宋体" w:cs="宋体" w:eastAsia="宋体" w:hint="default"/>
                <w:sz w:val="18"/>
                <w:szCs w:val="18"/>
              </w:rPr>
              <w:t>载于《证券时 </w:t>
            </w:r>
            <w:r>
              <w:rPr>
                <w:rFonts w:ascii="宋体" w:hAnsi="宋体" w:cs="宋体" w:eastAsia="宋体" w:hint="default"/>
                <w:spacing w:val="-30"/>
                <w:sz w:val="18"/>
                <w:szCs w:val="18"/>
              </w:rPr>
              <w:t>报》、</w:t>
            </w:r>
            <w:r>
              <w:rPr>
                <w:rFonts w:ascii="宋体" w:hAnsi="宋体" w:cs="宋体" w:eastAsia="宋体" w:hint="default"/>
                <w:spacing w:val="-1"/>
                <w:sz w:val="18"/>
                <w:szCs w:val="18"/>
              </w:rPr>
              <w:t> </w:t>
            </w:r>
            <w:r>
              <w:rPr>
                <w:rFonts w:ascii="宋体" w:hAnsi="宋体" w:cs="宋体" w:eastAsia="宋体" w:hint="default"/>
                <w:sz w:val="18"/>
                <w:szCs w:val="18"/>
              </w:rPr>
              <w:t>《证券日</w:t>
            </w:r>
          </w:p>
        </w:tc>
      </w:tr>
      <w:tr>
        <w:trPr>
          <w:trHeight w:val="233" w:hRule="exact"/>
        </w:trPr>
        <w:tc>
          <w:tcPr>
            <w:tcW w:w="685"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52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929"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43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报》和巨潮资讯</w:t>
            </w:r>
          </w:p>
        </w:tc>
      </w:tr>
      <w:tr>
        <w:trPr>
          <w:trHeight w:val="279" w:hRule="exact"/>
        </w:trPr>
        <w:tc>
          <w:tcPr>
            <w:tcW w:w="685"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2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43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1257"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4" w:right="109"/>
              <w:jc w:val="both"/>
              <w:rPr>
                <w:rFonts w:ascii="宋体" w:hAnsi="宋体" w:cs="宋体" w:eastAsia="宋体" w:hint="default"/>
                <w:sz w:val="18"/>
                <w:szCs w:val="18"/>
              </w:rPr>
            </w:pPr>
            <w:r>
              <w:rPr>
                <w:rFonts w:ascii="宋体" w:hAnsi="宋体" w:cs="宋体" w:eastAsia="宋体" w:hint="default"/>
                <w:sz w:val="18"/>
                <w:szCs w:val="18"/>
              </w:rPr>
              <w:t>深圳树 泰科技 有限公 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3" w:right="31"/>
              <w:jc w:val="left"/>
              <w:rPr>
                <w:rFonts w:ascii="宋体" w:hAnsi="宋体" w:cs="宋体" w:eastAsia="宋体" w:hint="default"/>
                <w:sz w:val="18"/>
                <w:szCs w:val="18"/>
              </w:rPr>
            </w:pPr>
            <w:r>
              <w:rPr>
                <w:rFonts w:ascii="宋体" w:hAnsi="宋体" w:cs="宋体" w:eastAsia="宋体" w:hint="default"/>
                <w:sz w:val="18"/>
                <w:szCs w:val="18"/>
              </w:rPr>
              <w:t>青海明诺 胶囊有限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74"/>
              <w:jc w:val="both"/>
              <w:rPr>
                <w:rFonts w:ascii="宋体" w:hAnsi="宋体" w:cs="宋体" w:eastAsia="宋体" w:hint="default"/>
                <w:sz w:val="18"/>
                <w:szCs w:val="18"/>
              </w:rPr>
            </w:pPr>
            <w:r>
              <w:rPr>
                <w:rFonts w:ascii="宋体" w:hAnsi="宋体" w:cs="宋体" w:eastAsia="宋体" w:hint="default"/>
                <w:sz w:val="18"/>
                <w:szCs w:val="18"/>
              </w:rPr>
              <w:t>剥离胶囊 有利于实 现产业转 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23" w:right="103"/>
              <w:jc w:val="left"/>
              <w:rPr>
                <w:rFonts w:ascii="宋体" w:hAnsi="宋体" w:cs="宋体" w:eastAsia="宋体" w:hint="default"/>
                <w:sz w:val="18"/>
                <w:szCs w:val="18"/>
              </w:rPr>
            </w:pPr>
            <w:r>
              <w:rPr>
                <w:rFonts w:ascii="宋体" w:hAnsi="宋体" w:cs="宋体" w:eastAsia="宋体" w:hint="default"/>
                <w:sz w:val="18"/>
                <w:szCs w:val="18"/>
              </w:rPr>
              <w:t>依据评估结 果</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2" w:right="109"/>
              <w:jc w:val="both"/>
              <w:rPr>
                <w:rFonts w:ascii="宋体" w:hAnsi="宋体" w:cs="宋体" w:eastAsia="宋体" w:hint="default"/>
                <w:sz w:val="18"/>
                <w:szCs w:val="18"/>
              </w:rPr>
            </w:pPr>
            <w:r>
              <w:rPr>
                <w:rFonts w:ascii="宋体" w:hAnsi="宋体" w:cs="宋体" w:eastAsia="宋体" w:hint="default"/>
                <w:sz w:val="18"/>
                <w:szCs w:val="18"/>
              </w:rPr>
              <w:t>控股股 东之子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78" w:hRule="exact"/>
        </w:trPr>
        <w:tc>
          <w:tcPr>
            <w:tcW w:w="685"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柳州市宏</w:t>
            </w:r>
          </w:p>
        </w:tc>
        <w:tc>
          <w:tcPr>
            <w:tcW w:w="683" w:type="dxa"/>
            <w:tcBorders>
              <w:top w:val="single" w:sz="4" w:space="0" w:color="000000"/>
              <w:left w:val="single" w:sz="4" w:space="0" w:color="000000"/>
              <w:bottom w:val="nil" w:sz="6" w:space="0" w:color="auto"/>
              <w:right w:val="single" w:sz="4" w:space="0" w:color="000000"/>
            </w:tcBorders>
          </w:tcPr>
          <w:p>
            <w:pPr/>
          </w:p>
        </w:tc>
        <w:tc>
          <w:tcPr>
            <w:tcW w:w="52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43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r>
      <w:tr>
        <w:trPr>
          <w:trHeight w:val="93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湖北盛</w:t>
            </w:r>
          </w:p>
          <w:p>
            <w:pPr>
              <w:pStyle w:val="TableParagraph"/>
              <w:spacing w:line="237" w:lineRule="auto"/>
              <w:ind w:left="24" w:right="109"/>
              <w:jc w:val="both"/>
              <w:rPr>
                <w:rFonts w:ascii="宋体" w:hAnsi="宋体" w:cs="宋体" w:eastAsia="宋体" w:hint="default"/>
                <w:sz w:val="18"/>
                <w:szCs w:val="18"/>
              </w:rPr>
            </w:pPr>
            <w:r>
              <w:rPr>
                <w:rFonts w:ascii="宋体" w:hAnsi="宋体" w:cs="宋体" w:eastAsia="宋体" w:hint="default"/>
                <w:sz w:val="18"/>
                <w:szCs w:val="18"/>
              </w:rPr>
              <w:t>木科技 有限公 司</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升胶原蛋</w:t>
            </w:r>
          </w:p>
          <w:p>
            <w:pPr>
              <w:pStyle w:val="TableParagraph"/>
              <w:spacing w:line="237" w:lineRule="auto"/>
              <w:ind w:left="23" w:right="31"/>
              <w:jc w:val="left"/>
              <w:rPr>
                <w:rFonts w:ascii="宋体" w:hAnsi="宋体" w:cs="宋体" w:eastAsia="宋体" w:hint="default"/>
                <w:sz w:val="18"/>
                <w:szCs w:val="18"/>
              </w:rPr>
            </w:pPr>
            <w:r>
              <w:rPr>
                <w:rFonts w:ascii="宋体" w:hAnsi="宋体" w:cs="宋体" w:eastAsia="宋体" w:hint="default"/>
                <w:sz w:val="18"/>
                <w:szCs w:val="18"/>
              </w:rPr>
              <w:t>白肠衣有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12,75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-696.44</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剥离胶原</w:t>
            </w:r>
          </w:p>
          <w:p>
            <w:pPr>
              <w:pStyle w:val="TableParagraph"/>
              <w:spacing w:line="237" w:lineRule="auto"/>
              <w:ind w:left="23" w:right="174"/>
              <w:jc w:val="both"/>
              <w:rPr>
                <w:rFonts w:ascii="宋体" w:hAnsi="宋体" w:cs="宋体" w:eastAsia="宋体" w:hint="default"/>
                <w:sz w:val="18"/>
                <w:szCs w:val="18"/>
              </w:rPr>
            </w:pPr>
            <w:r>
              <w:rPr>
                <w:rFonts w:ascii="宋体" w:hAnsi="宋体" w:cs="宋体" w:eastAsia="宋体" w:hint="default"/>
                <w:sz w:val="18"/>
                <w:szCs w:val="18"/>
              </w:rPr>
              <w:t>肠衣有利 于实现产 业转型</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Times New Roman" w:hAnsi="Times New Roman" w:cs="Times New Roman" w:eastAsia="Times New Roman" w:hint="default"/>
                <w:sz w:val="18"/>
                <w:szCs w:val="18"/>
              </w:rPr>
            </w:pPr>
            <w:r>
              <w:rPr>
                <w:rFonts w:ascii="Times New Roman"/>
                <w:spacing w:val="-2"/>
                <w:sz w:val="18"/>
              </w:rPr>
              <w:t>-11.50%</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3" w:right="103"/>
              <w:jc w:val="left"/>
              <w:rPr>
                <w:rFonts w:ascii="宋体" w:hAnsi="宋体" w:cs="宋体" w:eastAsia="宋体" w:hint="default"/>
                <w:sz w:val="18"/>
                <w:szCs w:val="18"/>
              </w:rPr>
            </w:pPr>
            <w:r>
              <w:rPr>
                <w:rFonts w:ascii="宋体" w:hAnsi="宋体" w:cs="宋体" w:eastAsia="宋体" w:hint="default"/>
                <w:sz w:val="18"/>
                <w:szCs w:val="18"/>
              </w:rPr>
              <w:t>依据评估结 果</w:t>
            </w:r>
          </w:p>
        </w:tc>
        <w:tc>
          <w:tcPr>
            <w:tcW w:w="4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2" w:right="109"/>
              <w:jc w:val="both"/>
              <w:rPr>
                <w:rFonts w:ascii="宋体" w:hAnsi="宋体" w:cs="宋体" w:eastAsia="宋体" w:hint="default"/>
                <w:sz w:val="18"/>
                <w:szCs w:val="18"/>
              </w:rPr>
            </w:pPr>
            <w:r>
              <w:rPr>
                <w:rFonts w:ascii="宋体" w:hAnsi="宋体" w:cs="宋体" w:eastAsia="宋体" w:hint="default"/>
                <w:sz w:val="18"/>
                <w:szCs w:val="18"/>
              </w:rPr>
              <w:t>控股股 东之子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74" w:hRule="exact"/>
        </w:trPr>
        <w:tc>
          <w:tcPr>
            <w:tcW w:w="685"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nil" w:sz="6" w:space="0" w:color="auto"/>
              <w:left w:val="single" w:sz="4" w:space="0" w:color="000000"/>
              <w:bottom w:val="single" w:sz="4" w:space="0" w:color="000000"/>
              <w:right w:val="single" w:sz="4" w:space="0" w:color="000000"/>
            </w:tcBorders>
          </w:tcPr>
          <w:p>
            <w:pPr/>
          </w:p>
        </w:tc>
        <w:tc>
          <w:tcPr>
            <w:tcW w:w="52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43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r>
      <w:tr>
        <w:trPr>
          <w:trHeight w:val="1231"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6"/>
              <w:ind w:left="24" w:right="109"/>
              <w:jc w:val="both"/>
              <w:rPr>
                <w:rFonts w:ascii="宋体" w:hAnsi="宋体" w:cs="宋体" w:eastAsia="宋体" w:hint="default"/>
                <w:sz w:val="18"/>
                <w:szCs w:val="18"/>
              </w:rPr>
            </w:pPr>
            <w:r>
              <w:rPr>
                <w:rFonts w:ascii="宋体" w:hAnsi="宋体" w:cs="宋体" w:eastAsia="宋体" w:hint="default"/>
                <w:sz w:val="18"/>
                <w:szCs w:val="18"/>
              </w:rPr>
              <w:t>深圳德 木实业 有限公 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1"/>
              <w:ind w:left="2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广东明洋 明胶有限 责任公司 </w:t>
            </w:r>
            <w:r>
              <w:rPr>
                <w:rFonts w:ascii="Times New Roman" w:hAnsi="Times New Roman" w:cs="Times New Roman" w:eastAsia="Times New Roman" w:hint="default"/>
                <w:sz w:val="18"/>
                <w:szCs w:val="18"/>
              </w:rPr>
              <w:t>67.0342</w:t>
            </w:r>
          </w:p>
          <w:p>
            <w:pPr>
              <w:pStyle w:val="TableParagraph"/>
              <w:spacing w:line="215"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-378.39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6"/>
              <w:ind w:left="23" w:right="174"/>
              <w:jc w:val="both"/>
              <w:rPr>
                <w:rFonts w:ascii="宋体" w:hAnsi="宋体" w:cs="宋体" w:eastAsia="宋体" w:hint="default"/>
                <w:sz w:val="18"/>
                <w:szCs w:val="18"/>
              </w:rPr>
            </w:pPr>
            <w:r>
              <w:rPr>
                <w:rFonts w:ascii="宋体" w:hAnsi="宋体" w:cs="宋体" w:eastAsia="宋体" w:hint="default"/>
                <w:sz w:val="18"/>
                <w:szCs w:val="18"/>
              </w:rPr>
              <w:t>剥离明胶 有利于实 现产业转 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6"/>
              <w:ind w:left="23" w:right="103"/>
              <w:jc w:val="left"/>
              <w:rPr>
                <w:rFonts w:ascii="宋体" w:hAnsi="宋体" w:cs="宋体" w:eastAsia="宋体" w:hint="default"/>
                <w:sz w:val="18"/>
                <w:szCs w:val="18"/>
              </w:rPr>
            </w:pPr>
            <w:r>
              <w:rPr>
                <w:rFonts w:ascii="宋体" w:hAnsi="宋体" w:cs="宋体" w:eastAsia="宋体" w:hint="default"/>
                <w:sz w:val="18"/>
                <w:szCs w:val="18"/>
              </w:rPr>
              <w:t>依据评估结 果</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32" w:lineRule="exact"/>
              <w:ind w:left="22" w:right="109"/>
              <w:jc w:val="both"/>
              <w:rPr>
                <w:rFonts w:ascii="宋体" w:hAnsi="宋体" w:cs="宋体" w:eastAsia="宋体" w:hint="default"/>
                <w:sz w:val="18"/>
                <w:szCs w:val="18"/>
              </w:rPr>
            </w:pPr>
            <w:r>
              <w:rPr>
                <w:rFonts w:ascii="宋体" w:hAnsi="宋体" w:cs="宋体" w:eastAsia="宋体" w:hint="default"/>
                <w:sz w:val="18"/>
                <w:szCs w:val="18"/>
              </w:rPr>
              <w:t>控股股 东之子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12"/>
        <w:rPr>
          <w:rFonts w:ascii="宋体" w:hAnsi="宋体" w:cs="宋体" w:eastAsia="宋体" w:hint="default"/>
          <w:sz w:val="17"/>
          <w:szCs w:val="17"/>
        </w:rPr>
      </w:pPr>
    </w:p>
    <w:p>
      <w:pPr>
        <w:pStyle w:val="Heading2"/>
        <w:spacing w:line="240" w:lineRule="auto" w:before="26"/>
        <w:ind w:left="772" w:right="0"/>
        <w:jc w:val="left"/>
        <w:rPr>
          <w:b w:val="0"/>
          <w:bCs w:val="0"/>
        </w:rPr>
      </w:pPr>
      <w:r>
        <w:rPr/>
        <w:t>七、主要控股参股公司分析</w:t>
      </w:r>
      <w:r>
        <w:rPr>
          <w:b w:val="0"/>
          <w:bCs w:val="0"/>
        </w:rPr>
      </w:r>
    </w:p>
    <w:p>
      <w:pPr>
        <w:spacing w:line="240" w:lineRule="auto" w:before="4"/>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78" w:top="1060" w:bottom="1160" w:left="360" w:right="360"/>
        </w:sectPr>
      </w:pPr>
    </w:p>
    <w:p>
      <w:pPr>
        <w:pStyle w:val="BodyText"/>
        <w:spacing w:line="240" w:lineRule="auto" w:before="44"/>
        <w:ind w:left="77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2"/>
        <w:ind w:left="77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18"/>
        <w:ind w:left="753" w:right="753"/>
        <w:jc w:val="center"/>
      </w:pPr>
      <w:r>
        <w:rPr/>
        <w:t>单位：元</w:t>
      </w:r>
    </w:p>
    <w:p>
      <w:pPr>
        <w:spacing w:after="0" w:line="240" w:lineRule="auto"/>
        <w:jc w:val="center"/>
        <w:sectPr>
          <w:type w:val="continuous"/>
          <w:pgSz w:w="11910" w:h="16840"/>
          <w:pgMar w:top="1060" w:bottom="1160" w:left="360" w:right="360"/>
          <w:cols w:num="2" w:equalWidth="0">
            <w:col w:w="5468" w:space="3451"/>
            <w:col w:w="2271"/>
          </w:cols>
        </w:sectPr>
      </w:pP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246"/>
        <w:gridCol w:w="708"/>
        <w:gridCol w:w="1291"/>
        <w:gridCol w:w="1231"/>
        <w:gridCol w:w="1384"/>
        <w:gridCol w:w="1276"/>
        <w:gridCol w:w="1196"/>
        <w:gridCol w:w="1329"/>
        <w:gridCol w:w="1276"/>
      </w:tblGrid>
      <w:tr>
        <w:trPr>
          <w:trHeight w:val="557" w:hRule="exact"/>
        </w:trPr>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59" w:right="76"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1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6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9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257"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22" w:right="132"/>
              <w:jc w:val="both"/>
              <w:rPr>
                <w:rFonts w:ascii="宋体" w:hAnsi="宋体" w:cs="宋体" w:eastAsia="宋体" w:hint="default"/>
                <w:sz w:val="18"/>
                <w:szCs w:val="18"/>
              </w:rPr>
            </w:pPr>
            <w:r>
              <w:rPr>
                <w:rFonts w:ascii="宋体" w:hAnsi="宋体" w:cs="宋体" w:eastAsia="宋体" w:hint="default"/>
                <w:sz w:val="18"/>
                <w:szCs w:val="18"/>
              </w:rPr>
              <w:t>青海宁达创业 投资有限责任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1" w:right="86"/>
              <w:jc w:val="left"/>
              <w:rPr>
                <w:rFonts w:ascii="宋体" w:hAnsi="宋体" w:cs="宋体" w:eastAsia="宋体" w:hint="default"/>
                <w:sz w:val="18"/>
                <w:szCs w:val="18"/>
              </w:rPr>
            </w:pPr>
            <w:r>
              <w:rPr>
                <w:rFonts w:ascii="宋体" w:hAnsi="宋体" w:cs="宋体" w:eastAsia="宋体" w:hint="default"/>
                <w:sz w:val="18"/>
                <w:szCs w:val="18"/>
              </w:rPr>
              <w:t>代理其他创业 投资企业机</w:t>
            </w:r>
            <w:r>
              <w:rPr>
                <w:rFonts w:ascii="宋体" w:hAnsi="宋体" w:cs="宋体" w:eastAsia="宋体" w:hint="default"/>
                <w:spacing w:val="1"/>
                <w:sz w:val="18"/>
                <w:szCs w:val="18"/>
              </w:rPr>
              <w:t> </w:t>
            </w:r>
            <w:r>
              <w:rPr>
                <w:rFonts w:ascii="宋体" w:hAnsi="宋体" w:cs="宋体" w:eastAsia="宋体" w:hint="default"/>
                <w:sz w:val="18"/>
                <w:szCs w:val="18"/>
              </w:rPr>
              <w:t>构</w:t>
            </w:r>
            <w:r>
              <w:rPr>
                <w:rFonts w:ascii="宋体" w:hAnsi="宋体" w:cs="宋体" w:eastAsia="宋体" w:hint="default"/>
                <w:sz w:val="18"/>
                <w:szCs w:val="18"/>
              </w:rPr>
              <w:t> 或个人的投资 业务、创业</w:t>
            </w:r>
            <w:r>
              <w:rPr>
                <w:rFonts w:ascii="宋体" w:hAnsi="宋体" w:cs="宋体" w:eastAsia="宋体" w:hint="default"/>
                <w:spacing w:val="1"/>
                <w:sz w:val="18"/>
                <w:szCs w:val="18"/>
              </w:rPr>
              <w:t> </w:t>
            </w:r>
            <w:r>
              <w:rPr>
                <w:rFonts w:ascii="宋体" w:hAnsi="宋体" w:cs="宋体" w:eastAsia="宋体" w:hint="default"/>
                <w:sz w:val="18"/>
                <w:szCs w:val="18"/>
              </w:rPr>
              <w:t>投</w:t>
            </w:r>
            <w:r>
              <w:rPr>
                <w:rFonts w:ascii="宋体" w:hAnsi="宋体" w:cs="宋体" w:eastAsia="宋体" w:hint="default"/>
                <w:sz w:val="18"/>
                <w:szCs w:val="18"/>
              </w:rPr>
              <w:t> 资咨询业务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58,890,000.00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67,725,337.66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64,535,948.15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-1,097,038.03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-1,946,351.80</w:t>
            </w:r>
          </w:p>
        </w:tc>
      </w:tr>
      <w:tr>
        <w:trPr>
          <w:trHeight w:val="791"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1"/>
              <w:jc w:val="left"/>
              <w:rPr>
                <w:rFonts w:ascii="宋体" w:hAnsi="宋体" w:cs="宋体" w:eastAsia="宋体" w:hint="default"/>
                <w:sz w:val="18"/>
                <w:szCs w:val="18"/>
              </w:rPr>
            </w:pPr>
            <w:r>
              <w:rPr>
                <w:rFonts w:ascii="宋体" w:hAnsi="宋体" w:cs="宋体" w:eastAsia="宋体" w:hint="default"/>
                <w:sz w:val="18"/>
                <w:szCs w:val="18"/>
              </w:rPr>
              <w:t>神州易桥（北 </w:t>
            </w:r>
            <w:r>
              <w:rPr>
                <w:rFonts w:ascii="宋体" w:hAnsi="宋体" w:cs="宋体" w:eastAsia="宋体" w:hint="default"/>
                <w:spacing w:val="-10"/>
                <w:sz w:val="18"/>
                <w:szCs w:val="18"/>
              </w:rPr>
              <w:t>京）财税科技有</w:t>
            </w:r>
            <w:r>
              <w:rPr>
                <w:rFonts w:ascii="宋体" w:hAnsi="宋体" w:cs="宋体" w:eastAsia="宋体" w:hint="default"/>
                <w:sz w:val="18"/>
                <w:szCs w:val="18"/>
              </w:rPr>
              <w:t>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1" w:right="21"/>
              <w:jc w:val="both"/>
              <w:rPr>
                <w:rFonts w:ascii="宋体" w:hAnsi="宋体" w:cs="宋体" w:eastAsia="宋体" w:hint="default"/>
                <w:sz w:val="18"/>
                <w:szCs w:val="18"/>
              </w:rPr>
            </w:pPr>
            <w:r>
              <w:rPr>
                <w:rFonts w:ascii="宋体" w:hAnsi="宋体" w:cs="宋体" w:eastAsia="宋体" w:hint="default"/>
                <w:spacing w:val="-4"/>
                <w:sz w:val="18"/>
                <w:szCs w:val="18"/>
              </w:rPr>
              <w:t>软件服务，技术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开发、服务、</w:t>
            </w:r>
            <w:r>
              <w:rPr>
                <w:rFonts w:ascii="宋体" w:hAnsi="宋体" w:cs="宋体" w:eastAsia="宋体" w:hint="default"/>
                <w:spacing w:val="-56"/>
                <w:sz w:val="18"/>
                <w:szCs w:val="18"/>
              </w:rPr>
              <w:t> </w:t>
            </w:r>
            <w:r>
              <w:rPr>
                <w:rFonts w:ascii="宋体" w:hAnsi="宋体" w:cs="宋体" w:eastAsia="宋体" w:hint="default"/>
                <w:sz w:val="18"/>
                <w:szCs w:val="18"/>
              </w:rPr>
              <w:t>咨</w:t>
            </w:r>
            <w:r>
              <w:rPr>
                <w:rFonts w:ascii="宋体" w:hAnsi="宋体" w:cs="宋体" w:eastAsia="宋体" w:hint="default"/>
                <w:sz w:val="18"/>
                <w:szCs w:val="18"/>
              </w:rPr>
              <w:t> 询等</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11,222,780.00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708,393,882.52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327,713,678.16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282,273,137.76</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144,420,612.42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126,121,793.58</w:t>
            </w:r>
          </w:p>
        </w:tc>
      </w:tr>
      <w:tr>
        <w:trPr>
          <w:trHeight w:val="79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z w:val="18"/>
                <w:szCs w:val="18"/>
              </w:rPr>
              <w:t>企业管家（北 </w:t>
            </w:r>
            <w:r>
              <w:rPr>
                <w:rFonts w:ascii="宋体" w:hAnsi="宋体" w:cs="宋体" w:eastAsia="宋体" w:hint="default"/>
                <w:spacing w:val="-10"/>
                <w:sz w:val="18"/>
                <w:szCs w:val="18"/>
              </w:rPr>
              <w:t>京）科技服务有</w:t>
            </w:r>
            <w:r>
              <w:rPr>
                <w:rFonts w:ascii="宋体" w:hAnsi="宋体" w:cs="宋体" w:eastAsia="宋体" w:hint="default"/>
                <w:sz w:val="18"/>
                <w:szCs w:val="18"/>
              </w:rPr>
              <w:t>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1"/>
              <w:jc w:val="both"/>
              <w:rPr>
                <w:rFonts w:ascii="宋体" w:hAnsi="宋体" w:cs="宋体" w:eastAsia="宋体" w:hint="default"/>
                <w:sz w:val="18"/>
                <w:szCs w:val="18"/>
              </w:rPr>
            </w:pPr>
            <w:r>
              <w:rPr>
                <w:rFonts w:ascii="宋体" w:hAnsi="宋体" w:cs="宋体" w:eastAsia="宋体" w:hint="default"/>
                <w:spacing w:val="-4"/>
                <w:sz w:val="18"/>
                <w:szCs w:val="18"/>
              </w:rPr>
              <w:t>软件服务，技术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开发、服务、</w:t>
            </w:r>
            <w:r>
              <w:rPr>
                <w:rFonts w:ascii="宋体" w:hAnsi="宋体" w:cs="宋体" w:eastAsia="宋体" w:hint="default"/>
                <w:spacing w:val="-56"/>
                <w:sz w:val="18"/>
                <w:szCs w:val="18"/>
              </w:rPr>
              <w:t> </w:t>
            </w:r>
            <w:r>
              <w:rPr>
                <w:rFonts w:ascii="宋体" w:hAnsi="宋体" w:cs="宋体" w:eastAsia="宋体" w:hint="default"/>
                <w:sz w:val="18"/>
                <w:szCs w:val="18"/>
              </w:rPr>
              <w:t>咨</w:t>
            </w:r>
            <w:r>
              <w:rPr>
                <w:rFonts w:ascii="宋体" w:hAnsi="宋体" w:cs="宋体" w:eastAsia="宋体" w:hint="default"/>
                <w:sz w:val="18"/>
                <w:szCs w:val="18"/>
              </w:rPr>
              <w:t> 询等</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650,000,000.00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1,177,247,865.22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629,204,079.63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44,499,538.34</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-133,183,371.29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-105,059,144.98</w:t>
            </w:r>
          </w:p>
        </w:tc>
      </w:tr>
      <w:tr>
        <w:trPr>
          <w:trHeight w:val="557"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32"/>
              <w:jc w:val="left"/>
              <w:rPr>
                <w:rFonts w:ascii="宋体" w:hAnsi="宋体" w:cs="宋体" w:eastAsia="宋体" w:hint="default"/>
                <w:sz w:val="18"/>
                <w:szCs w:val="18"/>
              </w:rPr>
            </w:pPr>
            <w:r>
              <w:rPr>
                <w:rFonts w:ascii="宋体" w:hAnsi="宋体" w:cs="宋体" w:eastAsia="宋体" w:hint="default"/>
                <w:sz w:val="18"/>
                <w:szCs w:val="18"/>
              </w:rPr>
              <w:t>北京办饭餐饮 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1" w:right="21"/>
              <w:jc w:val="left"/>
              <w:rPr>
                <w:rFonts w:ascii="宋体" w:hAnsi="宋体" w:cs="宋体" w:eastAsia="宋体" w:hint="default"/>
                <w:sz w:val="18"/>
                <w:szCs w:val="18"/>
              </w:rPr>
            </w:pPr>
            <w:r>
              <w:rPr>
                <w:rFonts w:ascii="宋体" w:hAnsi="宋体" w:cs="宋体" w:eastAsia="宋体" w:hint="default"/>
                <w:spacing w:val="-4"/>
                <w:sz w:val="18"/>
                <w:szCs w:val="18"/>
              </w:rPr>
              <w:t>餐饮服务、企业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5,420,454.11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-1,925,640.33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2,098,300.78</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-1,925,755.35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-1,925,640.33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60" w:right="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right="94"/>
        <w:jc w:val="left"/>
      </w:pPr>
      <w:r>
        <w:rPr/>
        <w:t>报告期内取得和处置子公司的情况</w:t>
      </w:r>
    </w:p>
    <w:p>
      <w:pPr>
        <w:pStyle w:val="BodyText"/>
        <w:spacing w:line="240" w:lineRule="auto" w:before="38"/>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有利于实现产业转型</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有利于实现产业转型</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有利于实现产业转型</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有利于实现产业转型</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有利于实现产业转型</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北京办饭餐饮管理有限公司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1"/>
        <w:ind w:right="94"/>
        <w:jc w:val="left"/>
      </w:pPr>
      <w:r>
        <w:rPr/>
        <w:t>主要控股参股公司情况说明</w:t>
      </w:r>
    </w:p>
    <w:p>
      <w:pPr>
        <w:spacing w:line="240" w:lineRule="auto" w:before="12"/>
        <w:rPr>
          <w:rFonts w:ascii="宋体" w:hAnsi="宋体" w:cs="宋体" w:eastAsia="宋体" w:hint="default"/>
          <w:sz w:val="21"/>
          <w:szCs w:val="21"/>
        </w:rPr>
      </w:pPr>
    </w:p>
    <w:p>
      <w:pPr>
        <w:pStyle w:val="Heading2"/>
        <w:spacing w:line="240" w:lineRule="auto"/>
        <w:ind w:right="94"/>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4"/>
        <w:jc w:val="left"/>
        <w:rPr>
          <w:b w:val="0"/>
          <w:bCs w:val="0"/>
        </w:rPr>
      </w:pPr>
      <w:r>
        <w:rPr/>
        <w:t>九、公司未来发展的展望</w:t>
      </w:r>
      <w:r>
        <w:rPr>
          <w:b w:val="0"/>
          <w:bCs w:val="0"/>
        </w:rPr>
      </w:r>
    </w:p>
    <w:p>
      <w:pPr>
        <w:pStyle w:val="BodyText"/>
        <w:spacing w:line="330" w:lineRule="atLeast" w:before="213"/>
        <w:ind w:left="592" w:right="94" w:firstLine="2"/>
        <w:jc w:val="left"/>
      </w:pPr>
      <w:r>
        <w:rPr/>
        <w:t>（一）公司整体发展目标 </w:t>
      </w:r>
      <w:r>
        <w:rPr>
          <w:spacing w:val="-1"/>
        </w:rPr>
        <w:t>公司的战略导向是“圈地、囤人、赋能”，以企业价值原点为核心，整合多方优质资源，通过区块链共振、价值链跃</w:t>
      </w:r>
    </w:p>
    <w:p>
      <w:pPr>
        <w:pStyle w:val="BodyText"/>
        <w:spacing w:line="237" w:lineRule="auto"/>
        <w:ind w:right="94"/>
        <w:jc w:val="left"/>
      </w:pPr>
      <w:r>
        <w:rPr/>
        <w:t>进和优秀联合创始人强强联手，冲破现有行业边界，打造企业服务行业新生态格局。用“千店协同、跨越空间、万人服务、 </w:t>
      </w:r>
      <w:r>
        <w:rPr>
          <w:spacing w:val="-2"/>
        </w:rPr>
        <w:t>分享时间”的高标准服务助力企业成长，致力于落实“双创、四众”等国家战略，做企业的成长土壤，孵化中国未来的价值</w:t>
      </w:r>
      <w:r>
        <w:rPr>
          <w:spacing w:val="-62"/>
        </w:rPr>
        <w:t> </w:t>
      </w:r>
      <w:r>
        <w:rPr>
          <w:spacing w:val="-62"/>
        </w:rPr>
      </w:r>
      <w:r>
        <w:rPr/>
        <w:t>森林。</w:t>
      </w:r>
    </w:p>
    <w:p>
      <w:pPr>
        <w:pStyle w:val="BodyText"/>
        <w:spacing w:line="240" w:lineRule="auto" w:before="98"/>
        <w:ind w:left="595" w:right="94"/>
        <w:jc w:val="left"/>
      </w:pPr>
      <w:r>
        <w:rPr/>
        <w:t>（二）实施发展目标面临的主要困难</w:t>
      </w:r>
    </w:p>
    <w:p>
      <w:pPr>
        <w:pStyle w:val="BodyText"/>
        <w:spacing w:line="319" w:lineRule="auto" w:before="98"/>
        <w:ind w:left="592" w:right="94" w:firstLine="2"/>
        <w:jc w:val="left"/>
      </w:pPr>
      <w:r>
        <w:rPr>
          <w:rFonts w:ascii="Times New Roman" w:hAnsi="Times New Roman" w:cs="Times New Roman" w:eastAsia="Times New Roman" w:hint="default"/>
        </w:rPr>
        <w:t>1</w:t>
      </w:r>
      <w:r>
        <w:rPr/>
        <w:t>、进一步拓宽融资渠道 </w:t>
      </w:r>
      <w:r>
        <w:rPr>
          <w:spacing w:val="-1"/>
        </w:rPr>
        <w:t>实施未来发展计划需要投入增量资金，若单纯依靠企业自身利润积累，难以应对日益激烈的市场竞争，很可能会错失</w:t>
      </w:r>
    </w:p>
    <w:p>
      <w:pPr>
        <w:pStyle w:val="BodyText"/>
        <w:spacing w:line="174" w:lineRule="exact"/>
        <w:ind w:right="0"/>
        <w:jc w:val="left"/>
      </w:pPr>
      <w:r>
        <w:rPr/>
        <w:t>发展机会；若完全依靠银行贷款，会加大公司的财务费用，甚至会造成资金周转困难，因此交易完成后上市公司必须积极开</w:t>
      </w:r>
    </w:p>
    <w:p>
      <w:pPr>
        <w:pStyle w:val="BodyText"/>
        <w:spacing w:line="234" w:lineRule="exact"/>
        <w:ind w:right="94"/>
        <w:jc w:val="left"/>
      </w:pPr>
      <w:r>
        <w:rPr/>
        <w:t>拓多种融资渠道，以满足未来业务发展的资金需求，促进业务持续快速发展。</w:t>
      </w:r>
    </w:p>
    <w:p>
      <w:pPr>
        <w:pStyle w:val="BodyText"/>
        <w:spacing w:line="321" w:lineRule="auto" w:before="98"/>
        <w:ind w:left="592" w:right="94" w:firstLine="2"/>
        <w:jc w:val="left"/>
      </w:pPr>
      <w:r>
        <w:rPr>
          <w:rFonts w:ascii="Times New Roman" w:hAnsi="Times New Roman" w:cs="Times New Roman" w:eastAsia="Times New Roman" w:hint="default"/>
        </w:rPr>
        <w:t>2</w:t>
      </w:r>
      <w:r>
        <w:rPr/>
        <w:t>、进一步提升内部管理 </w:t>
      </w:r>
      <w:r>
        <w:rPr>
          <w:spacing w:val="-1"/>
        </w:rPr>
        <w:t>随着上市公司整体发展战略的深入推进及业务规模的持续扩大，未来上市公司在战略规划、机制建立、资源整合、组</w:t>
      </w:r>
    </w:p>
    <w:p>
      <w:pPr>
        <w:pStyle w:val="BodyText"/>
        <w:spacing w:line="171" w:lineRule="exact"/>
        <w:ind w:right="0"/>
        <w:jc w:val="left"/>
      </w:pPr>
      <w:r>
        <w:rPr/>
        <w:t>织配置、运营管理、资金管理、内部控制管理等方面都将面临巨大挑战。特别是迅速扩大经营规模以后，公司的组织结构和</w:t>
      </w:r>
    </w:p>
    <w:p>
      <w:pPr>
        <w:pStyle w:val="BodyText"/>
        <w:spacing w:line="240" w:lineRule="auto"/>
        <w:ind w:right="94"/>
        <w:jc w:val="left"/>
      </w:pPr>
      <w:r>
        <w:rPr/>
        <w:t>管理体系需进一步提升，适应公司快速发展的需要。</w:t>
      </w:r>
    </w:p>
    <w:p>
      <w:pPr>
        <w:pStyle w:val="BodyText"/>
        <w:spacing w:line="319" w:lineRule="auto" w:before="98"/>
        <w:ind w:left="592" w:right="94" w:firstLine="2"/>
        <w:jc w:val="left"/>
      </w:pPr>
      <w:r>
        <w:rPr>
          <w:rFonts w:ascii="Times New Roman" w:hAnsi="Times New Roman" w:cs="Times New Roman" w:eastAsia="Times New Roman" w:hint="default"/>
        </w:rPr>
        <w:t>3</w:t>
      </w:r>
      <w:r>
        <w:rPr/>
        <w:t>、进一步加强人才培养 </w:t>
      </w:r>
      <w:r>
        <w:rPr>
          <w:spacing w:val="-1"/>
        </w:rPr>
        <w:t>专业人才对上市公司未来业务的开展至关重要，未来业务规模的不断扩大对上市公司人员的数量、知识结构、专业技</w:t>
      </w:r>
    </w:p>
    <w:p>
      <w:pPr>
        <w:pStyle w:val="BodyText"/>
        <w:spacing w:line="174" w:lineRule="exact"/>
        <w:ind w:right="0"/>
        <w:jc w:val="left"/>
      </w:pPr>
      <w:r>
        <w:rPr/>
        <w:t>能、开发能力、运营经验等提出了更高的要求。为了与未来发展需求相匹配，需进一步加强人才培养，通过引进、内部培养</w:t>
      </w:r>
    </w:p>
    <w:p>
      <w:pPr>
        <w:pStyle w:val="BodyText"/>
        <w:spacing w:line="234" w:lineRule="exact"/>
        <w:ind w:right="94"/>
        <w:jc w:val="left"/>
      </w:pPr>
      <w:r>
        <w:rPr/>
        <w:t>和激励专业人才等手段，建立公司人才梯队，为公司可持续发展提供人力支持。</w:t>
      </w:r>
    </w:p>
    <w:p>
      <w:pPr>
        <w:pStyle w:val="BodyText"/>
        <w:spacing w:line="340" w:lineRule="auto" w:before="98"/>
        <w:ind w:left="592" w:right="3934"/>
        <w:jc w:val="left"/>
      </w:pPr>
      <w:r>
        <w:rPr/>
        <w:t>（三）可能面对的风险 财税服务行业竞争加剧；顺利办门店整合不及预期；国内信贷收紧。</w:t>
      </w:r>
    </w:p>
    <w:p>
      <w:pPr>
        <w:pStyle w:val="BodyText"/>
        <w:spacing w:line="240" w:lineRule="auto" w:before="22"/>
        <w:ind w:left="592" w:right="94"/>
        <w:jc w:val="left"/>
      </w:pPr>
      <w:r>
        <w:rPr/>
        <w:t>（四）实现发展目标的方法或途径</w:t>
      </w:r>
    </w:p>
    <w:p>
      <w:pPr>
        <w:pStyle w:val="BodyText"/>
        <w:spacing w:line="237" w:lineRule="auto" w:before="100"/>
        <w:ind w:right="190" w:firstLine="480"/>
        <w:jc w:val="both"/>
      </w:pPr>
      <w:r>
        <w:rPr>
          <w:spacing w:val="-1"/>
        </w:rPr>
        <w:t>为确保公司整体发展目标的顺利实施，公司进一步强化对企业互联网服务行业新的业务机会和增长点的捕捉和把握能</w:t>
      </w:r>
      <w:r>
        <w:rPr/>
        <w:t> </w:t>
      </w:r>
      <w:r>
        <w:rPr>
          <w:spacing w:val="-2"/>
        </w:rPr>
        <w:t>力，进一步完善法人治理结构，促进管理升级和体制创新，重点实施人才战略、科学管理战略、资本战略，内部培养和外部</w:t>
      </w:r>
      <w:r>
        <w:rPr>
          <w:spacing w:val="-64"/>
        </w:rPr>
        <w:t> </w:t>
      </w:r>
      <w:r>
        <w:rPr>
          <w:spacing w:val="-64"/>
        </w:rPr>
      </w:r>
      <w:r>
        <w:rPr>
          <w:spacing w:val="-2"/>
        </w:rPr>
        <w:t>吸收优秀的管理、技术及运营人才，建立起能够适应快速发展的企业互联网服务行业需要的人才资源，并进一步拓展公司融</w:t>
      </w:r>
      <w:r>
        <w:rPr>
          <w:spacing w:val="-63"/>
        </w:rPr>
        <w:t> </w:t>
      </w:r>
      <w:r>
        <w:rPr>
          <w:spacing w:val="-63"/>
        </w:rPr>
      </w:r>
      <w:r>
        <w:rPr/>
        <w:t>资渠道，提高核心竞争力。具体部署：</w:t>
      </w:r>
    </w:p>
    <w:p>
      <w:pPr>
        <w:pStyle w:val="BodyText"/>
        <w:spacing w:line="240" w:lineRule="auto" w:before="96"/>
        <w:ind w:left="592" w:right="94"/>
        <w:jc w:val="left"/>
      </w:pPr>
      <w:r>
        <w:rPr>
          <w:rFonts w:ascii="Times New Roman" w:hAnsi="Times New Roman" w:cs="Times New Roman" w:eastAsia="Times New Roman" w:hint="default"/>
        </w:rPr>
        <w:t>1</w:t>
      </w:r>
      <w:r>
        <w:rPr/>
        <w:t>、积极抓住政策机会，与政府、相关部委充分合作，助力国家政策的执行，经济的发展。</w:t>
      </w:r>
    </w:p>
    <w:p>
      <w:pPr>
        <w:pStyle w:val="BodyText"/>
        <w:spacing w:line="236" w:lineRule="exact" w:before="106"/>
        <w:ind w:right="94" w:firstLine="480"/>
        <w:jc w:val="left"/>
      </w:pPr>
      <w:r>
        <w:rPr>
          <w:rFonts w:ascii="Times New Roman" w:hAnsi="Times New Roman" w:cs="Times New Roman" w:eastAsia="Times New Roman" w:hint="default"/>
        </w:rPr>
        <w:t>2</w:t>
      </w:r>
      <w:r>
        <w:rPr/>
        <w:t>、通过内外孵化、合作、收购等模式，拓展产品线及市场，高效打造包括财税一体化和金融大数据在内的全产业链 产品体系，拓展全生命周期的标准化服务，形成互生互动，相互赋能的良性生态环境。</w:t>
      </w:r>
    </w:p>
    <w:p>
      <w:pPr>
        <w:pStyle w:val="BodyText"/>
        <w:spacing w:line="232" w:lineRule="exact" w:before="101"/>
        <w:ind w:right="94" w:firstLine="480"/>
        <w:jc w:val="left"/>
      </w:pPr>
      <w:r>
        <w:rPr>
          <w:rFonts w:ascii="Times New Roman" w:hAnsi="Times New Roman" w:cs="Times New Roman" w:eastAsia="Times New Roman" w:hint="default"/>
        </w:rPr>
        <w:t>3</w:t>
      </w:r>
      <w:r>
        <w:rPr/>
        <w:t>、通过资本、资源的全新整合，打造企业服务领域最强大</w:t>
      </w:r>
      <w:r>
        <w:rPr>
          <w:rFonts w:ascii="Times New Roman" w:hAnsi="Times New Roman" w:cs="Times New Roman" w:eastAsia="Times New Roman" w:hint="default"/>
        </w:rPr>
        <w:t>“</w:t>
      </w:r>
      <w:r>
        <w:rPr/>
        <w:t>军团</w:t>
      </w:r>
      <w:r>
        <w:rPr>
          <w:rFonts w:ascii="Times New Roman" w:hAnsi="Times New Roman" w:cs="Times New Roman" w:eastAsia="Times New Roman" w:hint="default"/>
        </w:rPr>
        <w:t>”</w:t>
      </w:r>
      <w:r>
        <w:rPr/>
        <w:t>，迅速扩张占领市场，形成多维渠道，合纵连横， 纵横捭阖。</w:t>
      </w:r>
    </w:p>
    <w:p>
      <w:pPr>
        <w:spacing w:after="0" w:line="232" w:lineRule="exact"/>
        <w:jc w:val="left"/>
        <w:sectPr>
          <w:pgSz w:w="11910" w:h="16840"/>
          <w:pgMar w:header="0" w:footer="978" w:top="1060" w:bottom="1160" w:left="1020" w:right="940"/>
        </w:sectPr>
      </w:pPr>
    </w:p>
    <w:p>
      <w:pPr>
        <w:spacing w:line="240" w:lineRule="auto" w:before="10"/>
        <w:rPr>
          <w:rFonts w:ascii="宋体" w:hAnsi="宋体" w:cs="宋体" w:eastAsia="宋体" w:hint="default"/>
          <w:sz w:val="22"/>
          <w:szCs w:val="22"/>
        </w:rPr>
      </w:pPr>
    </w:p>
    <w:p>
      <w:pPr>
        <w:pStyle w:val="BodyText"/>
        <w:spacing w:line="240" w:lineRule="auto" w:before="44"/>
        <w:ind w:left="592" w:right="0"/>
        <w:jc w:val="left"/>
      </w:pPr>
      <w:r>
        <w:rPr>
          <w:rFonts w:ascii="Times New Roman" w:hAnsi="Times New Roman" w:cs="Times New Roman" w:eastAsia="Times New Roman" w:hint="default"/>
        </w:rPr>
        <w:t>4</w:t>
      </w:r>
      <w:r>
        <w:rPr/>
        <w:t>、建立区域平台体系，通过区域平台的专业、准确、高效服务，解决管理、精准推广和地域差异问题。</w:t>
      </w:r>
    </w:p>
    <w:p>
      <w:pPr>
        <w:pStyle w:val="BodyText"/>
        <w:spacing w:line="240" w:lineRule="auto" w:before="84"/>
        <w:ind w:left="592" w:right="0"/>
        <w:jc w:val="left"/>
      </w:pPr>
      <w:r>
        <w:rPr>
          <w:rFonts w:ascii="Times New Roman" w:hAnsi="Times New Roman" w:cs="Times New Roman" w:eastAsia="Times New Roman" w:hint="default"/>
        </w:rPr>
        <w:t>5</w:t>
      </w:r>
      <w:r>
        <w:rPr/>
        <w:t>、通过线下门店、网络、传媒等渠道，系统规划，精准投放，打造企业服务第一品牌。</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701"/>
        <w:gridCol w:w="993"/>
        <w:gridCol w:w="1275"/>
        <w:gridCol w:w="5670"/>
      </w:tblGrid>
      <w:tr>
        <w:trPr>
          <w:trHeight w:val="24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年度业绩相关情况，公司未提供资料。</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年度业绩相关情况，公司未提供资料。</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年度业绩相关情况，公司未提供资料。</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咨询重大资产重组标的公司的情况，公司未提供资料。</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r>
              <w:rPr>
                <w:rFonts w:ascii="宋体" w:hAnsi="宋体" w:cs="宋体" w:eastAsia="宋体" w:hint="default"/>
                <w:spacing w:val="-57"/>
                <w:sz w:val="18"/>
                <w:szCs w:val="18"/>
              </w:rPr>
              <w:t> </w:t>
            </w: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咨询公司申请撤销风险警示进展情况。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咨询公司申请撤销风险警示进展情况。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咨询公司年报问询函回复及申请撤销风险警示进展情况。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咨询公司年报问询函回复及申请撤销风险警示进展情况。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咨询公司年报问询函回复及申请撤销风险警示进展情况。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咨询公司申请撤销风险警示进展情况。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咨询公司申请撤销风险警示进展情况。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咨询公司经营情况以及员工持股计划实施情况。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咨询公司百城千店实施进展情况。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咨询公司员工持股计划实施情况。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咨询公司员工持股计划实施情况以及加盟事宜。</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年第一季度业绩预亏相关情况。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咨询公司股东股份解除限售及员工持股计划进展情况。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咨询公司股东股份解除限售展情况。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咨询公司股东股份解除限售进展情况。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咨询公司股东协议转让相关情况。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咨询公司员工持股计划实施进展情况。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咨询公司员工持股计划信托合同相关内容以及公司机构调研安排情况。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咨询公司百城千店计划实施情况。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咨询公司股东减持股份相关情况。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咨询公司股东减持股份相关情况。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咨询减持新规对公司股东减持计划的影响情况。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咨询公司股东人数及员工持股计划实施情况。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咨询公司相关股东减持情况。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咨询公司变更募集资金实施方式情况。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咨询公司股东人数情况。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咨询公司对外投资及员工持股计划进展情况。</w:t>
            </w:r>
          </w:p>
        </w:tc>
      </w:tr>
      <w:tr>
        <w:trPr>
          <w:trHeight w:val="24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咨询子公司对外投资相关情况。</w:t>
            </w:r>
          </w:p>
        </w:tc>
      </w:tr>
    </w:tbl>
    <w:p>
      <w:pPr>
        <w:spacing w:after="0" w:line="209" w:lineRule="exact"/>
        <w:jc w:val="left"/>
        <w:rPr>
          <w:rFonts w:ascii="宋体" w:hAnsi="宋体" w:cs="宋体" w:eastAsia="宋体" w:hint="default"/>
          <w:sz w:val="18"/>
          <w:szCs w:val="18"/>
        </w:rPr>
        <w:sectPr>
          <w:pgSz w:w="11910" w:h="16840"/>
          <w:pgMar w:header="0"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701"/>
        <w:gridCol w:w="993"/>
        <w:gridCol w:w="172"/>
        <w:gridCol w:w="1103"/>
        <w:gridCol w:w="5670"/>
      </w:tblGrid>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咨询员工持股计划进展情况。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r>
              <w:rPr>
                <w:rFonts w:ascii="宋体" w:hAnsi="宋体" w:cs="宋体" w:eastAsia="宋体" w:hint="default"/>
                <w:spacing w:val="-57"/>
                <w:sz w:val="18"/>
                <w:szCs w:val="18"/>
              </w:rPr>
              <w:t> </w:t>
            </w: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咨询公司股票交易停牌相关情况。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咨询公司资产出售相关情况以及实地调研安排情况。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咨询公司收购资产的相关情况。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咨询公司资产出售以及年度经营业绩承诺相关情况。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咨询公司月度股东人数情况。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咨询公司股票交易复牌情况。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咨询公司半年度报告相关财务指标变动情况的原因。</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咨询公司投资、并购企业经营情况。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咨询公司资产出售进展情况。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咨询公司股票交易复牌情况。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咨询公司重大资产出售方案进展情况。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咨询公司重大资产出售停牌进展公告情况。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咨询公司股票交易复牌情况。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咨询公司股票交易复牌情况。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咨询公司重大资产出售交易进展情况。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咨询公司重大资产出售交易进展暨复牌情况。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咨询公司重大资产出售交易进展暨复牌情况。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咨询公司重大资产重组问询函回复情况。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咨询公司重大资产重组问询函回复情况。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咨询公司重大资产重组问询函回复情况。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咨询公司重大资产重组资产交割及交易对价支付情况。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r>
              <w:rPr>
                <w:rFonts w:ascii="宋体" w:hAnsi="宋体" w:cs="宋体" w:eastAsia="宋体" w:hint="default"/>
                <w:spacing w:val="-57"/>
                <w:sz w:val="18"/>
                <w:szCs w:val="18"/>
              </w:rPr>
              <w:t> </w:t>
            </w: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咨询公司大股东减持及员工持股计划进展情况。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咨询公司百城千店运维情况。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咨询公司控股股东减持进展情况。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咨询公司减持凯莱英股份相关情况。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咨询公司减持凯莱英股份相关情况。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r>
              <w:rPr>
                <w:rFonts w:ascii="宋体" w:hAnsi="宋体" w:cs="宋体" w:eastAsia="宋体" w:hint="default"/>
                <w:spacing w:val="-57"/>
                <w:sz w:val="18"/>
                <w:szCs w:val="18"/>
              </w:rPr>
              <w:t> </w:t>
            </w: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月末股东人数。</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咨询公司投资并购基金进展情况。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咨询公司股东股权质押情况。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咨询公司重大资产出售进展情况。</w:t>
            </w:r>
          </w:p>
        </w:tc>
      </w:tr>
      <w:tr>
        <w:trPr>
          <w:trHeight w:val="24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咨询公司投资产业并购基金进展情况。</w:t>
            </w:r>
          </w:p>
        </w:tc>
      </w:tr>
      <w:tr>
        <w:trPr>
          <w:trHeight w:val="24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咨询公司减持凯莱英股份相关情况。</w:t>
            </w:r>
          </w:p>
        </w:tc>
      </w:tr>
      <w:tr>
        <w:trPr>
          <w:trHeight w:val="244" w:hRule="exact"/>
        </w:trPr>
        <w:tc>
          <w:tcPr>
            <w:tcW w:w="2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18"/>
                <w:szCs w:val="18"/>
              </w:rPr>
            </w:pPr>
            <w:r>
              <w:rPr>
                <w:rFonts w:ascii="Times New Roman"/>
                <w:sz w:val="18"/>
              </w:rPr>
              <w:t>92</w:t>
            </w:r>
          </w:p>
        </w:tc>
      </w:tr>
      <w:tr>
        <w:trPr>
          <w:trHeight w:val="243" w:hRule="exact"/>
        </w:trPr>
        <w:tc>
          <w:tcPr>
            <w:tcW w:w="2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pacing w:val="-2"/>
                <w:sz w:val="18"/>
              </w:rPr>
              <w:t>112</w:t>
            </w:r>
          </w:p>
        </w:tc>
      </w:tr>
      <w:tr>
        <w:trPr>
          <w:trHeight w:val="243" w:hRule="exact"/>
        </w:trPr>
        <w:tc>
          <w:tcPr>
            <w:tcW w:w="2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18"/>
                <w:szCs w:val="18"/>
              </w:rPr>
            </w:pPr>
            <w:r>
              <w:rPr>
                <w:rFonts w:ascii="Times New Roman"/>
                <w:sz w:val="18"/>
              </w:rPr>
              <w:t>88</w:t>
            </w:r>
          </w:p>
        </w:tc>
      </w:tr>
      <w:tr>
        <w:trPr>
          <w:trHeight w:val="244" w:hRule="exact"/>
        </w:trPr>
        <w:tc>
          <w:tcPr>
            <w:tcW w:w="2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z w:val="18"/>
              </w:rPr>
              <w:t>0</w:t>
            </w:r>
          </w:p>
        </w:tc>
      </w:tr>
      <w:tr>
        <w:trPr>
          <w:trHeight w:val="477" w:hRule="exact"/>
        </w:trPr>
        <w:tc>
          <w:tcPr>
            <w:tcW w:w="2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是否披露、透露或泄露未公开重大信</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6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0"/>
        <w:ind w:right="2382"/>
        <w:jc w:val="center"/>
        <w:rPr>
          <w:b w:val="0"/>
          <w:bCs w:val="0"/>
        </w:rPr>
      </w:pPr>
      <w:bookmarkStart w:name="_bookmark4" w:id="6"/>
      <w:bookmarkEnd w:id="6"/>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4"/>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241" w:lineRule="exact" w:before="24"/>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年度，公司不派发现金股利、不送红股、不以资本公积转增股本。</w:t>
      </w:r>
    </w:p>
    <w:p>
      <w:pPr>
        <w:pStyle w:val="BodyText"/>
        <w:spacing w:line="234" w:lineRule="exact"/>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年度，公司不派发现金股利、不送红股、不以资本公积转增股本。</w:t>
      </w:r>
    </w:p>
    <w:p>
      <w:pPr>
        <w:pStyle w:val="BodyText"/>
        <w:spacing w:line="242" w:lineRule="exact"/>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年度，公司不派发现金股利、不送红股、不以资本公积转增股本。</w:t>
      </w:r>
    </w:p>
    <w:p>
      <w:pPr>
        <w:spacing w:line="240" w:lineRule="auto" w:before="3"/>
        <w:rPr>
          <w:rFonts w:ascii="宋体" w:hAnsi="宋体" w:cs="宋体" w:eastAsia="宋体" w:hint="default"/>
          <w:sz w:val="14"/>
          <w:szCs w:val="14"/>
        </w:rPr>
      </w:pPr>
    </w:p>
    <w:p>
      <w:pPr>
        <w:pStyle w:val="BodyText"/>
        <w:spacing w:line="240" w:lineRule="auto" w:before="44"/>
        <w:ind w:right="0"/>
        <w:jc w:val="left"/>
      </w:pPr>
      <w:r>
        <w:rPr/>
        <w:t>公司近三年（包括本报告期）普通股现金分红情况表</w:t>
      </w:r>
    </w:p>
    <w:p>
      <w:pPr>
        <w:pStyle w:val="BodyText"/>
        <w:spacing w:line="240" w:lineRule="auto" w:before="38"/>
        <w:ind w:left="0" w:right="112"/>
        <w:jc w:val="right"/>
      </w:pPr>
      <w:r>
        <w:rPr/>
        <w:t>单位：元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18"/>
        <w:gridCol w:w="1276"/>
        <w:gridCol w:w="1842"/>
        <w:gridCol w:w="1843"/>
        <w:gridCol w:w="1559"/>
        <w:gridCol w:w="1701"/>
      </w:tblGrid>
      <w:tr>
        <w:trPr>
          <w:trHeight w:val="79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8"/>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5" w:right="10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6" w:right="10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14" w:right="53"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575" w:right="33"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的比例</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64,215,586.67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45,818,308.29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-159,115,937.42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11"/>
        <w:ind w:right="0"/>
        <w:jc w:val="left"/>
      </w:pPr>
      <w:r>
        <w:rPr/>
        <w:t>公司报告期内盈利且母公司可供普通股股东分配利润为正但未提出普通股现金红利分配预案</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3"/>
          <w:szCs w:val="23"/>
        </w:rPr>
      </w:pPr>
    </w:p>
    <w:p>
      <w:pPr>
        <w:pStyle w:val="BodyText"/>
        <w:spacing w:line="261" w:lineRule="auto"/>
        <w:ind w:right="4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公司计划年度不派发现金红利，不送红股，不以公积金转增股本。</w:t>
      </w:r>
    </w:p>
    <w:p>
      <w:pPr>
        <w:spacing w:after="0" w:line="261" w:lineRule="auto"/>
        <w:jc w:val="left"/>
        <w:sectPr>
          <w:pgSz w:w="11910" w:h="16840"/>
          <w:pgMar w:header="0" w:footer="978" w:top="1060" w:bottom="1160" w:left="1020" w:right="1020"/>
        </w:sectPr>
      </w:pPr>
    </w:p>
    <w:p>
      <w:pPr>
        <w:spacing w:line="240" w:lineRule="auto" w:before="10"/>
        <w:rPr>
          <w:rFonts w:ascii="宋体" w:hAnsi="宋体" w:cs="宋体" w:eastAsia="宋体" w:hint="default"/>
          <w:sz w:val="2"/>
          <w:szCs w:val="2"/>
        </w:rPr>
      </w:pPr>
    </w:p>
    <w:p>
      <w:pPr>
        <w:spacing w:line="20" w:lineRule="exact"/>
        <w:ind w:left="4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440" w:right="0"/>
        <w:jc w:val="left"/>
        <w:rPr>
          <w:b w:val="0"/>
          <w:bCs w:val="0"/>
        </w:rPr>
      </w:pPr>
      <w:r>
        <w:rPr/>
        <w:t>三、承诺事项履行情况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4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4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44"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5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6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50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72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24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收购报告书或</w:t>
            </w: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724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31" w:type="dxa"/>
            <w:vMerge w:val="restart"/>
            <w:tcBorders>
              <w:top w:val="single" w:sz="4" w:space="0" w:color="000000"/>
              <w:left w:val="single" w:sz="4" w:space="0" w:color="000000"/>
              <w:right w:val="single" w:sz="4" w:space="0" w:color="000000"/>
            </w:tcBorders>
          </w:tcPr>
          <w:p>
            <w:pPr/>
          </w:p>
        </w:tc>
      </w:tr>
      <w:tr>
        <w:trPr>
          <w:trHeight w:val="233"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权益变动报告</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vMerge/>
            <w:tcBorders>
              <w:left w:val="single" w:sz="4" w:space="0" w:color="000000"/>
              <w:right w:val="single" w:sz="4" w:space="0" w:color="000000"/>
            </w:tcBorders>
          </w:tcPr>
          <w:p>
            <w:pPr/>
          </w:p>
        </w:tc>
        <w:tc>
          <w:tcPr>
            <w:tcW w:w="724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240" w:hRule="exact"/>
        </w:trPr>
        <w:tc>
          <w:tcPr>
            <w:tcW w:w="12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724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r>
      <w:tr>
        <w:trPr>
          <w:trHeight w:val="418" w:hRule="exact"/>
        </w:trPr>
        <w:tc>
          <w:tcPr>
            <w:tcW w:w="12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一、避免同业竞争的承诺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、为避免承诺人及承诺人控股或实际控制的其他公司或者其他企</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业或经济组织（不包括上市公司控制的企业，以下统称“承诺人的关联企业</w:t>
            </w:r>
            <w:r>
              <w:rPr>
                <w:rFonts w:ascii="宋体" w:hAnsi="宋体" w:cs="宋体" w:eastAsia="宋体" w:hint="default"/>
                <w:spacing w:val="-92"/>
                <w:sz w:val="18"/>
                <w:szCs w:val="18"/>
              </w:rPr>
              <w:t>”</w:t>
            </w:r>
            <w:r>
              <w:rPr>
                <w:rFonts w:ascii="宋体" w:hAnsi="宋体" w:cs="宋体" w:eastAsia="宋体" w:hint="default"/>
                <w:sz w:val="18"/>
                <w:szCs w:val="18"/>
              </w:rPr>
              <w:t>）与上市公司</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发生潜在的同业竞争，承诺人及承诺人的关联企业不会以任何方式直接或间接从事与上市公</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司及其下属企业相同、相似的业务，包括但不限于不在中国境内外通过投资、并购、联营、</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兼并、合作、受托经营或以其他方式从事与上市公司及其下属企业相同、相似或构成实质竞</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争的业务。</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、如承诺人及承诺人的关联企业获得的任何商业机会与上市公司主营业务有竞</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争或可能发生竞争的，则承诺人及承诺人的关联企业将立即通知上市公司，并将该商业机会</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优先转给上市公司。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、承诺人保证将不直接或间接从事、参与或投资与上市公司的生产、</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经营相竞争的任何经营活动。</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、本承诺将不利用对上市公司及其下属企业的了解和知悉的</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信息协助任何第三方从事、参与或投资与上市公司相竞争的业务或项目。</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、如果承诺人违</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反上述承诺，则因此而取得的相关收益将全部归上市公司所有，如因此给上市公司及其他股</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93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4" w:right="128"/>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百达永信（北京）</w:t>
            </w:r>
          </w:p>
          <w:p>
            <w:pPr>
              <w:pStyle w:val="TableParagraph"/>
              <w:spacing w:line="237" w:lineRule="auto"/>
              <w:ind w:left="23" w:right="84"/>
              <w:jc w:val="both"/>
              <w:rPr>
                <w:rFonts w:ascii="宋体" w:hAnsi="宋体" w:cs="宋体" w:eastAsia="宋体" w:hint="default"/>
                <w:sz w:val="18"/>
                <w:szCs w:val="18"/>
              </w:rPr>
            </w:pPr>
            <w:r>
              <w:rPr>
                <w:rFonts w:ascii="宋体" w:hAnsi="宋体" w:cs="宋体" w:eastAsia="宋体" w:hint="default"/>
                <w:sz w:val="18"/>
                <w:szCs w:val="18"/>
              </w:rPr>
              <w:t>投资有限公司；彭 聪；新疆泰达新源 股权投资有限公司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关于同业竞</w:t>
            </w:r>
          </w:p>
          <w:p>
            <w:pPr>
              <w:pStyle w:val="TableParagraph"/>
              <w:spacing w:line="237" w:lineRule="auto"/>
              <w:ind w:left="21" w:right="22"/>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东造成损失的，则承诺人将及时、足额赔偿上市公司及其他股东因此遭受的全部损失。</w:t>
            </w:r>
            <w:r>
              <w:rPr>
                <w:rFonts w:ascii="宋体" w:hAnsi="宋体" w:cs="宋体" w:eastAsia="宋体" w:hint="default"/>
                <w:spacing w:val="-2"/>
                <w:sz w:val="18"/>
                <w:szCs w:val="18"/>
              </w:rPr>
              <w:t> </w:t>
            </w:r>
            <w:r>
              <w:rPr>
                <w:rFonts w:ascii="宋体" w:hAnsi="宋体" w:cs="宋体" w:eastAsia="宋体" w:hint="default"/>
                <w:sz w:val="18"/>
                <w:szCs w:val="18"/>
              </w:rPr>
              <w:t>上</w:t>
            </w:r>
          </w:p>
          <w:p>
            <w:pPr>
              <w:pStyle w:val="TableParagraph"/>
              <w:spacing w:line="232"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述承诺在承诺人与上市公司存在关联关系期间内持续有效且不可变更或撤销。</w:t>
            </w:r>
            <w:r>
              <w:rPr>
                <w:rFonts w:ascii="宋体" w:hAnsi="宋体" w:cs="宋体" w:eastAsia="宋体" w:hint="default"/>
                <w:spacing w:val="-2"/>
                <w:sz w:val="18"/>
                <w:szCs w:val="18"/>
              </w:rPr>
              <w:t> </w:t>
            </w:r>
            <w:r>
              <w:rPr>
                <w:rFonts w:ascii="宋体" w:hAnsi="宋体" w:cs="宋体" w:eastAsia="宋体" w:hint="default"/>
                <w:sz w:val="18"/>
                <w:szCs w:val="18"/>
              </w:rPr>
              <w:t>二、减少和</w:t>
            </w:r>
            <w:r>
              <w:rPr>
                <w:rFonts w:ascii="宋体" w:hAnsi="宋体" w:cs="宋体" w:eastAsia="宋体" w:hint="default"/>
                <w:sz w:val="18"/>
                <w:szCs w:val="18"/>
              </w:rPr>
              <w:t> 规范关联交易的承诺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、承诺人将充分尊重上市公司的独立法人地位，保障上市公司独立经 营、自主决策；</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、承诺人保证承诺人及承诺人控股或实际控制的其他公司或者其他企业或</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2" w:right="77"/>
              <w:jc w:val="both"/>
              <w:rPr>
                <w:rFonts w:ascii="宋体" w:hAnsi="宋体" w:cs="宋体" w:eastAsia="宋体" w:hint="default"/>
                <w:sz w:val="18"/>
                <w:szCs w:val="18"/>
              </w:rPr>
            </w:pPr>
            <w:r>
              <w:rPr>
                <w:rFonts w:ascii="宋体" w:hAnsi="宋体" w:cs="宋体" w:eastAsia="宋体" w:hint="default"/>
                <w:sz w:val="18"/>
                <w:szCs w:val="18"/>
              </w:rPr>
              <w:t>截止目前，该承诺正 在履行期内，不存在 违背该承诺的情形。</w:t>
            </w: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经济组</w:t>
            </w:r>
            <w:r>
              <w:rPr>
                <w:rFonts w:ascii="宋体" w:hAnsi="宋体" w:cs="宋体" w:eastAsia="宋体" w:hint="default"/>
                <w:spacing w:val="-3"/>
                <w:sz w:val="18"/>
                <w:szCs w:val="18"/>
              </w:rPr>
              <w:t>织（</w:t>
            </w:r>
            <w:r>
              <w:rPr>
                <w:rFonts w:ascii="宋体" w:hAnsi="宋体" w:cs="宋体" w:eastAsia="宋体" w:hint="default"/>
                <w:sz w:val="18"/>
                <w:szCs w:val="18"/>
              </w:rPr>
              <w:t>不包括上市公司控制的企业，以下统</w:t>
            </w:r>
            <w:r>
              <w:rPr>
                <w:rFonts w:ascii="宋体" w:hAnsi="宋体" w:cs="宋体" w:eastAsia="宋体" w:hint="default"/>
                <w:spacing w:val="-3"/>
                <w:sz w:val="18"/>
                <w:szCs w:val="18"/>
              </w:rPr>
              <w:t>称“</w:t>
            </w:r>
            <w:r>
              <w:rPr>
                <w:rFonts w:ascii="宋体" w:hAnsi="宋体" w:cs="宋体" w:eastAsia="宋体" w:hint="default"/>
                <w:sz w:val="18"/>
                <w:szCs w:val="18"/>
              </w:rPr>
              <w:t>承诺人的关联企业</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今后原则上不与</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上市公司发生关联交易；</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、如果上市公司在今后的经营活动中必须与承诺人或承诺人的关</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联企业发生不可避免的关联交易，承诺人将促使此等交易严格按照国家有关法律法规、上市</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公司章程和中国证监会的有关规定履行有关程序，与上市公司依法签订协议，及时依法进行</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信息披露和办理相关报批手续；保证按照市场化原则、公允价格进行公平操作，且本公司及</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本公司的关联企业将不会要求或接受上市公司给予比在任何一项市场公平交易中第三者更</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优惠的条件，保证不通过关联交易损害上市公司及其他股东的合法权益；</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、承诺人承诺将</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不会利用上市公司的股东地位，损害上市公司及其他股东的合法权益；</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、本公司将杜绝一</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切非法占有上市公司的资金、资产的行为，在任何情况下，不要求上市公司及其下属企业向</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本公司以及本公司的关联企业提供任何形式的担保和资金支持；</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、如违反上述承诺给上市</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410" w:hRule="exact"/>
        </w:trPr>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公司造成损失，本公司将向上市公司作出充分的赔偿或补偿。</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8" w:footer="978" w:top="1060" w:bottom="1160" w:left="1000" w:right="1000"/>
          <w:pgNumType w:start="29"/>
        </w:sectPr>
      </w:pPr>
    </w:p>
    <w:p>
      <w:pPr>
        <w:spacing w:line="240" w:lineRule="auto" w:before="1"/>
        <w:rPr>
          <w:rFonts w:ascii="Times New Roman" w:hAnsi="Times New Roman" w:cs="Times New Roman" w:eastAsia="Times New Roman" w:hint="default"/>
          <w:sz w:val="3"/>
          <w:szCs w:val="3"/>
        </w:rPr>
      </w:pPr>
      <w:r>
        <w:rPr/>
        <w:pict>
          <v:shape style="position:absolute;margin-left:608.400024pt;margin-top:57.099987pt;width:48.35pt;height:304.350pt;mso-position-horizontal-relative:page;mso-position-vertical-relative:page;z-index:-1013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614.450012pt;margin-top:57.099987pt;width:42.3pt;height:304.5pt;mso-position-horizontal-relative:page;mso-position-vertical-relative:page;z-index:-1013584" coordorigin="12289,1142" coordsize="846,6090">
            <v:shape style="position:absolute;left:12289;top:1142;width:846;height:6090" coordorigin="12289,1142" coordsize="846,6090" path="m12289,1142l13135,1142,13135,7232,12289,7232,12289,1142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382"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tcBorders>
              <w:top w:val="single" w:sz="16" w:space="0" w:color="000000"/>
              <w:left w:val="single" w:sz="4" w:space="0" w:color="000000"/>
              <w:bottom w:val="nil" w:sz="6" w:space="0" w:color="auto"/>
              <w:right w:val="single" w:sz="4" w:space="0" w:color="000000"/>
            </w:tcBorders>
          </w:tcPr>
          <w:p>
            <w:pPr/>
          </w:p>
        </w:tc>
        <w:tc>
          <w:tcPr>
            <w:tcW w:w="1126" w:type="dxa"/>
            <w:tcBorders>
              <w:top w:val="single" w:sz="16" w:space="0" w:color="000000"/>
              <w:left w:val="single" w:sz="4" w:space="0" w:color="000000"/>
              <w:bottom w:val="nil" w:sz="6" w:space="0" w:color="auto"/>
              <w:right w:val="single" w:sz="4" w:space="0" w:color="000000"/>
            </w:tcBorders>
          </w:tcPr>
          <w:p>
            <w:pPr/>
          </w:p>
        </w:tc>
        <w:tc>
          <w:tcPr>
            <w:tcW w:w="7246"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96"/>
              <w:ind w:left="23" w:right="0"/>
              <w:jc w:val="left"/>
              <w:rPr>
                <w:rFonts w:ascii="宋体" w:hAnsi="宋体" w:cs="宋体" w:eastAsia="宋体" w:hint="default"/>
                <w:sz w:val="18"/>
                <w:szCs w:val="18"/>
              </w:rPr>
            </w:pPr>
            <w:r>
              <w:rPr>
                <w:rFonts w:ascii="宋体" w:hAnsi="宋体" w:cs="宋体" w:eastAsia="宋体" w:hint="default"/>
                <w:sz w:val="18"/>
                <w:szCs w:val="18"/>
              </w:rPr>
              <w:t>保持上市公司独立性的承诺</w:t>
            </w:r>
            <w:r>
              <w:rPr>
                <w:rFonts w:ascii="宋体" w:hAnsi="宋体" w:cs="宋体" w:eastAsia="宋体" w:hint="default"/>
                <w:spacing w:val="-92"/>
                <w:sz w:val="18"/>
                <w:szCs w:val="18"/>
              </w:rPr>
              <w:t>：</w:t>
            </w:r>
            <w:r>
              <w:rPr>
                <w:rFonts w:ascii="宋体" w:hAnsi="宋体" w:cs="宋体" w:eastAsia="宋体" w:hint="default"/>
                <w:sz w:val="18"/>
                <w:szCs w:val="18"/>
              </w:rPr>
              <w:t>（一）人员独立</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、保证上市公司的生产经营与行政管理（包</w:t>
            </w:r>
          </w:p>
        </w:tc>
        <w:tc>
          <w:tcPr>
            <w:tcW w:w="851" w:type="dxa"/>
            <w:tcBorders>
              <w:top w:val="single" w:sz="16" w:space="0" w:color="000000"/>
              <w:left w:val="single" w:sz="4" w:space="0" w:color="000000"/>
              <w:bottom w:val="nil" w:sz="6" w:space="0" w:color="auto"/>
              <w:right w:val="single" w:sz="4" w:space="0" w:color="000000"/>
            </w:tcBorders>
          </w:tcPr>
          <w:p>
            <w:pPr/>
          </w:p>
        </w:tc>
        <w:tc>
          <w:tcPr>
            <w:tcW w:w="859" w:type="dxa"/>
            <w:tcBorders>
              <w:top w:val="single" w:sz="16" w:space="0" w:color="000000"/>
              <w:left w:val="single" w:sz="4" w:space="0" w:color="000000"/>
              <w:bottom w:val="nil" w:sz="6" w:space="0" w:color="auto"/>
              <w:right w:val="single" w:sz="4" w:space="0" w:color="000000"/>
            </w:tcBorders>
          </w:tcPr>
          <w:p>
            <w:pPr/>
          </w:p>
        </w:tc>
        <w:tc>
          <w:tcPr>
            <w:tcW w:w="1731" w:type="dxa"/>
            <w:tcBorders>
              <w:top w:val="single" w:sz="16" w:space="0" w:color="000000"/>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括劳动、人事及工资管理等）完全独立于本公司及本公司的关联方。</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、保证上市公司的总</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经理、副总经理、财务负责人、董事会秘书等高级管理人员的独立性，不在本公司控制的其</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他企业中担任除董事、监事以外的职务，不在本公司控制的其他企业领取薪酬；保证上市公</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司的财务人员不在本公司控制的其他企业中兼职。</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、保证本公司及关联方提名出任上市公</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司董事、监事和高级管理人员的人选都通过合法的程序进行，本公司及关联方不干预上市公</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司董事会和股东大会已经作出的人事任免决定。 （二）资产独立</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、保证上市公司具有独</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立完整的资产、其资产全部能处于上市公司的控制之下，并为上市公司独立拥有和运营。</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确保上市公司与本公司及其关联方之间产权关系明确，上市公司对所属资产拥有完整的所有</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权，确保上市公司资产的独立完整。</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、本公司及其关联方本次交易前没有、交易完成后也</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116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7" w:lineRule="auto" w:before="87"/>
              <w:ind w:left="23" w:right="84"/>
              <w:jc w:val="both"/>
              <w:rPr>
                <w:rFonts w:ascii="宋体" w:hAnsi="宋体" w:cs="宋体" w:eastAsia="宋体" w:hint="default"/>
                <w:sz w:val="18"/>
                <w:szCs w:val="18"/>
              </w:rPr>
            </w:pPr>
            <w:r>
              <w:rPr>
                <w:rFonts w:ascii="宋体" w:hAnsi="宋体" w:cs="宋体" w:eastAsia="宋体" w:hint="default"/>
                <w:sz w:val="18"/>
                <w:szCs w:val="18"/>
              </w:rPr>
              <w:t>百达永信（北京） 投资有限公司；彭 聪；新疆泰达新源 股权投资有限公司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both"/>
              <w:rPr>
                <w:rFonts w:ascii="宋体" w:hAnsi="宋体" w:cs="宋体" w:eastAsia="宋体" w:hint="default"/>
                <w:sz w:val="18"/>
                <w:szCs w:val="18"/>
              </w:rPr>
            </w:pPr>
            <w:r>
              <w:rPr>
                <w:rFonts w:ascii="宋体" w:hAnsi="宋体" w:cs="宋体" w:eastAsia="宋体" w:hint="default"/>
                <w:sz w:val="18"/>
                <w:szCs w:val="18"/>
              </w:rPr>
              <w:t>不以任何方式违规占用上市公司的资金、资产。 （三）财务独立</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w:t>
            </w:r>
          </w:p>
          <w:p>
            <w:pPr>
              <w:pStyle w:val="TableParagraph"/>
              <w:spacing w:line="225" w:lineRule="auto" w:before="4"/>
              <w:ind w:left="23" w:right="22"/>
              <w:jc w:val="both"/>
              <w:rPr>
                <w:rFonts w:ascii="宋体" w:hAnsi="宋体" w:cs="宋体" w:eastAsia="宋体" w:hint="default"/>
                <w:sz w:val="18"/>
                <w:szCs w:val="18"/>
              </w:rPr>
            </w:pPr>
            <w:r>
              <w:rPr>
                <w:rFonts w:ascii="宋体" w:hAnsi="宋体" w:cs="宋体" w:eastAsia="宋体" w:hint="default"/>
                <w:sz w:val="18"/>
                <w:szCs w:val="18"/>
              </w:rPr>
              <w:t>立的财务部门和独立的财务核算体系。</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、保证上市公司具有规范、独立的财务会计制度和 对分公司、子公司的财务管理制度。</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、保证上市公司独立在银行开户，不与本公司及其关 联方共用一个银行账户。</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、保证上市公司能够作出独立的财务决策，不干预上市公司的资 金使用。</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、保证上市公司的财务人员独立，不在本公司（本公司控制企业）及其关联方处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2" w:lineRule="exact"/>
              <w:ind w:left="22" w:right="77"/>
              <w:jc w:val="both"/>
              <w:rPr>
                <w:rFonts w:ascii="宋体" w:hAnsi="宋体" w:cs="宋体" w:eastAsia="宋体" w:hint="default"/>
                <w:sz w:val="18"/>
                <w:szCs w:val="18"/>
              </w:rPr>
            </w:pPr>
            <w:r>
              <w:rPr>
                <w:rFonts w:ascii="宋体" w:hAnsi="宋体" w:cs="宋体" w:eastAsia="宋体" w:hint="default"/>
                <w:sz w:val="18"/>
                <w:szCs w:val="18"/>
              </w:rPr>
              <w:t>截止目前，该承诺正 在履行期内，不存在 违背该承诺的情形。</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兼职和领取报酬。 </w:t>
            </w:r>
            <w:r>
              <w:rPr>
                <w:rFonts w:ascii="Times New Roman" w:hAnsi="Times New Roman" w:cs="Times New Roman" w:eastAsia="Times New Roman" w:hint="default"/>
                <w:sz w:val="18"/>
                <w:szCs w:val="18"/>
              </w:rPr>
              <w:t>6</w:t>
            </w:r>
            <w:r>
              <w:rPr>
                <w:rFonts w:ascii="宋体" w:hAnsi="宋体" w:cs="宋体" w:eastAsia="宋体" w:hint="default"/>
                <w:sz w:val="18"/>
                <w:szCs w:val="18"/>
              </w:rPr>
              <w:t>、保证上市公司依法独立纳税。 （四）机构独立</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有健全的股份公司法人治理结构，拥有独立、完整的组织机构，独立行使经营管理职权，与</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本公司控制的其他企业间不存在机构混同的情形。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、保证上市公司的股东大会、董事会、</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独立董事、监事会、总经理等依照法律、法规和公司章程独立行使职权。 </w:t>
            </w:r>
            <w:r>
              <w:rPr>
                <w:rFonts w:ascii="宋体" w:hAnsi="宋体" w:cs="宋体" w:eastAsia="宋体" w:hint="default"/>
                <w:spacing w:val="-5"/>
                <w:sz w:val="18"/>
                <w:szCs w:val="18"/>
              </w:rPr>
              <w:t>（五）业务独立</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保证上市公司拥有独立开展经营活动的资产、人员、资质和能力，具有面向市场独立自主持</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续经营的能力。 </w:t>
            </w:r>
            <w:r>
              <w:rPr>
                <w:rFonts w:ascii="Times New Roman" w:hAnsi="Times New Roman" w:cs="Times New Roman" w:eastAsia="Times New Roman" w:hint="default"/>
                <w:sz w:val="18"/>
                <w:szCs w:val="18"/>
              </w:rPr>
              <w:t>2</w:t>
            </w:r>
            <w:r>
              <w:rPr>
                <w:rFonts w:ascii="宋体" w:hAnsi="宋体" w:cs="宋体" w:eastAsia="宋体" w:hint="default"/>
                <w:sz w:val="18"/>
                <w:szCs w:val="18"/>
              </w:rPr>
              <w:t>、除通过行使股东权利之外，不对上市公司的业务活动进行干预。</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证本公司及本公司控制的其他企业避免从事与上市公司具有实质性竞争的业务。</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、保证尽</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量减少本公司及本公司控制的其他企业与上市公司的关联交易；在进行确有必要且无法避免</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的关联交易时，保证按市场化原则和公允价格进行公平操作，并按相关法律法规以及规范性</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36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文件的规定履行交易程序及信息披露义务。</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、本人取得本次发行股份自发行结束并上市之日起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个月内不转让。前述锁定期届满后，</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9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连良桂；智尚田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2" w:lineRule="exact"/>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股份解锁事宜按照中国证券监督管理委员会、深圳证券交易所的有关规定执行。</w:t>
            </w:r>
            <w:r>
              <w:rPr>
                <w:rFonts w:ascii="Times New Roman" w:hAnsi="Times New Roman" w:cs="Times New Roman" w:eastAsia="Times New Roman" w:hint="default"/>
                <w:sz w:val="18"/>
                <w:szCs w:val="18"/>
              </w:rPr>
              <w:t>2</w:t>
            </w:r>
            <w:r>
              <w:rPr>
                <w:rFonts w:ascii="宋体" w:hAnsi="宋体" w:cs="宋体" w:eastAsia="宋体" w:hint="default"/>
                <w:sz w:val="18"/>
                <w:szCs w:val="18"/>
              </w:rPr>
              <w:t>、本次股</w:t>
            </w:r>
          </w:p>
          <w:p>
            <w:pPr>
              <w:pStyle w:val="TableParagraph"/>
              <w:spacing w:line="232" w:lineRule="exact" w:before="16"/>
              <w:ind w:left="23" w:right="22"/>
              <w:jc w:val="left"/>
              <w:rPr>
                <w:rFonts w:ascii="宋体" w:hAnsi="宋体" w:cs="宋体" w:eastAsia="宋体" w:hint="default"/>
                <w:sz w:val="18"/>
                <w:szCs w:val="18"/>
              </w:rPr>
            </w:pPr>
            <w:r>
              <w:rPr>
                <w:rFonts w:ascii="宋体" w:hAnsi="宋体" w:cs="宋体" w:eastAsia="宋体" w:hint="default"/>
                <w:spacing w:val="-1"/>
                <w:sz w:val="18"/>
                <w:szCs w:val="18"/>
              </w:rPr>
              <w:t>份发行结束后，本人持有的基于本次交易认购的上市公司股份由于上市公司送红股、转增股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本等原因而增加的，增加的股份亦应遵守上述锁定期限安排。</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、本人同意若前述认购股份 </w:t>
            </w:r>
            <w:r>
              <w:rPr>
                <w:rFonts w:ascii="宋体" w:hAnsi="宋体" w:cs="宋体" w:eastAsia="宋体" w:hint="default"/>
                <w:spacing w:val="-1"/>
                <w:sz w:val="18"/>
                <w:szCs w:val="18"/>
              </w:rPr>
              <w:t>的锁定期的规定与证券监管机构的最新监管规定不相符的，本人将根据相关监管规定对锁定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before="107"/>
              <w:ind w:left="22" w:right="77"/>
              <w:jc w:val="both"/>
              <w:rPr>
                <w:rFonts w:ascii="宋体" w:hAnsi="宋体" w:cs="宋体" w:eastAsia="宋体" w:hint="default"/>
                <w:sz w:val="18"/>
                <w:szCs w:val="18"/>
              </w:rPr>
            </w:pPr>
            <w:r>
              <w:rPr>
                <w:rFonts w:ascii="宋体" w:hAnsi="宋体" w:cs="宋体" w:eastAsia="宋体" w:hint="default"/>
                <w:sz w:val="18"/>
                <w:szCs w:val="18"/>
              </w:rPr>
              <w:t>截止目前，该承诺正 在履行期内，不存在 违背该承诺的情形。</w:t>
            </w: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期进行相应调整。</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百达永信（北京）</w:t>
            </w:r>
          </w:p>
          <w:p>
            <w:pPr>
              <w:pStyle w:val="TableParagraph"/>
              <w:spacing w:line="232" w:lineRule="exact" w:before="23"/>
              <w:ind w:left="23" w:right="84"/>
              <w:jc w:val="left"/>
              <w:rPr>
                <w:rFonts w:ascii="宋体" w:hAnsi="宋体" w:cs="宋体" w:eastAsia="宋体" w:hint="default"/>
                <w:sz w:val="18"/>
                <w:szCs w:val="18"/>
              </w:rPr>
            </w:pPr>
            <w:r>
              <w:rPr>
                <w:rFonts w:ascii="宋体" w:hAnsi="宋体" w:cs="宋体" w:eastAsia="宋体" w:hint="default"/>
                <w:sz w:val="18"/>
                <w:szCs w:val="18"/>
              </w:rPr>
              <w:t>投资有限公司；彭 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自新增股份发行上市之日起十二个月内不以任何形式转让；自新增股份发行上市之日起十二</w:t>
            </w:r>
          </w:p>
          <w:p>
            <w:pPr>
              <w:pStyle w:val="TableParagraph"/>
              <w:spacing w:line="232" w:lineRule="exact" w:before="23"/>
              <w:ind w:left="23" w:right="22"/>
              <w:jc w:val="left"/>
              <w:rPr>
                <w:rFonts w:ascii="宋体" w:hAnsi="宋体" w:cs="宋体" w:eastAsia="宋体" w:hint="default"/>
                <w:sz w:val="18"/>
                <w:szCs w:val="18"/>
              </w:rPr>
            </w:pPr>
            <w:r>
              <w:rPr>
                <w:rFonts w:ascii="宋体" w:hAnsi="宋体" w:cs="宋体" w:eastAsia="宋体" w:hint="default"/>
                <w:sz w:val="18"/>
                <w:szCs w:val="18"/>
              </w:rPr>
              <w:t>个月后，解锁全部取得股份的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；自新增股份发行上市之日起二十四个月后，解锁全部取 得股份的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；自新增股份发行上市之日起三十六个月后，解锁全部剩余股份。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截止目前，该承诺正</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在履行期内，不存在 违背该承诺的情形。</w:t>
            </w:r>
          </w:p>
        </w:tc>
      </w:tr>
      <w:tr>
        <w:trPr>
          <w:trHeight w:val="710"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23" w:right="84"/>
              <w:jc w:val="left"/>
              <w:rPr>
                <w:rFonts w:ascii="宋体" w:hAnsi="宋体" w:cs="宋体" w:eastAsia="宋体" w:hint="default"/>
                <w:sz w:val="18"/>
                <w:szCs w:val="18"/>
              </w:rPr>
            </w:pPr>
            <w:r>
              <w:rPr>
                <w:rFonts w:ascii="宋体" w:hAnsi="宋体" w:cs="宋体" w:eastAsia="宋体" w:hint="default"/>
                <w:sz w:val="18"/>
                <w:szCs w:val="18"/>
              </w:rPr>
              <w:t>新疆泰达新源股权 投资有限公司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自新增股份发行上市之日起锁定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截止目前，该承诺正</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在履行期内，不存在 违背该承诺的情形。</w:t>
            </w:r>
          </w:p>
        </w:tc>
      </w:tr>
      <w:tr>
        <w:trPr>
          <w:trHeight w:val="243"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百达永信（北京）</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业绩承诺及</w:t>
            </w: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本次重大资产重组实施完毕后，神州易桥在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年度预测实现</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tc>
        <w:tc>
          <w:tcPr>
            <w:tcW w:w="1731"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根据瑞华会计师事务</w:t>
            </w:r>
          </w:p>
        </w:tc>
      </w:tr>
      <w:tr>
        <w:trPr>
          <w:trHeight w:val="23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投资有限公司；彭</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1"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的合并报表范围扣除非经常性损益后归属于母公司所有者的净利润分别不低于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所（特殊普通合伙）</w:t>
            </w:r>
          </w:p>
        </w:tc>
      </w:tr>
    </w:tbl>
    <w:p>
      <w:pPr>
        <w:spacing w:after="0" w:line="201" w:lineRule="exact"/>
        <w:jc w:val="left"/>
        <w:rPr>
          <w:rFonts w:ascii="宋体" w:hAnsi="宋体" w:cs="宋体" w:eastAsia="宋体" w:hint="default"/>
          <w:sz w:val="18"/>
          <w:szCs w:val="18"/>
        </w:rPr>
        <w:sectPr>
          <w:footerReference w:type="default" r:id="rId20"/>
          <w:pgSz w:w="16840" w:h="11910" w:orient="landscape"/>
          <w:pgMar w:footer="978" w:header="868" w:top="1060" w:bottom="1160" w:left="1000" w:right="1000"/>
          <w:pgNumType w:start="30"/>
        </w:sectPr>
      </w:pPr>
    </w:p>
    <w:p>
      <w:pPr>
        <w:spacing w:line="240" w:lineRule="auto" w:before="1"/>
        <w:rPr>
          <w:rFonts w:ascii="Times New Roman" w:hAnsi="Times New Roman" w:cs="Times New Roman" w:eastAsia="Times New Roman" w:hint="default"/>
          <w:sz w:val="3"/>
          <w:szCs w:val="3"/>
        </w:rPr>
      </w:pPr>
      <w:r>
        <w:rPr/>
        <w:pict>
          <v:shape style="position:absolute;margin-left:608.400024pt;margin-top:255.999985pt;width:48.35pt;height:93.45pt;mso-position-horizontal-relative:page;mso-position-vertical-relative:page;z-index:-1013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w:t>
                  </w:r>
                </w:p>
              </w:txbxContent>
            </v:textbox>
            <w10:wrap type="none"/>
          </v:shape>
        </w:pict>
      </w:r>
      <w:r>
        <w:rPr/>
        <w:pict>
          <v:group style="position:absolute;margin-left:614.450012pt;margin-top:255.999985pt;width:42.3pt;height:93.6pt;mso-position-horizontal-relative:page;mso-position-vertical-relative:page;z-index:-1013536" coordorigin="12289,5120" coordsize="846,1872">
            <v:shape style="position:absolute;left:12289;top:5120;width:846;height:1872" coordorigin="12289,5120" coordsize="846,1872" path="m12289,5120l13135,5120,13135,6992,12289,6992,12289,5120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59"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tcBorders>
              <w:top w:val="single" w:sz="16" w:space="0" w:color="000000"/>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聪；新疆泰达新源</w:t>
            </w:r>
          </w:p>
        </w:tc>
        <w:tc>
          <w:tcPr>
            <w:tcW w:w="1126" w:type="dxa"/>
            <w:vMerge w:val="restart"/>
            <w:tcBorders>
              <w:top w:val="single" w:sz="16" w:space="0" w:color="000000"/>
              <w:left w:val="single" w:sz="4" w:space="0" w:color="000000"/>
              <w:right w:val="single" w:sz="4" w:space="0" w:color="000000"/>
            </w:tcBorders>
          </w:tcPr>
          <w:p>
            <w:pPr/>
          </w:p>
        </w:tc>
        <w:tc>
          <w:tcPr>
            <w:tcW w:w="7246" w:type="dxa"/>
            <w:tcBorders>
              <w:top w:val="single" w:sz="16"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9,400.00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10,700.00  </w:t>
            </w:r>
            <w:r>
              <w:rPr>
                <w:rFonts w:ascii="宋体" w:hAnsi="宋体" w:cs="宋体" w:eastAsia="宋体" w:hint="default"/>
                <w:sz w:val="18"/>
                <w:szCs w:val="18"/>
              </w:rPr>
              <w:t>万元。如本次发行股份购买资产交易未能在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年内实施</w:t>
            </w:r>
          </w:p>
        </w:tc>
        <w:tc>
          <w:tcPr>
            <w:tcW w:w="851" w:type="dxa"/>
            <w:vMerge w:val="restart"/>
            <w:tcBorders>
              <w:top w:val="single" w:sz="16" w:space="0" w:color="000000"/>
              <w:left w:val="single" w:sz="4" w:space="0" w:color="000000"/>
              <w:right w:val="single" w:sz="4" w:space="0" w:color="000000"/>
            </w:tcBorders>
          </w:tcPr>
          <w:p>
            <w:pPr/>
          </w:p>
        </w:tc>
        <w:tc>
          <w:tcPr>
            <w:tcW w:w="859" w:type="dxa"/>
            <w:vMerge w:val="restart"/>
            <w:tcBorders>
              <w:top w:val="single" w:sz="16" w:space="0" w:color="000000"/>
              <w:left w:val="single" w:sz="4" w:space="0" w:color="000000"/>
              <w:right w:val="single" w:sz="4" w:space="0" w:color="000000"/>
            </w:tcBorders>
          </w:tcPr>
          <w:p>
            <w:pPr/>
          </w:p>
        </w:tc>
        <w:tc>
          <w:tcPr>
            <w:tcW w:w="1731" w:type="dxa"/>
            <w:tcBorders>
              <w:top w:val="single" w:sz="16" w:space="0" w:color="000000"/>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股权投资有限公司</w:t>
            </w: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完毕，盈利补偿期间则相应往后顺延为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年。其中，</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年度承诺扣非净</w:t>
            </w: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出具的瑞华核字</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利润不低于 </w:t>
            </w:r>
            <w:r>
              <w:rPr>
                <w:rFonts w:ascii="Times New Roman" w:hAnsi="Times New Roman" w:cs="Times New Roman" w:eastAsia="Times New Roman" w:hint="default"/>
                <w:sz w:val="18"/>
                <w:szCs w:val="18"/>
              </w:rPr>
              <w:t>11,300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w:t>
            </w: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[2018]63050007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号核</w:t>
            </w: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查报告。本次重大资</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产重组标的公司神州</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易桥（北京）财税科</w:t>
            </w: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w:t>
            </w: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实现扣除非经常性损</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益后归属于母公司所</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有者的净利润为</w:t>
            </w: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11,969.37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万元，完成</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率为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127.33%</w:t>
            </w:r>
            <w:r>
              <w:rPr>
                <w:rFonts w:ascii="宋体" w:hAnsi="宋体" w:cs="宋体" w:eastAsia="宋体" w:hint="default"/>
                <w:sz w:val="18"/>
                <w:szCs w:val="18"/>
              </w:rPr>
              <w:t>，已完</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w:t>
            </w: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其他承诺正在履行，</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不存在违背该承诺的</w:t>
            </w: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情形。</w:t>
            </w:r>
          </w:p>
        </w:tc>
      </w:tr>
      <w:tr>
        <w:trPr>
          <w:trHeight w:val="240"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本次暂时补充流动资金的闲置募集资金将用于与主营业务相关的经营活动，不会通过直接或</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间接的安排用于新股配售、申购或者用于股票及其衍生品种、可转债券等交易，不存在变相</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神州易桥信息服务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1" w:right="192"/>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改变募集资金用途和损害公司及股东利益的情形。在本次使用闲置募集资金暂时补充流动资</w:t>
            </w:r>
          </w:p>
          <w:p>
            <w:pPr>
              <w:pStyle w:val="TableParagraph"/>
              <w:spacing w:line="237" w:lineRule="auto"/>
              <w:ind w:left="23" w:right="10"/>
              <w:jc w:val="both"/>
              <w:rPr>
                <w:rFonts w:ascii="宋体" w:hAnsi="宋体" w:cs="宋体" w:eastAsia="宋体" w:hint="default"/>
                <w:sz w:val="18"/>
                <w:szCs w:val="18"/>
              </w:rPr>
            </w:pPr>
            <w:r>
              <w:rPr>
                <w:rFonts w:ascii="宋体" w:hAnsi="宋体" w:cs="宋体" w:eastAsia="宋体" w:hint="default"/>
                <w:sz w:val="18"/>
                <w:szCs w:val="18"/>
              </w:rPr>
              <w:t>金前，公司在过去十二月内未进行高风险投资或者为他人提供财务资助，且在未来十二个月 内，使用闲置募集资金暂时补充流动资金期间不进行高风险投资或者为他人提供财务资助。 本次暂时补充流动资金的使用期限届满前，公司将及时把资金归还至募集资金专户，不影响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7" w:lineRule="auto" w:before="88"/>
              <w:ind w:left="22" w:right="77"/>
              <w:jc w:val="both"/>
              <w:rPr>
                <w:rFonts w:ascii="宋体" w:hAnsi="宋体" w:cs="宋体" w:eastAsia="宋体" w:hint="default"/>
                <w:sz w:val="18"/>
                <w:szCs w:val="18"/>
              </w:rPr>
            </w:pPr>
            <w:r>
              <w:rPr>
                <w:rFonts w:ascii="宋体" w:hAnsi="宋体" w:cs="宋体" w:eastAsia="宋体" w:hint="default"/>
                <w:sz w:val="18"/>
                <w:szCs w:val="18"/>
              </w:rPr>
              <w:t>截止目前，该承诺正 在履行期内，不存在 违背该承诺的情形。</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募集资金投资项目的正常进行。若募集资金投资项目因发展需要，公司将及时归还募集资金</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以确保项目进度。</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本次使用部分闲置募集资金暂时补充流动资金前十二个月内，公司无从事高风险投资的情</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资金已全部归还，该</w:t>
            </w: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神州易桥信息服务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募集资金使</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况，公司使用部分闲置募集资金暂时补充流动资金期间不进行高风险投资；不会通过直接或</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承诺已履行完毕，不</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用承诺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间接的安排用于新股配售、申购或者用于股票及其衍生品种、可转债券等交易或对控股子公</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存在违背该承诺的情</w:t>
            </w:r>
          </w:p>
        </w:tc>
      </w:tr>
      <w:tr>
        <w:trPr>
          <w:trHeight w:val="236"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司以外单位提供财务资助。</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243"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、本公司及控制的其他企业目前不存在自营、与他人共同经营或为他人经营与神州易桥及</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其子公司相同、相似业务的情形。</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、在直接或间接持有神州易桥权益的期间内，本公司将</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不会采取参股、控股、联营、合营、合作或者其他任何方式直接或间接从事与神州易桥及其</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116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7" w:lineRule="auto" w:before="89"/>
              <w:ind w:left="21" w:right="22"/>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子公司所从事的业务范围相同、相似或构成实质竞争的业务，也不会协助、促使或代表任何</w:t>
            </w:r>
          </w:p>
          <w:p>
            <w:pPr>
              <w:pStyle w:val="TableParagraph"/>
              <w:spacing w:line="232" w:lineRule="auto" w:before="5"/>
              <w:ind w:left="23" w:right="22"/>
              <w:jc w:val="left"/>
              <w:rPr>
                <w:rFonts w:ascii="宋体" w:hAnsi="宋体" w:cs="宋体" w:eastAsia="宋体" w:hint="default"/>
                <w:sz w:val="18"/>
                <w:szCs w:val="18"/>
              </w:rPr>
            </w:pPr>
            <w:r>
              <w:rPr>
                <w:rFonts w:ascii="宋体" w:hAnsi="宋体" w:cs="宋体" w:eastAsia="宋体" w:hint="default"/>
                <w:spacing w:val="-1"/>
                <w:sz w:val="18"/>
                <w:szCs w:val="18"/>
              </w:rPr>
              <w:t>第三方以任何方式直接或间接从事与神州易桥及其子公司业务范围相同、相似或构成实质竞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争的业务；本公司将促使本公司控制的其他企业比照前述规定履行不竞争的义务。</w:t>
            </w:r>
            <w:r>
              <w:rPr>
                <w:rFonts w:ascii="Times New Roman" w:hAnsi="Times New Roman" w:cs="Times New Roman" w:eastAsia="Times New Roman" w:hint="default"/>
                <w:sz w:val="18"/>
                <w:szCs w:val="18"/>
              </w:rPr>
              <w:t>3</w:t>
            </w:r>
            <w:r>
              <w:rPr>
                <w:rFonts w:ascii="宋体" w:hAnsi="宋体" w:cs="宋体" w:eastAsia="宋体" w:hint="default"/>
                <w:sz w:val="18"/>
                <w:szCs w:val="18"/>
              </w:rPr>
              <w:t>、如因 国家政策调整等不可抗力原因导致本公司或本公司控制的其他企业将来从事的业务与神州 </w:t>
            </w:r>
            <w:r>
              <w:rPr>
                <w:rFonts w:ascii="宋体" w:hAnsi="宋体" w:cs="宋体" w:eastAsia="宋体" w:hint="default"/>
                <w:spacing w:val="-1"/>
                <w:sz w:val="18"/>
                <w:szCs w:val="18"/>
              </w:rPr>
              <w:t>易桥及其子公司之间的同业竞争可能构成或不可避免时，则本公司将在神州易桥及其子公司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2" w:right="77"/>
              <w:jc w:val="left"/>
              <w:rPr>
                <w:rFonts w:ascii="宋体" w:hAnsi="宋体" w:cs="宋体" w:eastAsia="宋体" w:hint="default"/>
                <w:sz w:val="18"/>
                <w:szCs w:val="18"/>
              </w:rPr>
            </w:pPr>
            <w:r>
              <w:rPr>
                <w:rFonts w:ascii="宋体" w:hAnsi="宋体" w:cs="宋体" w:eastAsia="宋体" w:hint="default"/>
                <w:sz w:val="18"/>
                <w:szCs w:val="18"/>
              </w:rPr>
              <w:t>该承诺正在履行期 内，不存在违背该承 诺的情形。</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提出异议后及时转让或终止上述业务或促使本公司控制的其他企业及时转让或终止上述业</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务；如神州易桥及其子公司进一步要求，神州易桥及其子公司享有上述业务在同等条件下的</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优先受让权。</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00" w:right="1000"/>
        </w:sectPr>
      </w:pPr>
    </w:p>
    <w:p>
      <w:pPr>
        <w:spacing w:line="240" w:lineRule="auto" w:before="1"/>
        <w:rPr>
          <w:rFonts w:ascii="Times New Roman" w:hAnsi="Times New Roman" w:cs="Times New Roman" w:eastAsia="Times New Roman" w:hint="default"/>
          <w:sz w:val="3"/>
          <w:szCs w:val="3"/>
        </w:rPr>
      </w:pPr>
      <w:r>
        <w:rPr/>
        <w:pict>
          <v:shape style="position:absolute;margin-left:189.839996pt;margin-top:315.349976pt;width:62.1pt;height:58.45pt;mso-position-horizontal-relative:page;mso-position-vertical-relative:page;z-index:-1013512" type="#_x0000_t202" filled="false" stroked="false">
            <v:textbox inset="0,0,0,0">
              <w:txbxContent>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w:t>
                  </w: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group style="position:absolute;margin-left:195.850006pt;margin-top:315.349976pt;width:56.05pt;height:58.6pt;mso-position-horizontal-relative:page;mso-position-vertical-relative:page;z-index:-1013488" coordorigin="3917,6307" coordsize="1121,1172">
            <v:shape style="position:absolute;left:3917;top:6307;width:1121;height:1172" coordorigin="3917,6307" coordsize="1121,1172" path="m3917,6307l5038,6307,5038,7479,3917,7479,3917,6307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59"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tcBorders>
              <w:top w:val="single" w:sz="16" w:space="0" w:color="000000"/>
              <w:left w:val="single" w:sz="4" w:space="0" w:color="000000"/>
              <w:bottom w:val="nil" w:sz="6" w:space="0" w:color="auto"/>
              <w:right w:val="single" w:sz="4" w:space="0" w:color="000000"/>
            </w:tcBorders>
          </w:tcPr>
          <w:p>
            <w:pPr/>
          </w:p>
        </w:tc>
        <w:tc>
          <w:tcPr>
            <w:tcW w:w="1126" w:type="dxa"/>
            <w:tcBorders>
              <w:top w:val="single" w:sz="16" w:space="0" w:color="000000"/>
              <w:left w:val="single" w:sz="4" w:space="0" w:color="000000"/>
              <w:bottom w:val="nil" w:sz="6" w:space="0" w:color="auto"/>
              <w:right w:val="single" w:sz="4" w:space="0" w:color="000000"/>
            </w:tcBorders>
          </w:tcPr>
          <w:p>
            <w:pPr/>
          </w:p>
        </w:tc>
        <w:tc>
          <w:tcPr>
            <w:tcW w:w="7246" w:type="dxa"/>
            <w:tcBorders>
              <w:top w:val="single" w:sz="16"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、本公司及控制的其他企业将采取措施尽量减少并避免与神州易桥及其子公司发生关联交</w:t>
            </w:r>
          </w:p>
        </w:tc>
        <w:tc>
          <w:tcPr>
            <w:tcW w:w="851" w:type="dxa"/>
            <w:tcBorders>
              <w:top w:val="single" w:sz="16" w:space="0" w:color="000000"/>
              <w:left w:val="single" w:sz="4" w:space="0" w:color="000000"/>
              <w:bottom w:val="nil" w:sz="6" w:space="0" w:color="auto"/>
              <w:right w:val="single" w:sz="4" w:space="0" w:color="000000"/>
            </w:tcBorders>
          </w:tcPr>
          <w:p>
            <w:pPr/>
          </w:p>
        </w:tc>
        <w:tc>
          <w:tcPr>
            <w:tcW w:w="859" w:type="dxa"/>
            <w:tcBorders>
              <w:top w:val="single" w:sz="16" w:space="0" w:color="000000"/>
              <w:left w:val="single" w:sz="4" w:space="0" w:color="000000"/>
              <w:bottom w:val="nil" w:sz="6" w:space="0" w:color="auto"/>
              <w:right w:val="single" w:sz="4" w:space="0" w:color="000000"/>
            </w:tcBorders>
          </w:tcPr>
          <w:p>
            <w:pPr/>
          </w:p>
        </w:tc>
        <w:tc>
          <w:tcPr>
            <w:tcW w:w="1731" w:type="dxa"/>
            <w:tcBorders>
              <w:top w:val="single" w:sz="16" w:space="0" w:color="000000"/>
              <w:left w:val="single" w:sz="4" w:space="0" w:color="000000"/>
              <w:bottom w:val="nil" w:sz="6" w:space="0" w:color="auto"/>
              <w:right w:val="single" w:sz="4" w:space="0" w:color="000000"/>
            </w:tcBorders>
          </w:tcPr>
          <w:p>
            <w:pPr/>
          </w:p>
        </w:tc>
      </w:tr>
      <w:tr>
        <w:trPr>
          <w:trHeight w:val="1161"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4"/>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7" w:lineRule="auto" w:before="85"/>
              <w:ind w:left="21" w:right="22"/>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both"/>
              <w:rPr>
                <w:rFonts w:ascii="宋体" w:hAnsi="宋体" w:cs="宋体" w:eastAsia="宋体" w:hint="default"/>
                <w:sz w:val="18"/>
                <w:szCs w:val="18"/>
              </w:rPr>
            </w:pPr>
            <w:r>
              <w:rPr>
                <w:rFonts w:ascii="宋体" w:hAnsi="宋体" w:cs="宋体" w:eastAsia="宋体" w:hint="default"/>
                <w:sz w:val="18"/>
                <w:szCs w:val="18"/>
              </w:rPr>
              <w:t>易；对于无法避免的关联交易，将依法与神州易桥及其子公司签订关联交易合同，参照市场</w:t>
            </w:r>
          </w:p>
          <w:p>
            <w:pPr>
              <w:pStyle w:val="TableParagraph"/>
              <w:spacing w:line="225" w:lineRule="auto" w:before="11"/>
              <w:ind w:left="23" w:right="22"/>
              <w:jc w:val="both"/>
              <w:rPr>
                <w:rFonts w:ascii="宋体" w:hAnsi="宋体" w:cs="宋体" w:eastAsia="宋体" w:hint="default"/>
                <w:sz w:val="18"/>
                <w:szCs w:val="18"/>
              </w:rPr>
            </w:pPr>
            <w:r>
              <w:rPr>
                <w:rFonts w:ascii="宋体" w:hAnsi="宋体" w:cs="宋体" w:eastAsia="宋体" w:hint="default"/>
                <w:sz w:val="18"/>
                <w:szCs w:val="18"/>
              </w:rPr>
              <w:t>通行的标准，公允确定关联交易的价格。</w:t>
            </w:r>
            <w:r>
              <w:rPr>
                <w:rFonts w:ascii="Times New Roman" w:hAnsi="Times New Roman" w:cs="Times New Roman" w:eastAsia="Times New Roman" w:hint="default"/>
                <w:sz w:val="18"/>
                <w:szCs w:val="18"/>
              </w:rPr>
              <w:t>2</w:t>
            </w:r>
            <w:r>
              <w:rPr>
                <w:rFonts w:ascii="宋体" w:hAnsi="宋体" w:cs="宋体" w:eastAsia="宋体" w:hint="default"/>
                <w:sz w:val="18"/>
                <w:szCs w:val="18"/>
              </w:rPr>
              <w:t>、严格按相关规定履行必要的关联董事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关联股东 回避表决等义务，遵守批准关联交易的法定程序和信息披露义务。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、保证不通过关联交易 损害神州易桥及其他股东的合法权益。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、如本公司违反上述承诺，神州易桥及其子公司、 </w:t>
            </w:r>
            <w:r>
              <w:rPr>
                <w:rFonts w:ascii="宋体" w:hAnsi="宋体" w:cs="宋体" w:eastAsia="宋体" w:hint="default"/>
                <w:spacing w:val="-1"/>
                <w:sz w:val="18"/>
                <w:szCs w:val="18"/>
              </w:rPr>
              <w:t>神州易桥其他股东有权要求本公司赔偿因此遭受的全部损失；同时本公司因违反上述承诺所</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2" w:lineRule="exact"/>
              <w:ind w:left="22" w:right="77"/>
              <w:jc w:val="left"/>
              <w:rPr>
                <w:rFonts w:ascii="宋体" w:hAnsi="宋体" w:cs="宋体" w:eastAsia="宋体" w:hint="default"/>
                <w:sz w:val="18"/>
                <w:szCs w:val="18"/>
              </w:rPr>
            </w:pPr>
            <w:r>
              <w:rPr>
                <w:rFonts w:ascii="宋体" w:hAnsi="宋体" w:cs="宋体" w:eastAsia="宋体" w:hint="default"/>
                <w:sz w:val="18"/>
                <w:szCs w:val="18"/>
              </w:rPr>
              <w:t>该承诺正在履行期 内，不存在违背该承 诺的情形。</w:t>
            </w: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取得的收益归神州易桥所有。</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44"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月末</w:t>
            </w:r>
            <w:r>
              <w:rPr>
                <w:rFonts w:ascii="宋体" w:hAnsi="宋体" w:cs="宋体" w:eastAsia="宋体" w:hint="default"/>
                <w:spacing w:val="-75"/>
                <w:sz w:val="18"/>
                <w:szCs w:val="18"/>
              </w:rPr>
              <w:t>，</w:t>
            </w:r>
            <w:r>
              <w:rPr>
                <w:rFonts w:ascii="宋体" w:hAnsi="宋体" w:cs="宋体" w:eastAsia="宋体" w:hint="default"/>
                <w:sz w:val="18"/>
                <w:szCs w:val="18"/>
              </w:rPr>
              <w:t>西藏</w:t>
            </w:r>
          </w:p>
        </w:tc>
      </w:tr>
      <w:tr>
        <w:trPr>
          <w:trHeight w:val="22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华毓创业投资管理有</w:t>
            </w:r>
          </w:p>
        </w:tc>
      </w:tr>
      <w:tr>
        <w:trPr>
          <w:trHeight w:val="1402"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西藏华毓创业投资 管理有限公司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5" w:lineRule="auto" w:before="10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、西藏华毓创业投资管理有限公司承诺在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日期间，通过 大宗交易或集中竞价交易方式减持公司股份不超过公司股份总数的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，所得款项全部用于 支持交易对方支付本次交易的剩余对价。</w:t>
            </w:r>
            <w:r>
              <w:rPr>
                <w:rFonts w:ascii="Times New Roman" w:hAnsi="Times New Roman" w:cs="Times New Roman" w:eastAsia="Times New Roman" w:hint="default"/>
                <w:sz w:val="18"/>
                <w:szCs w:val="18"/>
              </w:rPr>
              <w:t>2</w:t>
            </w:r>
            <w:r>
              <w:rPr>
                <w:rFonts w:ascii="宋体" w:hAnsi="宋体" w:cs="宋体" w:eastAsia="宋体" w:hint="default"/>
                <w:sz w:val="18"/>
                <w:szCs w:val="18"/>
              </w:rPr>
              <w:t>、西藏华毓创业投资管理有限公司承诺：自上述 减持期间截止日后的六个月内，即从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日期间，不再减持 神州易桥股份。</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限公司通过深圳证券</w:t>
            </w:r>
          </w:p>
          <w:p>
            <w:pPr>
              <w:pStyle w:val="TableParagraph"/>
              <w:spacing w:line="235" w:lineRule="auto" w:before="4"/>
              <w:ind w:left="22" w:right="-27"/>
              <w:jc w:val="left"/>
              <w:rPr>
                <w:rFonts w:ascii="宋体" w:hAnsi="宋体" w:cs="宋体" w:eastAsia="宋体" w:hint="default"/>
                <w:sz w:val="18"/>
                <w:szCs w:val="18"/>
              </w:rPr>
            </w:pPr>
            <w:r>
              <w:rPr>
                <w:rFonts w:ascii="宋体" w:hAnsi="宋体" w:cs="宋体" w:eastAsia="宋体" w:hint="default"/>
                <w:sz w:val="18"/>
                <w:szCs w:val="18"/>
              </w:rPr>
              <w:t>交易所大宗交易系统 减持所持公司股份， 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减持计划已实施完 毕。其他承诺正在履</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行，不存在违背该承</w:t>
            </w: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诺的情形。</w:t>
            </w:r>
          </w:p>
        </w:tc>
      </w:tr>
      <w:tr>
        <w:trPr>
          <w:trHeight w:val="240"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连良桂；天津泰达</w:t>
            </w: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69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科技投资股份有限</w:t>
            </w:r>
          </w:p>
          <w:p>
            <w:pPr>
              <w:pStyle w:val="TableParagraph"/>
              <w:spacing w:line="232" w:lineRule="exact" w:before="23"/>
              <w:ind w:left="23" w:right="84"/>
              <w:jc w:val="left"/>
              <w:rPr>
                <w:rFonts w:ascii="宋体" w:hAnsi="宋体" w:cs="宋体" w:eastAsia="宋体" w:hint="default"/>
                <w:sz w:val="18"/>
                <w:szCs w:val="18"/>
              </w:rPr>
            </w:pPr>
            <w:r>
              <w:rPr>
                <w:rFonts w:ascii="宋体" w:hAnsi="宋体" w:cs="宋体" w:eastAsia="宋体" w:hint="default"/>
                <w:sz w:val="18"/>
                <w:szCs w:val="18"/>
              </w:rPr>
              <w:t>公司；新疆泰达新 源股权投资有限公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3" w:right="22"/>
              <w:jc w:val="left"/>
              <w:rPr>
                <w:rFonts w:ascii="宋体" w:hAnsi="宋体" w:cs="宋体" w:eastAsia="宋体" w:hint="default"/>
                <w:sz w:val="18"/>
                <w:szCs w:val="18"/>
              </w:rPr>
            </w:pPr>
            <w:r>
              <w:rPr>
                <w:rFonts w:ascii="宋体" w:hAnsi="宋体" w:cs="宋体" w:eastAsia="宋体" w:hint="default"/>
                <w:spacing w:val="-1"/>
                <w:sz w:val="18"/>
                <w:szCs w:val="18"/>
              </w:rPr>
              <w:t>天津泰达科技投资股份有限公司、新疆泰达新源股权投资有限公司、连良桂先生承诺在本次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神州易桥股票复牌之日起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个月内无任何减持计划。</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该承诺正在履行期</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内，不存在违背该承 诺的情形。</w:t>
            </w:r>
          </w:p>
        </w:tc>
      </w:tr>
      <w:tr>
        <w:trPr>
          <w:trHeight w:val="240"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彭聪；黄海勇；赵</w:t>
            </w: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侠；连杰；俞丽辉</w:t>
            </w:r>
          </w:p>
          <w:p>
            <w:pPr>
              <w:pStyle w:val="TableParagraph"/>
              <w:spacing w:line="240" w:lineRule="auto"/>
              <w:ind w:left="23" w:right="84"/>
              <w:jc w:val="left"/>
              <w:rPr>
                <w:rFonts w:ascii="宋体" w:hAnsi="宋体" w:cs="宋体" w:eastAsia="宋体" w:hint="default"/>
                <w:sz w:val="18"/>
                <w:szCs w:val="18"/>
              </w:rPr>
            </w:pPr>
            <w:r>
              <w:rPr>
                <w:rFonts w:ascii="宋体" w:hAnsi="宋体" w:cs="宋体" w:eastAsia="宋体" w:hint="default"/>
                <w:sz w:val="18"/>
                <w:szCs w:val="18"/>
              </w:rPr>
              <w:t>袁军；韩传模；于 </w:t>
            </w:r>
            <w:r>
              <w:rPr>
                <w:rFonts w:ascii="宋体" w:hAnsi="宋体" w:cs="宋体" w:eastAsia="宋体" w:hint="default"/>
                <w:spacing w:val="-4"/>
                <w:sz w:val="18"/>
                <w:szCs w:val="18"/>
              </w:rPr>
              <w:t>秀芳；董维；李弓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3" w:right="22"/>
              <w:jc w:val="left"/>
              <w:rPr>
                <w:rFonts w:ascii="宋体" w:hAnsi="宋体" w:cs="宋体" w:eastAsia="宋体" w:hint="default"/>
                <w:sz w:val="18"/>
                <w:szCs w:val="18"/>
              </w:rPr>
            </w:pPr>
            <w:r>
              <w:rPr>
                <w:rFonts w:ascii="宋体" w:hAnsi="宋体" w:cs="宋体" w:eastAsia="宋体" w:hint="default"/>
                <w:sz w:val="18"/>
                <w:szCs w:val="18"/>
              </w:rPr>
              <w:t>公司董事、监事、高级管理人员承诺在本次神州易桥股票复牌之日起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个月内无任何减持计 划。</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该承诺正在履行期</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内，不存在违背该承 诺的情形。</w:t>
            </w: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41"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、在参与本次交易期间，本公司将依照相关法律、法规、规章、中国证券监督管理委员会</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青海明胶有限责任</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和深圳证券交易所的有关规定，及时披露有关本次交易的信息，并保证该等信息的真实性、</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公司；青海明诺胶</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准确性和完整性，保证该等信息不存在虚假记载、误导性陈述或者重大遗漏。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、本公司向</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69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囊有限公司；柳州</w:t>
            </w:r>
          </w:p>
          <w:p>
            <w:pPr>
              <w:pStyle w:val="TableParagraph"/>
              <w:spacing w:line="232" w:lineRule="exact" w:before="24"/>
              <w:ind w:left="23" w:right="84"/>
              <w:jc w:val="left"/>
              <w:rPr>
                <w:rFonts w:ascii="宋体" w:hAnsi="宋体" w:cs="宋体" w:eastAsia="宋体" w:hint="default"/>
                <w:sz w:val="18"/>
                <w:szCs w:val="18"/>
              </w:rPr>
            </w:pPr>
            <w:r>
              <w:rPr>
                <w:rFonts w:ascii="宋体" w:hAnsi="宋体" w:cs="宋体" w:eastAsia="宋体" w:hint="default"/>
                <w:sz w:val="18"/>
                <w:szCs w:val="18"/>
              </w:rPr>
              <w:t>市宏升胶原蛋白肠 衣有限公司；广东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本次交易的各中介机构所提供的资料均为真实、准确、完整的原始书面资料或副本资料，资</w:t>
            </w:r>
          </w:p>
          <w:p>
            <w:pPr>
              <w:pStyle w:val="TableParagraph"/>
              <w:spacing w:line="240" w:lineRule="auto"/>
              <w:ind w:left="23" w:right="22"/>
              <w:jc w:val="left"/>
              <w:rPr>
                <w:rFonts w:ascii="宋体" w:hAnsi="宋体" w:cs="宋体" w:eastAsia="宋体" w:hint="default"/>
                <w:sz w:val="18"/>
                <w:szCs w:val="18"/>
              </w:rPr>
            </w:pPr>
            <w:r>
              <w:rPr>
                <w:rFonts w:ascii="宋体" w:hAnsi="宋体" w:cs="宋体" w:eastAsia="宋体" w:hint="default"/>
                <w:spacing w:val="-1"/>
                <w:sz w:val="18"/>
                <w:szCs w:val="18"/>
              </w:rPr>
              <w:t>料的副本或复印件与其原始资料或原件一致。所有文件的签名、印章均是真实的，不存在任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何虚假记载、误导性陈述或者重大遗漏，并对所提供资料的真实性、准确性和完整性承担责</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8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8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不存在违背该承诺的 情形。</w:t>
            </w: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明洋明胶有限责任</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、本公司为本次交易所出具的说明、承诺及确认均为真实、准确和完整的，不存在任</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何虚假记载、误导性陈述或者重大遗漏。本公司对所提供信息的真实性、准确性和完整性承</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担个别和连带的法律责任。</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94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华彧民；黄海勇；</w:t>
            </w:r>
          </w:p>
          <w:p>
            <w:pPr>
              <w:pStyle w:val="TableParagraph"/>
              <w:spacing w:line="237" w:lineRule="auto"/>
              <w:ind w:left="23" w:right="84"/>
              <w:jc w:val="both"/>
              <w:rPr>
                <w:rFonts w:ascii="宋体" w:hAnsi="宋体" w:cs="宋体" w:eastAsia="宋体" w:hint="default"/>
                <w:sz w:val="18"/>
                <w:szCs w:val="18"/>
              </w:rPr>
            </w:pPr>
            <w:r>
              <w:rPr>
                <w:rFonts w:ascii="宋体" w:hAnsi="宋体" w:cs="宋体" w:eastAsia="宋体" w:hint="default"/>
                <w:sz w:val="18"/>
                <w:szCs w:val="18"/>
              </w:rPr>
              <w:t>李友竹；欧顺明； 任峰；孙忠义；王 安柱；王洪敏；王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、最近三年内，本人未受到过重大行政处罚、刑事处罚或者涉及与经济纠纷有关的重大民</w:t>
            </w:r>
          </w:p>
          <w:p>
            <w:pPr>
              <w:pStyle w:val="TableParagraph"/>
              <w:spacing w:line="232" w:lineRule="auto"/>
              <w:ind w:left="23" w:right="22"/>
              <w:jc w:val="left"/>
              <w:rPr>
                <w:rFonts w:ascii="宋体" w:hAnsi="宋体" w:cs="宋体" w:eastAsia="宋体" w:hint="default"/>
                <w:sz w:val="18"/>
                <w:szCs w:val="18"/>
              </w:rPr>
            </w:pPr>
            <w:r>
              <w:rPr>
                <w:rFonts w:ascii="宋体" w:hAnsi="宋体" w:cs="宋体" w:eastAsia="宋体" w:hint="default"/>
                <w:sz w:val="18"/>
                <w:szCs w:val="18"/>
              </w:rPr>
              <w:t>事诉讼或者仲裁。</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、本人未曾因涉嫌与重大资产重组相关的内幕交易被立案调查或者立案 </w:t>
            </w:r>
            <w:r>
              <w:rPr>
                <w:rFonts w:ascii="宋体" w:hAnsi="宋体" w:cs="宋体" w:eastAsia="宋体" w:hint="default"/>
                <w:spacing w:val="-1"/>
                <w:sz w:val="18"/>
                <w:szCs w:val="18"/>
              </w:rPr>
              <w:t>侦查且尚未结案，最近五年内未曾有未按期偿还大额债务、未履行承诺、因与重大资产重组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相关的内幕交易被中国证券监督管理委员会采取行政监管措施。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bl>
    <w:p>
      <w:pPr>
        <w:spacing w:after="0" w:line="237" w:lineRule="auto"/>
        <w:jc w:val="both"/>
        <w:rPr>
          <w:rFonts w:ascii="宋体" w:hAnsi="宋体" w:cs="宋体" w:eastAsia="宋体" w:hint="default"/>
          <w:sz w:val="18"/>
          <w:szCs w:val="18"/>
        </w:rPr>
        <w:sectPr>
          <w:pgSz w:w="16840" w:h="11910" w:orient="landscape"/>
          <w:pgMar w:header="868" w:footer="978" w:top="1060" w:bottom="1160" w:left="1000" w:right="1000"/>
        </w:sectPr>
      </w:pPr>
    </w:p>
    <w:p>
      <w:pPr>
        <w:spacing w:line="240" w:lineRule="auto" w:before="1"/>
        <w:rPr>
          <w:rFonts w:ascii="Times New Roman" w:hAnsi="Times New Roman" w:cs="Times New Roman" w:eastAsia="Times New Roman" w:hint="default"/>
          <w:sz w:val="3"/>
          <w:szCs w:val="3"/>
        </w:rPr>
      </w:pPr>
      <w:r>
        <w:rPr/>
        <w:pict>
          <v:shape style="position:absolute;margin-left:608.400024pt;margin-top:174.799988pt;width:48.35pt;height:163.5pt;mso-position-horizontal-relative:page;mso-position-vertical-relative:page;z-index:-1013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614.450012pt;margin-top:174.799988pt;width:42.3pt;height:163.65pt;mso-position-horizontal-relative:page;mso-position-vertical-relative:page;z-index:-1013440" coordorigin="12289,3496" coordsize="846,3273">
            <v:shape style="position:absolute;left:12289;top:3496;width:846;height:3273" coordorigin="12289,3496" coordsize="846,3273" path="m12289,3496l13135,3496,13135,6769,12289,6769,12289,349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58"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元成；辛雅娟</w:t>
            </w:r>
          </w:p>
        </w:tc>
        <w:tc>
          <w:tcPr>
            <w:tcW w:w="1126" w:type="dxa"/>
            <w:tcBorders>
              <w:top w:val="single" w:sz="16" w:space="0" w:color="000000"/>
              <w:left w:val="single" w:sz="4" w:space="0" w:color="000000"/>
              <w:bottom w:val="single" w:sz="4" w:space="0" w:color="000000"/>
              <w:right w:val="single" w:sz="4" w:space="0" w:color="000000"/>
            </w:tcBorders>
          </w:tcPr>
          <w:p>
            <w:pPr/>
          </w:p>
        </w:tc>
        <w:tc>
          <w:tcPr>
            <w:tcW w:w="7246" w:type="dxa"/>
            <w:tcBorders>
              <w:top w:val="single" w:sz="16" w:space="0" w:color="000000"/>
              <w:left w:val="single" w:sz="4" w:space="0" w:color="000000"/>
              <w:bottom w:val="single" w:sz="4" w:space="0" w:color="000000"/>
              <w:right w:val="single" w:sz="4" w:space="0" w:color="000000"/>
            </w:tcBorders>
          </w:tcPr>
          <w:p>
            <w:pPr/>
          </w:p>
        </w:tc>
        <w:tc>
          <w:tcPr>
            <w:tcW w:w="851" w:type="dxa"/>
            <w:tcBorders>
              <w:top w:val="single" w:sz="16" w:space="0" w:color="000000"/>
              <w:left w:val="single" w:sz="4" w:space="0" w:color="000000"/>
              <w:bottom w:val="single" w:sz="4" w:space="0" w:color="000000"/>
              <w:right w:val="single" w:sz="4" w:space="0" w:color="000000"/>
            </w:tcBorders>
          </w:tcPr>
          <w:p>
            <w:pPr/>
          </w:p>
        </w:tc>
        <w:tc>
          <w:tcPr>
            <w:tcW w:w="859" w:type="dxa"/>
            <w:tcBorders>
              <w:top w:val="single" w:sz="16" w:space="0" w:color="000000"/>
              <w:left w:val="single" w:sz="4" w:space="0" w:color="000000"/>
              <w:bottom w:val="single" w:sz="4" w:space="0" w:color="000000"/>
              <w:right w:val="single" w:sz="4" w:space="0" w:color="000000"/>
            </w:tcBorders>
          </w:tcPr>
          <w:p>
            <w:pPr/>
          </w:p>
        </w:tc>
        <w:tc>
          <w:tcPr>
            <w:tcW w:w="1731" w:type="dxa"/>
            <w:tcBorders>
              <w:top w:val="single" w:sz="16" w:space="0" w:color="000000"/>
              <w:left w:val="single" w:sz="4" w:space="0" w:color="000000"/>
              <w:bottom w:val="single" w:sz="4" w:space="0" w:color="000000"/>
              <w:right w:val="single" w:sz="4" w:space="0" w:color="000000"/>
            </w:tcBorders>
          </w:tcPr>
          <w:p>
            <w:pPr/>
          </w:p>
        </w:tc>
      </w:tr>
      <w:tr>
        <w:trPr>
          <w:trHeight w:val="2111"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23" w:right="84"/>
              <w:jc w:val="both"/>
              <w:rPr>
                <w:rFonts w:ascii="宋体" w:hAnsi="宋体" w:cs="宋体" w:eastAsia="宋体" w:hint="default"/>
                <w:sz w:val="18"/>
                <w:szCs w:val="18"/>
              </w:rPr>
            </w:pPr>
            <w:r>
              <w:rPr>
                <w:rFonts w:ascii="宋体" w:hAnsi="宋体" w:cs="宋体" w:eastAsia="宋体" w:hint="default"/>
                <w:sz w:val="18"/>
                <w:szCs w:val="18"/>
              </w:rPr>
              <w:t>天津泰达科技投资 股份有限公司；湖 北宜景常弘科技有 限公司；深圳树泰 科技有限公司；湖 北盛木科技有限公 司；深圳德木实业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、在参与本次交易期间，本公司将依照相关法律、法规、规章、中国证券监督管理委员会</w:t>
            </w:r>
          </w:p>
          <w:p>
            <w:pPr>
              <w:pStyle w:val="TableParagraph"/>
              <w:spacing w:line="235" w:lineRule="auto"/>
              <w:ind w:left="23" w:right="10"/>
              <w:jc w:val="left"/>
              <w:rPr>
                <w:rFonts w:ascii="宋体" w:hAnsi="宋体" w:cs="宋体" w:eastAsia="宋体" w:hint="default"/>
                <w:sz w:val="18"/>
                <w:szCs w:val="18"/>
              </w:rPr>
            </w:pPr>
            <w:r>
              <w:rPr>
                <w:rFonts w:ascii="宋体" w:hAnsi="宋体" w:cs="宋体" w:eastAsia="宋体" w:hint="default"/>
                <w:sz w:val="18"/>
                <w:szCs w:val="18"/>
              </w:rPr>
              <w:t>和深圳证券交易所的有关规定，及时披露有关本次重大资产出售的信息，并保证该等信息的 真实性、准确性和完整性，保证该等信息不存在虚假记载、误导性陈述或者重大遗漏。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本公司向本次交易的各中介机构所提供的资料均为真实、准确、完整的原始书面资料或副本 资料，资料的副本或复印件与其原始资料或原件一致。所有文件的签名、印章均是真实的， 不存在任何虚假记载、误导性陈述或者重大遗漏，并对所提供资料的真实性、准确性和完整 性承担责任。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、本公司为本次交易所出具的说明、承诺及确认均为真实、准确和完整的， 不存在任何虚假记载、误导性陈述或者重大遗漏。本公司对所提供信息的真实性、准确性和 完整性承担个别和连带的法律责任。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2" w:lineRule="exact"/>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243"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、最近五年内，本公司及现任董事、监事、高级管理人员未因涉嫌犯罪被司法机关立案侦</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查或涉嫌违法违规被中国证监会立案调查，不存在行政处罚</w:t>
            </w:r>
            <w:r>
              <w:rPr>
                <w:rFonts w:ascii="Times New Roman" w:hAnsi="Times New Roman" w:cs="Times New Roman" w:eastAsia="Times New Roman" w:hint="default"/>
                <w:sz w:val="18"/>
                <w:szCs w:val="18"/>
              </w:rPr>
              <w:t>(</w:t>
            </w:r>
            <w:r>
              <w:rPr>
                <w:rFonts w:ascii="宋体" w:hAnsi="宋体" w:cs="宋体" w:eastAsia="宋体" w:hint="default"/>
                <w:sz w:val="18"/>
                <w:szCs w:val="18"/>
              </w:rPr>
              <w:t>与证券市场明显无关的除外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者刑事处罚的情形，亦不存在重大违法违规行为或损害投资者合法权益和社会公共利益的不</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诚信行为。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、最近五年内，本公司及现任董事、监事、高级管理人员不存在未按期偿还大</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股份有限公司；湖</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额债务、未履行承诺、或被中国证监会采取行政监管措施或受到证券交易所纪律处分的情况</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北宜景常弘科技有</w:t>
            </w:r>
          </w:p>
          <w:p>
            <w:pPr>
              <w:pStyle w:val="TableParagraph"/>
              <w:spacing w:line="237" w:lineRule="auto"/>
              <w:ind w:left="23" w:right="84"/>
              <w:jc w:val="both"/>
              <w:rPr>
                <w:rFonts w:ascii="宋体" w:hAnsi="宋体" w:cs="宋体" w:eastAsia="宋体" w:hint="default"/>
                <w:sz w:val="18"/>
                <w:szCs w:val="18"/>
              </w:rPr>
            </w:pPr>
            <w:r>
              <w:rPr>
                <w:rFonts w:ascii="宋体" w:hAnsi="宋体" w:cs="宋体" w:eastAsia="宋体" w:hint="default"/>
                <w:sz w:val="18"/>
                <w:szCs w:val="18"/>
              </w:rPr>
              <w:t>限公司；深圳树泰 科技有限公司；湖 北盛木科技有限公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、本公司是依法成立并有效存续的有限责任公司，具有相关法律、法规、规章及规范性文</w:t>
            </w:r>
          </w:p>
          <w:p>
            <w:pPr>
              <w:pStyle w:val="TableParagraph"/>
              <w:spacing w:line="232" w:lineRule="auto"/>
              <w:ind w:left="23" w:right="22"/>
              <w:jc w:val="left"/>
              <w:rPr>
                <w:rFonts w:ascii="宋体" w:hAnsi="宋体" w:cs="宋体" w:eastAsia="宋体" w:hint="default"/>
                <w:sz w:val="18"/>
                <w:szCs w:val="18"/>
              </w:rPr>
            </w:pPr>
            <w:r>
              <w:rPr>
                <w:rFonts w:ascii="宋体" w:hAnsi="宋体" w:cs="宋体" w:eastAsia="宋体" w:hint="default"/>
                <w:spacing w:val="-1"/>
                <w:sz w:val="18"/>
                <w:szCs w:val="18"/>
              </w:rPr>
              <w:t>件规定的签署与本次交易相关的各项承诺、协议并享有、履行相应权利、义务的合法主体资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格。</w:t>
            </w:r>
            <w:r>
              <w:rPr>
                <w:rFonts w:ascii="Times New Roman" w:hAnsi="Times New Roman" w:cs="Times New Roman" w:eastAsia="Times New Roman" w:hint="default"/>
                <w:sz w:val="18"/>
                <w:szCs w:val="18"/>
              </w:rPr>
              <w:t>4</w:t>
            </w:r>
            <w:r>
              <w:rPr>
                <w:rFonts w:ascii="宋体" w:hAnsi="宋体" w:cs="宋体" w:eastAsia="宋体" w:hint="default"/>
                <w:sz w:val="18"/>
                <w:szCs w:val="18"/>
              </w:rPr>
              <w:t>、最近五年，公司合法开展生产经营活动，不存在重大违法违规事项，现时不存在因 </w:t>
            </w:r>
            <w:r>
              <w:rPr>
                <w:rFonts w:ascii="宋体" w:hAnsi="宋体" w:cs="宋体" w:eastAsia="宋体" w:hint="default"/>
                <w:spacing w:val="-1"/>
                <w:sz w:val="18"/>
                <w:szCs w:val="18"/>
              </w:rPr>
              <w:t>营业期限届满、股东会决议、合并或分立等事项应予解散的情形，不存在因不能清偿到期债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7" w:lineRule="auto" w:before="88"/>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司；深圳德木实业</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务依法宣告破产、违反法律法规被依法吊销营业执照、责令关闭或者被撤销等事项应予终止</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的情形，不存在影响公司合法存续、正常经营的其他情形。</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、本公司、本公司控股股东及</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其控制的其他企业均不存在因涉嫌与重大资产重组相关的内幕交易被立案调查或者立案侦</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查且尚未责任认定的情形，也不存在最近五年内被中国证监会行政处罚或司法机关依法追究</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刑事责任的情形。</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w:t>
            </w: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股份有限公司；湖</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北宜景常弘科技有</w:t>
            </w:r>
          </w:p>
          <w:p>
            <w:pPr>
              <w:pStyle w:val="TableParagraph"/>
              <w:spacing w:line="237" w:lineRule="auto"/>
              <w:ind w:left="23" w:right="84"/>
              <w:jc w:val="both"/>
              <w:rPr>
                <w:rFonts w:ascii="宋体" w:hAnsi="宋体" w:cs="宋体" w:eastAsia="宋体" w:hint="default"/>
                <w:sz w:val="18"/>
                <w:szCs w:val="18"/>
              </w:rPr>
            </w:pPr>
            <w:r>
              <w:rPr>
                <w:rFonts w:ascii="宋体" w:hAnsi="宋体" w:cs="宋体" w:eastAsia="宋体" w:hint="default"/>
                <w:sz w:val="18"/>
                <w:szCs w:val="18"/>
              </w:rPr>
              <w:t>限公司；深圳树泰 科技有限公司；湖 北盛木科技有限公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、不存在因涉嫌本次重大资产重组相关的内幕交易被立案调查或者立案侦查的情形。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、最</w:t>
            </w:r>
          </w:p>
          <w:p>
            <w:pPr>
              <w:pStyle w:val="TableParagraph"/>
              <w:spacing w:line="232" w:lineRule="auto"/>
              <w:ind w:left="23" w:right="22"/>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个月不存在因与重大资产重组相关的内幕交易被中国证券监督管理委员会作出行政处 </w:t>
            </w:r>
            <w:r>
              <w:rPr>
                <w:rFonts w:ascii="宋体" w:hAnsi="宋体" w:cs="宋体" w:eastAsia="宋体" w:hint="default"/>
                <w:spacing w:val="-1"/>
                <w:sz w:val="18"/>
                <w:szCs w:val="18"/>
              </w:rPr>
              <w:t>罚或者司法机关依法追究刑事责任的情形。本公司或控制的企业若违反上述承诺，本公司将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承担因此而给神州易桥造成的一切损失。</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司；深圳德木实业</w:t>
            </w: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944"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董维；郝纯；孔德 莉；张斌；赵侠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、本次交易的信息披露和申请文件不存在虚假记载、误导性陈述或者重大遗漏；</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、向本</w:t>
            </w:r>
          </w:p>
          <w:p>
            <w:pPr>
              <w:pStyle w:val="TableParagraph"/>
              <w:spacing w:line="237" w:lineRule="auto"/>
              <w:ind w:left="23" w:right="22"/>
              <w:jc w:val="both"/>
              <w:rPr>
                <w:rFonts w:ascii="宋体" w:hAnsi="宋体" w:cs="宋体" w:eastAsia="宋体" w:hint="default"/>
                <w:sz w:val="18"/>
                <w:szCs w:val="18"/>
              </w:rPr>
            </w:pPr>
            <w:r>
              <w:rPr>
                <w:rFonts w:ascii="宋体" w:hAnsi="宋体" w:cs="宋体" w:eastAsia="宋体" w:hint="default"/>
                <w:spacing w:val="-1"/>
                <w:sz w:val="18"/>
                <w:szCs w:val="18"/>
              </w:rPr>
              <w:t>次交易的各中介机构所提供的资料均为真实、准确、完整的原始书面资料或副本资料，资料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副本或复印件与其原始资料或原件一致；所有文件的签名、印章均是真实的，不存在任何虚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假记载、误导性陈述或者重大遗漏。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94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董维；郝纯；孔德 莉；张斌；赵侠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、最近五年内，本人未因涉嫌犯罪被司法机关立案侦查或涉嫌违法违规被中国证券监督管</w:t>
            </w:r>
          </w:p>
          <w:p>
            <w:pPr>
              <w:pStyle w:val="TableParagraph"/>
              <w:spacing w:line="225" w:lineRule="auto" w:before="4"/>
              <w:ind w:left="23" w:right="22"/>
              <w:jc w:val="both"/>
              <w:rPr>
                <w:rFonts w:ascii="宋体" w:hAnsi="宋体" w:cs="宋体" w:eastAsia="宋体" w:hint="default"/>
                <w:sz w:val="18"/>
                <w:szCs w:val="18"/>
              </w:rPr>
            </w:pPr>
            <w:r>
              <w:rPr>
                <w:rFonts w:ascii="宋体" w:hAnsi="宋体" w:cs="宋体" w:eastAsia="宋体" w:hint="default"/>
                <w:spacing w:val="-3"/>
                <w:sz w:val="18"/>
                <w:szCs w:val="18"/>
              </w:rPr>
              <w:t>理委员会（以下简称“中国证监会”）立案调查，不存在行政处罚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与证券市场明显无关的除</w:t>
            </w:r>
            <w:r>
              <w:rPr>
                <w:rFonts w:ascii="宋体" w:hAnsi="宋体" w:cs="宋体" w:eastAsia="宋体" w:hint="default"/>
                <w:spacing w:val="-59"/>
                <w:sz w:val="18"/>
                <w:szCs w:val="18"/>
              </w:rPr>
              <w:t> </w:t>
            </w:r>
            <w:r>
              <w:rPr>
                <w:rFonts w:ascii="宋体" w:hAnsi="宋体" w:cs="宋体" w:eastAsia="宋体" w:hint="default"/>
                <w:spacing w:val="-2"/>
                <w:sz w:val="18"/>
                <w:szCs w:val="18"/>
              </w:rPr>
              <w:t>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或者刑事处罚的情形，亦不存在重大违法违规行为或损害投资者合法权益和社会公共利益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的不诚信行为。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、最近五年内，本人不存在未按期偿还大额债务、未履行承诺、或被中国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bl>
    <w:p>
      <w:pPr>
        <w:spacing w:after="0" w:line="237" w:lineRule="auto"/>
        <w:jc w:val="both"/>
        <w:rPr>
          <w:rFonts w:ascii="宋体" w:hAnsi="宋体" w:cs="宋体" w:eastAsia="宋体" w:hint="default"/>
          <w:sz w:val="18"/>
          <w:szCs w:val="18"/>
        </w:rPr>
        <w:sectPr>
          <w:pgSz w:w="16840" w:h="11910" w:orient="landscape"/>
          <w:pgMar w:header="868" w:footer="978" w:top="1060" w:bottom="1160" w:left="1000" w:right="1000"/>
        </w:sectPr>
      </w:pPr>
    </w:p>
    <w:p>
      <w:pPr>
        <w:spacing w:line="240" w:lineRule="auto" w:before="1"/>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59"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vMerge w:val="restart"/>
            <w:tcBorders>
              <w:top w:val="single" w:sz="16" w:space="0" w:color="000000"/>
              <w:left w:val="single" w:sz="4" w:space="0" w:color="000000"/>
              <w:right w:val="single" w:sz="4" w:space="0" w:color="000000"/>
            </w:tcBorders>
          </w:tcPr>
          <w:p>
            <w:pPr/>
          </w:p>
        </w:tc>
        <w:tc>
          <w:tcPr>
            <w:tcW w:w="1126" w:type="dxa"/>
            <w:vMerge w:val="restart"/>
            <w:tcBorders>
              <w:top w:val="single" w:sz="16" w:space="0" w:color="000000"/>
              <w:left w:val="single" w:sz="4" w:space="0" w:color="000000"/>
              <w:right w:val="single" w:sz="4" w:space="0" w:color="000000"/>
            </w:tcBorders>
          </w:tcPr>
          <w:p>
            <w:pPr/>
          </w:p>
        </w:tc>
        <w:tc>
          <w:tcPr>
            <w:tcW w:w="7246" w:type="dxa"/>
            <w:tcBorders>
              <w:top w:val="single" w:sz="16" w:space="0" w:color="000000"/>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证监会采取行政监管措施或受到证券交易所纪律处分的情况。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、本人及本人控制的其他企</w:t>
            </w:r>
          </w:p>
        </w:tc>
        <w:tc>
          <w:tcPr>
            <w:tcW w:w="851" w:type="dxa"/>
            <w:vMerge w:val="restart"/>
            <w:tcBorders>
              <w:top w:val="single" w:sz="16" w:space="0" w:color="000000"/>
              <w:left w:val="single" w:sz="4" w:space="0" w:color="000000"/>
              <w:right w:val="single" w:sz="4" w:space="0" w:color="000000"/>
            </w:tcBorders>
          </w:tcPr>
          <w:p>
            <w:pPr/>
          </w:p>
        </w:tc>
        <w:tc>
          <w:tcPr>
            <w:tcW w:w="859" w:type="dxa"/>
            <w:vMerge w:val="restart"/>
            <w:tcBorders>
              <w:top w:val="single" w:sz="16" w:space="0" w:color="000000"/>
              <w:left w:val="single" w:sz="4" w:space="0" w:color="000000"/>
              <w:right w:val="single" w:sz="4" w:space="0" w:color="000000"/>
            </w:tcBorders>
          </w:tcPr>
          <w:p>
            <w:pPr/>
          </w:p>
        </w:tc>
        <w:tc>
          <w:tcPr>
            <w:tcW w:w="1731" w:type="dxa"/>
            <w:vMerge w:val="restart"/>
            <w:tcBorders>
              <w:top w:val="single" w:sz="16" w:space="0" w:color="000000"/>
              <w:left w:val="single" w:sz="4" w:space="0" w:color="000000"/>
              <w:right w:val="single" w:sz="4" w:space="0" w:color="000000"/>
            </w:tcBorders>
          </w:tcPr>
          <w:p>
            <w:pPr/>
          </w:p>
        </w:tc>
      </w:tr>
      <w:tr>
        <w:trPr>
          <w:trHeight w:val="228" w:hRule="exact"/>
        </w:trPr>
        <w:tc>
          <w:tcPr>
            <w:tcW w:w="124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业均不存在因涉嫌与重大资产重组相关的内幕交易被立案调查或者立案侦查且尚未责任认</w:t>
            </w: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定的情形，也不存在最近五年内被中国证监会行政处罚或司法机关依法追究刑事责任的情</w:t>
            </w:r>
          </w:p>
        </w:tc>
        <w:tc>
          <w:tcPr>
            <w:tcW w:w="851"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形。</w:t>
            </w:r>
          </w:p>
        </w:tc>
        <w:tc>
          <w:tcPr>
            <w:tcW w:w="851"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r>
      <w:tr>
        <w:trPr>
          <w:trHeight w:val="944"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董维；郝纯；孔德 莉；张斌；赵侠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、不存在因涉嫌本次重大资产重组相关的内幕交易被立案调查或者立案侦查的情形。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、最</w:t>
            </w:r>
          </w:p>
          <w:p>
            <w:pPr>
              <w:pStyle w:val="TableParagraph"/>
              <w:spacing w:line="232" w:lineRule="auto"/>
              <w:ind w:left="23" w:right="22"/>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个月不存在因与重大资产重组相关的内幕交易被中国证券监督管理委员会作出行政处 </w:t>
            </w:r>
            <w:r>
              <w:rPr>
                <w:rFonts w:ascii="宋体" w:hAnsi="宋体" w:cs="宋体" w:eastAsia="宋体" w:hint="default"/>
                <w:spacing w:val="-1"/>
                <w:sz w:val="18"/>
                <w:szCs w:val="18"/>
              </w:rPr>
              <w:t>罚或者司法机关依法追究刑事责任的情形。本人控制的企业若违反上述承诺，本人将承担因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此而给神州易桥造成的一切损失。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242"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、在参与本次交易期间，本公司将依照相关法律、法规、规章、中国证券监督管理委员会</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2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和深圳证券交易所的有关规定，及时披露有关本次重大资产出售的信息，并保证该等信息的</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真实性、准确性和完整性，保证该等信息不存在虚假记载、误导性陈述或者重大遗漏。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69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2" w:lineRule="exact" w:before="107"/>
              <w:ind w:left="23" w:right="84"/>
              <w:jc w:val="left"/>
              <w:rPr>
                <w:rFonts w:ascii="宋体" w:hAnsi="宋体" w:cs="宋体" w:eastAsia="宋体" w:hint="default"/>
                <w:sz w:val="18"/>
                <w:szCs w:val="18"/>
              </w:rPr>
            </w:pPr>
            <w:r>
              <w:rPr>
                <w:rFonts w:ascii="宋体" w:hAnsi="宋体" w:cs="宋体" w:eastAsia="宋体" w:hint="default"/>
                <w:sz w:val="18"/>
                <w:szCs w:val="18"/>
              </w:rPr>
              <w:t>神州易桥信息服务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本公司向本次交易的各中介机构所提供的资料均为真实、准确、完整的原始书面资料或副本</w:t>
            </w:r>
          </w:p>
          <w:p>
            <w:pPr>
              <w:pStyle w:val="TableParagraph"/>
              <w:spacing w:line="240" w:lineRule="auto"/>
              <w:ind w:left="23" w:right="10"/>
              <w:jc w:val="left"/>
              <w:rPr>
                <w:rFonts w:ascii="宋体" w:hAnsi="宋体" w:cs="宋体" w:eastAsia="宋体" w:hint="default"/>
                <w:sz w:val="18"/>
                <w:szCs w:val="18"/>
              </w:rPr>
            </w:pPr>
            <w:r>
              <w:rPr>
                <w:rFonts w:ascii="宋体" w:hAnsi="宋体" w:cs="宋体" w:eastAsia="宋体" w:hint="default"/>
                <w:sz w:val="18"/>
                <w:szCs w:val="18"/>
              </w:rPr>
              <w:t>资料，资料的副本或复印件与其原始资料或原件一致。所有文件的签名、印章均是真实的， 不存在任何虚假记载、误导性陈述或者重大遗漏，并对所提供资料的真实性、准确性和完整</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8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8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不存在违背该承诺的 情形。</w:t>
            </w: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性承担责任。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、本公司为本次交易所出具的说明、承诺及确认均为真实、准确和完整的，</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不存在任何虚假记载、误导性陈述或者重大遗漏。本公司对所提供信息的真实性、准确性和</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完整性承担个别和连带的法律责任。</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711"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84"/>
              <w:jc w:val="left"/>
              <w:rPr>
                <w:rFonts w:ascii="宋体" w:hAnsi="宋体" w:cs="宋体" w:eastAsia="宋体" w:hint="default"/>
                <w:sz w:val="18"/>
                <w:szCs w:val="18"/>
              </w:rPr>
            </w:pPr>
            <w:r>
              <w:rPr>
                <w:rFonts w:ascii="宋体" w:hAnsi="宋体" w:cs="宋体" w:eastAsia="宋体" w:hint="default"/>
                <w:sz w:val="18"/>
                <w:szCs w:val="18"/>
              </w:rPr>
              <w:t>神州易桥信息服务 股份有限公司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、不存在因涉嫌本次重大资产重组相关的内幕交易被立案调查或者立案侦查的情形。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、最</w:t>
            </w:r>
          </w:p>
          <w:p>
            <w:pPr>
              <w:pStyle w:val="TableParagraph"/>
              <w:spacing w:line="232" w:lineRule="exact" w:before="16"/>
              <w:ind w:left="23" w:right="101"/>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个月不存在因与重大资产重组相关的内幕交易被中国证券监督管理委员会作出行政处 罚或者司法机关依法追究刑事责任的情形。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不存在违背该承诺的 情形。</w:t>
            </w:r>
          </w:p>
        </w:tc>
      </w:tr>
      <w:tr>
        <w:trPr>
          <w:trHeight w:val="343"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、本公司真实持有标的公司的股权，本公司已依法履行全部出资义务，该等股权所对应的</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注册资本均已按时足额出资到位，本公司依法享有该等股权的全部法律权益。本公司所持有</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705"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3" w:right="84"/>
              <w:jc w:val="left"/>
              <w:rPr>
                <w:rFonts w:ascii="宋体" w:hAnsi="宋体" w:cs="宋体" w:eastAsia="宋体" w:hint="default"/>
                <w:sz w:val="18"/>
                <w:szCs w:val="18"/>
              </w:rPr>
            </w:pPr>
            <w:r>
              <w:rPr>
                <w:rFonts w:ascii="宋体" w:hAnsi="宋体" w:cs="宋体" w:eastAsia="宋体" w:hint="default"/>
                <w:sz w:val="18"/>
                <w:szCs w:val="18"/>
              </w:rPr>
              <w:t>神州易桥信息服务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的该等股权资产权属清晰，不存在任何权属纠纷，亦不存在其他法律纠纷，不存在质押、抵</w:t>
            </w:r>
          </w:p>
          <w:p>
            <w:pPr>
              <w:pStyle w:val="TableParagraph"/>
              <w:spacing w:line="240" w:lineRule="auto"/>
              <w:ind w:left="23" w:right="22"/>
              <w:jc w:val="left"/>
              <w:rPr>
                <w:rFonts w:ascii="宋体" w:hAnsi="宋体" w:cs="宋体" w:eastAsia="宋体" w:hint="default"/>
                <w:sz w:val="18"/>
                <w:szCs w:val="18"/>
              </w:rPr>
            </w:pPr>
            <w:r>
              <w:rPr>
                <w:rFonts w:ascii="宋体" w:hAnsi="宋体" w:cs="宋体" w:eastAsia="宋体" w:hint="default"/>
                <w:spacing w:val="-1"/>
                <w:sz w:val="18"/>
                <w:szCs w:val="18"/>
              </w:rPr>
              <w:t>押、其他担保或第三方权益或限制情形，也不存在法院或其他有权机关冻结、查封、拍卖本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公司持有该等股权之情形。本公司持有的该等股权过户或者转移不存在法律障碍。</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w:t>
            </w: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不存在违背该承诺的 情形。</w:t>
            </w: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承诺函出具日，标的公司不存在影响其合法存续的情况，不存在尚未了结的或可预见的影响</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341"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本次交易的诉讼、仲裁或行政处罚。</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7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、本公司及现任董事、监事、高级管理人员未因涉嫌犯罪被司法机关立案侦查或涉嫌违法</w:t>
            </w:r>
          </w:p>
        </w:tc>
        <w:tc>
          <w:tcPr>
            <w:tcW w:w="85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31" w:type="dxa"/>
            <w:tcBorders>
              <w:top w:val="single" w:sz="4" w:space="0" w:color="000000"/>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违规被中国证券监督管理委员会（以下简称“中国证监会</w:t>
            </w:r>
            <w:r>
              <w:rPr>
                <w:rFonts w:ascii="宋体" w:hAnsi="宋体" w:cs="宋体" w:eastAsia="宋体" w:hint="default"/>
                <w:spacing w:val="-92"/>
                <w:sz w:val="18"/>
                <w:szCs w:val="18"/>
              </w:rPr>
              <w:t>”</w:t>
            </w:r>
            <w:r>
              <w:rPr>
                <w:rFonts w:ascii="宋体" w:hAnsi="宋体" w:cs="宋体" w:eastAsia="宋体" w:hint="default"/>
                <w:sz w:val="18"/>
                <w:szCs w:val="18"/>
              </w:rPr>
              <w:t>）立案调查，亦不存在重大违法</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违规行为或损害投资者合法权益和社会公共利益的不诚信行为。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、本公司是依法成立并有</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效存续的股份有限公司，具有相关法律、法规、规章及规范性文件规定的签署与本次交易相</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702"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2" w:lineRule="exact" w:before="115"/>
              <w:ind w:left="23" w:right="84"/>
              <w:jc w:val="left"/>
              <w:rPr>
                <w:rFonts w:ascii="宋体" w:hAnsi="宋体" w:cs="宋体" w:eastAsia="宋体" w:hint="default"/>
                <w:sz w:val="18"/>
                <w:szCs w:val="18"/>
              </w:rPr>
            </w:pPr>
            <w:r>
              <w:rPr>
                <w:rFonts w:ascii="宋体" w:hAnsi="宋体" w:cs="宋体" w:eastAsia="宋体" w:hint="default"/>
                <w:sz w:val="18"/>
                <w:szCs w:val="18"/>
              </w:rPr>
              <w:t>神州易桥信息服务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z w:val="18"/>
                <w:szCs w:val="18"/>
              </w:rPr>
              <w:t>关的各项承诺、协议并享有、履行相应权利、义务的合法主体资格。</w:t>
            </w:r>
            <w:r>
              <w:rPr>
                <w:rFonts w:ascii="Times New Roman" w:hAnsi="Times New Roman" w:cs="Times New Roman" w:eastAsia="Times New Roman" w:hint="default"/>
                <w:sz w:val="18"/>
                <w:szCs w:val="18"/>
              </w:rPr>
              <w:t>3</w:t>
            </w:r>
            <w:r>
              <w:rPr>
                <w:rFonts w:ascii="宋体" w:hAnsi="宋体" w:cs="宋体" w:eastAsia="宋体" w:hint="default"/>
                <w:sz w:val="18"/>
                <w:szCs w:val="18"/>
              </w:rPr>
              <w:t>、最近三年，公司合</w:t>
            </w:r>
          </w:p>
          <w:p>
            <w:pPr>
              <w:pStyle w:val="TableParagraph"/>
              <w:spacing w:line="232" w:lineRule="exact" w:before="17"/>
              <w:ind w:left="23" w:right="22"/>
              <w:jc w:val="left"/>
              <w:rPr>
                <w:rFonts w:ascii="宋体" w:hAnsi="宋体" w:cs="宋体" w:eastAsia="宋体" w:hint="default"/>
                <w:sz w:val="18"/>
                <w:szCs w:val="18"/>
              </w:rPr>
            </w:pPr>
            <w:r>
              <w:rPr>
                <w:rFonts w:ascii="宋体" w:hAnsi="宋体" w:cs="宋体" w:eastAsia="宋体" w:hint="default"/>
                <w:spacing w:val="-1"/>
                <w:sz w:val="18"/>
                <w:szCs w:val="18"/>
              </w:rPr>
              <w:t>法开展生产经营活动，不存在重大违法违规事项，现时不存在因营业期限届满、股东大会决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议、合并或分立等事项应予解散的情形，不存在因不能清偿到期债务依法宣告破产、违反法</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1" w:lineRule="exact"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1" w:lineRule="exact" w:before="9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w:t>
            </w:r>
          </w:p>
          <w:p>
            <w:pPr>
              <w:pStyle w:val="TableParagraph"/>
              <w:spacing w:line="232" w:lineRule="exact" w:before="23"/>
              <w:ind w:left="22" w:right="77"/>
              <w:jc w:val="left"/>
              <w:rPr>
                <w:rFonts w:ascii="宋体" w:hAnsi="宋体" w:cs="宋体" w:eastAsia="宋体" w:hint="default"/>
                <w:sz w:val="18"/>
                <w:szCs w:val="18"/>
              </w:rPr>
            </w:pPr>
            <w:r>
              <w:rPr>
                <w:rFonts w:ascii="宋体" w:hAnsi="宋体" w:cs="宋体" w:eastAsia="宋体" w:hint="default"/>
                <w:sz w:val="18"/>
                <w:szCs w:val="18"/>
              </w:rPr>
              <w:t>不存在违背该承诺的 情形。</w:t>
            </w:r>
          </w:p>
        </w:tc>
      </w:tr>
      <w:tr>
        <w:trPr>
          <w:trHeight w:val="234"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律法规被依法吊销营业执照、责令关闭或者被撤销等事项应予终止的情形，不存在影响公司</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合法存续、正常经营的其他情形。</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、本公司、本公司控股股东及其控制的其他企业均不存</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1244"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724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在因涉嫌与重大资产重组相关的内幕交易被立案调查或者立案侦查且尚未责任认定的情形，</w:t>
            </w:r>
          </w:p>
        </w:tc>
        <w:tc>
          <w:tcPr>
            <w:tcW w:w="85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72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也不存在最近三年内被中国证监会行政处罚或司法机关依法追究刑事责任的情形。</w:t>
            </w:r>
          </w:p>
        </w:tc>
        <w:tc>
          <w:tcPr>
            <w:tcW w:w="85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3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00" w:right="1000"/>
        </w:sectPr>
      </w:pPr>
    </w:p>
    <w:p>
      <w:pPr>
        <w:spacing w:line="240" w:lineRule="auto" w:before="1"/>
        <w:rPr>
          <w:rFonts w:ascii="Times New Roman" w:hAnsi="Times New Roman" w:cs="Times New Roman" w:eastAsia="Times New Roman" w:hint="default"/>
          <w:sz w:val="3"/>
          <w:szCs w:val="3"/>
        </w:rPr>
      </w:pPr>
      <w:r>
        <w:rPr/>
        <w:pict>
          <v:shape style="position:absolute;margin-left:189.839996pt;margin-top:57.099987pt;width:62.1pt;height:114.1pt;mso-position-horizontal-relative:page;mso-position-vertical-relative:page;z-index:-1013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2"/>
                    <w:ind w:left="0" w:right="0"/>
                    <w:jc w:val="left"/>
                  </w:pPr>
                  <w:r>
                    <w:rPr/>
                    <w:t>；</w:t>
                  </w: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shape style="position:absolute;margin-left:608.400024pt;margin-top:57.099987pt;width:48.35pt;height:114.1pt;mso-position-horizontal-relative:page;mso-position-vertical-relative:page;z-index:-1013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2"/>
                    <w:ind w:left="0" w:right="0"/>
                    <w:jc w:val="left"/>
                  </w:pPr>
                  <w:r>
                    <w:rPr/>
                    <w:t>，</w:t>
                  </w:r>
                </w:p>
              </w:txbxContent>
            </v:textbox>
            <w10:wrap type="none"/>
          </v:shape>
        </w:pict>
      </w:r>
      <w:r>
        <w:rPr/>
        <w:pict>
          <v:shape style="position:absolute;margin-left:189.839996pt;margin-top:171.599991pt;width:62.1pt;height:58.45pt;mso-position-horizontal-relative:page;mso-position-vertical-relative:page;z-index:-1013368" type="#_x0000_t202" filled="false" stroked="false">
            <v:textbox inset="0,0,0,0">
              <w:txbxContent>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t>；</w:t>
                  </w: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group style="position:absolute;margin-left:195.850006pt;margin-top:57.099987pt;width:56.05pt;height:173.1pt;mso-position-horizontal-relative:page;mso-position-vertical-relative:page;z-index:-1013344" coordorigin="3917,1142" coordsize="1121,3462">
            <v:group style="position:absolute;left:3917;top:1142;width:1121;height:2285" coordorigin="3917,1142" coordsize="1121,2285">
              <v:shape style="position:absolute;left:3917;top:1142;width:1121;height:2285" coordorigin="3917,1142" coordsize="1121,2285" path="m3917,1142l5038,1142,5038,3427,3917,3427,3917,1142xe" filled="true" fillcolor="#ffffff" stroked="false">
                <v:path arrowok="t"/>
                <v:fill type="solid"/>
              </v:shape>
            </v:group>
            <v:group style="position:absolute;left:3917;top:3432;width:1121;height:1172" coordorigin="3917,3432" coordsize="1121,1172">
              <v:shape style="position:absolute;left:3917;top:3432;width:1121;height:1172" coordorigin="3917,3432" coordsize="1121,1172" path="m3917,3432l5038,3432,5038,4604,3917,4604,3917,3432xe" filled="true" fillcolor="#ffffff" stroked="false">
                <v:path arrowok="t"/>
                <v:fill type="solid"/>
              </v:shape>
            </v:group>
            <w10:wrap type="none"/>
          </v:group>
        </w:pict>
      </w:r>
      <w:r>
        <w:rPr/>
        <w:pict>
          <v:group style="position:absolute;margin-left:614.450012pt;margin-top:57.099987pt;width:42.3pt;height:114.25pt;mso-position-horizontal-relative:page;mso-position-vertical-relative:page;z-index:-1013320" coordorigin="12289,1142" coordsize="846,2285">
            <v:shape style="position:absolute;left:12289;top:1142;width:846;height:2285" coordorigin="12289,1142" coordsize="846,2285" path="m12289,1142l13135,1142,13135,3427,12289,3427,12289,1142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44"/>
        <w:gridCol w:w="1559"/>
        <w:gridCol w:w="1126"/>
        <w:gridCol w:w="7246"/>
        <w:gridCol w:w="851"/>
        <w:gridCol w:w="859"/>
        <w:gridCol w:w="1731"/>
      </w:tblGrid>
      <w:tr>
        <w:trPr>
          <w:trHeight w:val="2305" w:hRule="exact"/>
        </w:trPr>
        <w:tc>
          <w:tcPr>
            <w:tcW w:w="1244" w:type="dxa"/>
            <w:vMerge w:val="restart"/>
            <w:tcBorders>
              <w:top w:val="single" w:sz="16" w:space="0" w:color="000000"/>
              <w:left w:val="single" w:sz="4" w:space="0" w:color="000000"/>
              <w:right w:val="single" w:sz="4" w:space="0" w:color="000000"/>
            </w:tcBorders>
            <w:shd w:val="clear" w:color="auto" w:fill="D2D2D2"/>
          </w:tcPr>
          <w:p>
            <w:pP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9"/>
              <w:ind w:left="23" w:right="84"/>
              <w:jc w:val="both"/>
              <w:rPr>
                <w:rFonts w:ascii="宋体" w:hAnsi="宋体" w:cs="宋体" w:eastAsia="宋体" w:hint="default"/>
                <w:sz w:val="18"/>
                <w:szCs w:val="18"/>
              </w:rPr>
            </w:pPr>
            <w:r>
              <w:rPr>
                <w:rFonts w:ascii="宋体" w:hAnsi="宋体" w:cs="宋体" w:eastAsia="宋体" w:hint="default"/>
                <w:sz w:val="18"/>
                <w:szCs w:val="18"/>
              </w:rPr>
              <w:t>彭聪；黄海勇；赵 </w:t>
            </w:r>
            <w:r>
              <w:rPr>
                <w:rFonts w:ascii="宋体" w:hAnsi="宋体" w:cs="宋体" w:eastAsia="宋体" w:hint="default"/>
                <w:spacing w:val="-4"/>
                <w:sz w:val="18"/>
                <w:szCs w:val="18"/>
              </w:rPr>
              <w:t>侠；连杰；俞丽辉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袁军；韩传模；于 </w:t>
            </w:r>
            <w:r>
              <w:rPr>
                <w:rFonts w:ascii="宋体" w:hAnsi="宋体" w:cs="宋体" w:eastAsia="宋体" w:hint="default"/>
                <w:spacing w:val="-4"/>
                <w:sz w:val="18"/>
                <w:szCs w:val="18"/>
              </w:rPr>
              <w:t>秀芳；董维；李弓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华彧民</w:t>
            </w:r>
          </w:p>
        </w:tc>
        <w:tc>
          <w:tcPr>
            <w:tcW w:w="112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16" w:space="0" w:color="000000"/>
              <w:left w:val="single" w:sz="4" w:space="0" w:color="000000"/>
              <w:bottom w:val="single" w:sz="4" w:space="0" w:color="000000"/>
              <w:right w:val="single" w:sz="4" w:space="0" w:color="000000"/>
            </w:tcBorders>
          </w:tcPr>
          <w:p>
            <w:pPr>
              <w:pStyle w:val="TableParagraph"/>
              <w:spacing w:line="232" w:lineRule="auto" w:before="67"/>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、在参与本次交易期间，本人将依照相关法律、法规、规章、中国证券监督管理委员会和 </w:t>
            </w:r>
            <w:r>
              <w:rPr>
                <w:rFonts w:ascii="宋体" w:hAnsi="宋体" w:cs="宋体" w:eastAsia="宋体" w:hint="default"/>
                <w:spacing w:val="-1"/>
                <w:sz w:val="18"/>
                <w:szCs w:val="18"/>
              </w:rPr>
              <w:t>深圳证券交易所的有关规定，及时披露有关本次重大资产出售的信息，并保证该等信息的真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实性、准确性和完整性，保证该等信息不存在虚假记载、误导性陈述或者重大遗漏。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 </w:t>
            </w:r>
            <w:r>
              <w:rPr>
                <w:rFonts w:ascii="宋体" w:hAnsi="宋体" w:cs="宋体" w:eastAsia="宋体" w:hint="default"/>
                <w:spacing w:val="-3"/>
                <w:sz w:val="18"/>
                <w:szCs w:val="18"/>
              </w:rPr>
              <w:t>人向本次交易的各中介机构所提供的资料均为真实、准确、完整的原始书面资料或副本资料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资料的副本或复印件与其原始资料或原件一致。所有文件的签名、印章均是真实的，不存在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任何虚假记载、误导性陈述或者重大遗漏，并对所提供资料的真实性、准确性和完整性承担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、本人为本次交易所出具的说明、承诺及确认均为真实、准确和完整的，不存在任 </w:t>
            </w:r>
            <w:r>
              <w:rPr>
                <w:rFonts w:ascii="宋体" w:hAnsi="宋体" w:cs="宋体" w:eastAsia="宋体" w:hint="default"/>
                <w:spacing w:val="-1"/>
                <w:sz w:val="18"/>
                <w:szCs w:val="18"/>
              </w:rPr>
              <w:t>何虚假记载、误导性陈述或者重大遗漏。本人对所提供信息的真实性、准确性和完整性承担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个别和连带的法律责任。</w:t>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1177" w:hRule="exact"/>
        </w:trPr>
        <w:tc>
          <w:tcPr>
            <w:tcW w:w="1244"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z w:val="18"/>
                <w:szCs w:val="18"/>
              </w:rPr>
              <w:t>彭聪；黄海勇；赵</w:t>
            </w:r>
          </w:p>
          <w:p>
            <w:pPr>
              <w:pStyle w:val="TableParagraph"/>
              <w:spacing w:line="237" w:lineRule="auto"/>
              <w:ind w:left="23" w:right="84"/>
              <w:jc w:val="both"/>
              <w:rPr>
                <w:rFonts w:ascii="宋体" w:hAnsi="宋体" w:cs="宋体" w:eastAsia="宋体" w:hint="default"/>
                <w:sz w:val="18"/>
                <w:szCs w:val="18"/>
              </w:rPr>
            </w:pPr>
            <w:r>
              <w:rPr>
                <w:rFonts w:ascii="宋体" w:hAnsi="宋体" w:cs="宋体" w:eastAsia="宋体" w:hint="default"/>
                <w:spacing w:val="-4"/>
                <w:sz w:val="18"/>
                <w:szCs w:val="18"/>
              </w:rPr>
              <w:t>侠；连杰；俞丽辉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袁军；韩传模；于 </w:t>
            </w:r>
            <w:r>
              <w:rPr>
                <w:rFonts w:ascii="宋体" w:hAnsi="宋体" w:cs="宋体" w:eastAsia="宋体" w:hint="default"/>
                <w:spacing w:val="-4"/>
                <w:sz w:val="18"/>
                <w:szCs w:val="18"/>
              </w:rPr>
              <w:t>秀芳；董维；李弓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华彧民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3"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、不存在因涉嫌本次重大资产重组相关的内幕交易被立案调查或者立案侦查的情形。</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个月不存在因与重大资产重组相关的内幕交易被中国证券监督管理委员会作出行政处 </w:t>
            </w:r>
            <w:r>
              <w:rPr>
                <w:rFonts w:ascii="宋体" w:hAnsi="宋体" w:cs="宋体" w:eastAsia="宋体" w:hint="default"/>
                <w:spacing w:val="-1"/>
                <w:sz w:val="18"/>
                <w:szCs w:val="18"/>
              </w:rPr>
              <w:t>罚或者司法机关依法追究刑事责任的情形。本人或控制的企业若违反上述承诺，本人将承担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因此而给神州易桥造成的一切损失。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2111"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、在参与本次交易期间，本公司将依照相关法律、法规、规章、中国证券监督管理委员会</w:t>
            </w:r>
          </w:p>
          <w:p>
            <w:pPr>
              <w:pStyle w:val="TableParagraph"/>
              <w:spacing w:line="235" w:lineRule="auto"/>
              <w:ind w:left="23" w:right="10"/>
              <w:jc w:val="left"/>
              <w:rPr>
                <w:rFonts w:ascii="宋体" w:hAnsi="宋体" w:cs="宋体" w:eastAsia="宋体" w:hint="default"/>
                <w:sz w:val="18"/>
                <w:szCs w:val="18"/>
              </w:rPr>
            </w:pPr>
            <w:r>
              <w:rPr>
                <w:rFonts w:ascii="宋体" w:hAnsi="宋体" w:cs="宋体" w:eastAsia="宋体" w:hint="default"/>
                <w:sz w:val="18"/>
                <w:szCs w:val="18"/>
              </w:rPr>
              <w:t>和深圳证券交易所的有关规定，及时披露有关本次重大资产出售的信息，并保证该等信息的 真实性、准确性和完整性，保证该等信息不存在虚假记载、误导性陈述或者重大遗漏。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本公司向本次交易的各中介机构所提供的资料均为真实、准确、完整的原始书面资料或副本 资料，资料的副本或复印件与其原始资料或原件一致。所有文件的签名、印章均是真实的， 不存在任何虚假记载、误导性陈述或者重大遗漏，并对所提供资料的真实性、准确性和完整 性承担责任。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、本公司为本次交易所出具的说明、承诺及确认均为真实、准确和完整的， 不存在任何虚假记载、误导性陈述或者重大遗漏。公司对所提供信息的真实性、准确性和完 整性承担个别和连带的法律责任。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exact"/>
              <w:ind w:left="22" w:right="77"/>
              <w:jc w:val="both"/>
              <w:rPr>
                <w:rFonts w:ascii="宋体" w:hAnsi="宋体" w:cs="宋体" w:eastAsia="宋体" w:hint="default"/>
                <w:sz w:val="18"/>
                <w:szCs w:val="18"/>
              </w:rPr>
            </w:pPr>
            <w:r>
              <w:rPr>
                <w:rFonts w:ascii="宋体" w:hAnsi="宋体" w:cs="宋体" w:eastAsia="宋体" w:hint="default"/>
                <w:sz w:val="18"/>
                <w:szCs w:val="18"/>
              </w:rPr>
              <w:t>该承诺已履行完毕， 不存在违背该承诺的 情形。</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p>
            <w:pPr>
              <w:pStyle w:val="TableParagraph"/>
              <w:spacing w:line="232" w:lineRule="exact" w:before="23"/>
              <w:ind w:left="24" w:right="128"/>
              <w:jc w:val="left"/>
              <w:rPr>
                <w:rFonts w:ascii="宋体" w:hAnsi="宋体" w:cs="宋体" w:eastAsia="宋体" w:hint="default"/>
                <w:sz w:val="18"/>
                <w:szCs w:val="18"/>
              </w:rPr>
            </w:pPr>
            <w:r>
              <w:rPr>
                <w:rFonts w:ascii="宋体" w:hAnsi="宋体" w:cs="宋体" w:eastAsia="宋体" w:hint="default"/>
                <w:sz w:val="18"/>
                <w:szCs w:val="18"/>
              </w:rPr>
              <w:t>或再融资时所 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72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72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11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陈颖；陈勇；谢鹏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2" w:lineRule="exact"/>
              <w:ind w:left="21" w:right="192"/>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7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陈颖、陈勇、谢鹏承诺，广州网融信息技术有限公司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年度以及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年度承</w:t>
            </w:r>
          </w:p>
          <w:p>
            <w:pPr>
              <w:pStyle w:val="TableParagraph"/>
              <w:spacing w:line="232" w:lineRule="exact" w:before="16"/>
              <w:ind w:left="23" w:right="22"/>
              <w:jc w:val="left"/>
              <w:rPr>
                <w:rFonts w:ascii="宋体" w:hAnsi="宋体" w:cs="宋体" w:eastAsia="宋体" w:hint="default"/>
                <w:sz w:val="18"/>
                <w:szCs w:val="18"/>
              </w:rPr>
            </w:pPr>
            <w:r>
              <w:rPr>
                <w:rFonts w:ascii="宋体" w:hAnsi="宋体" w:cs="宋体" w:eastAsia="宋体" w:hint="default"/>
                <w:sz w:val="18"/>
                <w:szCs w:val="18"/>
              </w:rPr>
              <w:t>诺扣非净利润分别不低于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万元。上述承诺扣非净利润均不低 于《资产评估报告》中所确定的相应年度盈利预测净利润。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根据天职国际会计师</w:t>
            </w:r>
          </w:p>
          <w:p>
            <w:pPr>
              <w:pStyle w:val="TableParagraph"/>
              <w:spacing w:line="232" w:lineRule="exact" w:before="23"/>
              <w:ind w:left="22" w:right="77"/>
              <w:jc w:val="both"/>
              <w:rPr>
                <w:rFonts w:ascii="宋体" w:hAnsi="宋体" w:cs="宋体" w:eastAsia="宋体" w:hint="default"/>
                <w:sz w:val="18"/>
                <w:szCs w:val="18"/>
              </w:rPr>
            </w:pPr>
            <w:r>
              <w:rPr>
                <w:rFonts w:ascii="宋体" w:hAnsi="宋体" w:cs="宋体" w:eastAsia="宋体" w:hint="default"/>
                <w:sz w:val="18"/>
                <w:szCs w:val="18"/>
              </w:rPr>
              <w:t>事务所（特殊普通合 伙）出具的天职业字</w:t>
            </w:r>
          </w:p>
          <w:p>
            <w:pPr>
              <w:pStyle w:val="TableParagraph"/>
              <w:spacing w:line="232" w:lineRule="exact" w:before="3"/>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6368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号审计 报告，补偿义务人完</w:t>
            </w:r>
          </w:p>
          <w:p>
            <w:pPr>
              <w:pStyle w:val="TableParagraph"/>
              <w:spacing w:line="232" w:lineRule="exact" w:before="3"/>
              <w:ind w:left="22" w:right="21"/>
              <w:jc w:val="both"/>
              <w:rPr>
                <w:rFonts w:ascii="宋体" w:hAnsi="宋体" w:cs="宋体" w:eastAsia="宋体" w:hint="default"/>
                <w:sz w:val="18"/>
                <w:szCs w:val="18"/>
              </w:rPr>
            </w:pPr>
            <w:r>
              <w:rPr>
                <w:rFonts w:ascii="宋体" w:hAnsi="宋体" w:cs="宋体" w:eastAsia="宋体" w:hint="default"/>
                <w:sz w:val="18"/>
                <w:szCs w:val="18"/>
              </w:rPr>
              <w:t>成了</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年度承诺的 业绩。其他承诺正在 履行期内，不存在违 背该承诺的情形。</w:t>
            </w:r>
          </w:p>
        </w:tc>
      </w:tr>
      <w:tr>
        <w:trPr>
          <w:trHeight w:val="477"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承诺是否按时</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133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00" w:right="1000"/>
        </w:sectPr>
      </w:pPr>
    </w:p>
    <w:p>
      <w:pPr>
        <w:spacing w:line="240" w:lineRule="auto" w:before="1"/>
        <w:rPr>
          <w:rFonts w:ascii="Times New Roman" w:hAnsi="Times New Roman" w:cs="Times New Roman" w:eastAsia="Times New Roman" w:hint="default"/>
          <w:sz w:val="3"/>
          <w:szCs w:val="3"/>
        </w:rPr>
      </w:pPr>
    </w:p>
    <w:p>
      <w:pPr>
        <w:spacing w:line="20" w:lineRule="exact"/>
        <w:ind w:left="4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42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4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68"/>
        <w:gridCol w:w="1179"/>
        <w:gridCol w:w="1181"/>
        <w:gridCol w:w="1180"/>
        <w:gridCol w:w="1180"/>
        <w:gridCol w:w="1180"/>
        <w:gridCol w:w="1182"/>
        <w:gridCol w:w="5201"/>
      </w:tblGrid>
      <w:tr>
        <w:trPr>
          <w:trHeight w:val="55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45" w:right="4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495" w:right="43"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5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55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73"/>
              <w:jc w:val="left"/>
              <w:rPr>
                <w:rFonts w:ascii="宋体" w:hAnsi="宋体" w:cs="宋体" w:eastAsia="宋体" w:hint="default"/>
                <w:sz w:val="18"/>
                <w:szCs w:val="18"/>
              </w:rPr>
            </w:pPr>
            <w:r>
              <w:rPr>
                <w:rFonts w:ascii="宋体" w:hAnsi="宋体" w:cs="宋体" w:eastAsia="宋体" w:hint="default"/>
                <w:sz w:val="18"/>
                <w:szCs w:val="18"/>
              </w:rPr>
              <w:t>神州易桥（北京）财税科技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2" w:right="0"/>
              <w:jc w:val="left"/>
              <w:rPr>
                <w:rFonts w:ascii="Times New Roman" w:hAnsi="Times New Roman" w:cs="Times New Roman" w:eastAsia="Times New Roman" w:hint="default"/>
                <w:sz w:val="18"/>
                <w:szCs w:val="18"/>
              </w:rPr>
            </w:pPr>
            <w:r>
              <w:rPr>
                <w:rFonts w:ascii="Times New Roman"/>
                <w:sz w:val="18"/>
              </w:rPr>
              <w:t>9,400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6" w:right="0"/>
              <w:jc w:val="left"/>
              <w:rPr>
                <w:rFonts w:ascii="Times New Roman" w:hAnsi="Times New Roman" w:cs="Times New Roman" w:eastAsia="Times New Roman" w:hint="default"/>
                <w:sz w:val="21"/>
                <w:szCs w:val="21"/>
              </w:rPr>
            </w:pPr>
            <w:r>
              <w:rPr>
                <w:rFonts w:ascii="Times New Roman"/>
                <w:sz w:val="21"/>
              </w:rPr>
              <w:t>11,969.37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日发布《关于资产重组相关方承诺事项的公告》</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26</w:t>
            </w:r>
            <w:r>
              <w:rPr>
                <w:rFonts w:ascii="宋体" w:hAnsi="宋体" w:cs="宋体" w:eastAsia="宋体" w:hint="default"/>
                <w:spacing w:val="-92"/>
                <w:sz w:val="18"/>
                <w:szCs w:val="18"/>
              </w:rPr>
              <w:t>）</w:t>
            </w:r>
            <w:r>
              <w:rPr>
                <w:rFonts w:ascii="宋体" w:hAnsi="宋体" w:cs="宋体" w:eastAsia="宋体" w:hint="default"/>
                <w:sz w:val="18"/>
                <w:szCs w:val="18"/>
              </w:rPr>
              <w:t>，刊载于巨潮资讯网</w:t>
            </w:r>
          </w:p>
        </w:tc>
      </w:tr>
    </w:tbl>
    <w:p>
      <w:pPr>
        <w:pStyle w:val="BodyText"/>
        <w:spacing w:line="240" w:lineRule="auto" w:before="10"/>
        <w:ind w:left="420" w:right="0"/>
        <w:jc w:val="left"/>
      </w:pPr>
      <w:r>
        <w:rPr/>
        <w:t>公司股东、交易对手方在报告年度经营业绩做出的承诺情况</w:t>
      </w:r>
    </w:p>
    <w:p>
      <w:pPr>
        <w:pStyle w:val="BodyText"/>
        <w:spacing w:line="240" w:lineRule="auto" w:before="40"/>
        <w:ind w:left="4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1" w:lineRule="exact" w:before="22"/>
        <w:ind w:left="420" w:right="0"/>
        <w:jc w:val="left"/>
      </w:pPr>
      <w:r>
        <w:rPr/>
        <w:t>彭聪、百达永信（北京）投资有限公司、新疆泰达新源股权投资有限公司作为业绩承诺人，承诺重大资产重组实施完毕后，易桥财税科技在 </w:t>
      </w:r>
      <w:r>
        <w:rPr>
          <w:rFonts w:ascii="Times New Roman" w:hAnsi="Times New Roman" w:cs="Times New Roman" w:eastAsia="Times New Roman" w:hint="default"/>
        </w:rPr>
        <w:t>2016  </w:t>
      </w:r>
      <w:r>
        <w:rPr/>
        <w:t>年度、</w:t>
      </w:r>
      <w:r>
        <w:rPr>
          <w:rFonts w:ascii="Times New Roman" w:hAnsi="Times New Roman" w:cs="Times New Roman" w:eastAsia="Times New Roman" w:hint="default"/>
        </w:rPr>
        <w:t>2017  </w:t>
      </w:r>
      <w:r>
        <w:rPr/>
        <w:t>年度和 </w:t>
      </w:r>
      <w:r>
        <w:rPr>
          <w:rFonts w:ascii="Times New Roman" w:hAnsi="Times New Roman" w:cs="Times New Roman" w:eastAsia="Times New Roman" w:hint="default"/>
        </w:rPr>
        <w:t>2018</w:t>
      </w:r>
      <w:r>
        <w:rPr>
          <w:rFonts w:ascii="Times New Roman" w:hAnsi="Times New Roman" w:cs="Times New Roman" w:eastAsia="Times New Roman" w:hint="default"/>
          <w:spacing w:val="38"/>
        </w:rPr>
        <w:t> </w:t>
      </w:r>
      <w:r>
        <w:rPr/>
        <w:t>年度</w:t>
      </w:r>
    </w:p>
    <w:p>
      <w:pPr>
        <w:pStyle w:val="BodyText"/>
        <w:spacing w:line="234" w:lineRule="exact"/>
        <w:ind w:left="420" w:right="0"/>
        <w:jc w:val="left"/>
        <w:rPr>
          <w:rFonts w:ascii="Times New Roman" w:hAnsi="Times New Roman" w:cs="Times New Roman" w:eastAsia="Times New Roman" w:hint="default"/>
        </w:rPr>
      </w:pPr>
      <w:r>
        <w:rPr/>
        <w:t>预测实现的合并报表范围扣除非经常性损益后归属于母公司所有者的净利润分别不低于 </w:t>
      </w:r>
      <w:r>
        <w:rPr>
          <w:rFonts w:ascii="Times New Roman" w:hAnsi="Times New Roman" w:cs="Times New Roman" w:eastAsia="Times New Roman" w:hint="default"/>
        </w:rPr>
        <w:t>8,000.00  </w:t>
      </w:r>
      <w:r>
        <w:rPr>
          <w:spacing w:val="-6"/>
        </w:rPr>
        <w:t>万元、</w:t>
      </w:r>
      <w:r>
        <w:rPr>
          <w:rFonts w:ascii="Times New Roman" w:hAnsi="Times New Roman" w:cs="Times New Roman" w:eastAsia="Times New Roman" w:hint="default"/>
          <w:spacing w:val="-6"/>
        </w:rPr>
        <w:t>9,400.00  </w:t>
      </w:r>
      <w:r>
        <w:rPr>
          <w:spacing w:val="-5"/>
        </w:rPr>
        <w:t>万元、</w:t>
      </w:r>
      <w:r>
        <w:rPr>
          <w:rFonts w:ascii="Times New Roman" w:hAnsi="Times New Roman" w:cs="Times New Roman" w:eastAsia="Times New Roman" w:hint="default"/>
          <w:spacing w:val="-5"/>
        </w:rPr>
        <w:t>10,700.00  </w:t>
      </w:r>
      <w:r>
        <w:rPr>
          <w:spacing w:val="-4"/>
        </w:rPr>
        <w:t>万元。如本次发行股份购买资产交易未能在</w:t>
      </w:r>
      <w:r>
        <w:rPr>
          <w:spacing w:val="37"/>
        </w:rPr>
        <w:t> </w:t>
      </w:r>
      <w:r>
        <w:rPr>
          <w:rFonts w:ascii="Times New Roman" w:hAnsi="Times New Roman" w:cs="Times New Roman" w:eastAsia="Times New Roman" w:hint="default"/>
        </w:rPr>
        <w:t>2016</w:t>
      </w:r>
    </w:p>
    <w:p>
      <w:pPr>
        <w:pStyle w:val="BodyText"/>
        <w:spacing w:line="242" w:lineRule="exact"/>
        <w:ind w:left="420" w:right="0"/>
        <w:jc w:val="left"/>
      </w:pPr>
      <w:r>
        <w:rPr/>
        <w:t>年内实施完毕，盈利补偿期间则相应往后顺延为 </w:t>
      </w:r>
      <w:r>
        <w:rPr>
          <w:rFonts w:ascii="Times New Roman" w:hAnsi="Times New Roman" w:cs="Times New Roman" w:eastAsia="Times New Roman" w:hint="default"/>
        </w:rPr>
        <w:t>2017  </w:t>
      </w:r>
      <w:r>
        <w:rPr/>
        <w:t>年至 </w:t>
      </w:r>
      <w:r>
        <w:rPr>
          <w:rFonts w:ascii="Times New Roman" w:hAnsi="Times New Roman" w:cs="Times New Roman" w:eastAsia="Times New Roman" w:hint="default"/>
        </w:rPr>
        <w:t>2019  </w:t>
      </w:r>
      <w:r>
        <w:rPr/>
        <w:t>年。其中，</w:t>
      </w:r>
      <w:r>
        <w:rPr>
          <w:rFonts w:ascii="Times New Roman" w:hAnsi="Times New Roman" w:cs="Times New Roman" w:eastAsia="Times New Roman" w:hint="default"/>
        </w:rPr>
        <w:t>2019  </w:t>
      </w:r>
      <w:r>
        <w:rPr/>
        <w:t>年度承诺扣非净利润不低于 </w:t>
      </w:r>
      <w:r>
        <w:rPr>
          <w:rFonts w:ascii="Times New Roman" w:hAnsi="Times New Roman" w:cs="Times New Roman" w:eastAsia="Times New Roman" w:hint="default"/>
        </w:rPr>
        <w:t>11,300</w:t>
      </w:r>
      <w:r>
        <w:rPr>
          <w:rFonts w:ascii="Times New Roman" w:hAnsi="Times New Roman" w:cs="Times New Roman" w:eastAsia="Times New Roman" w:hint="default"/>
          <w:spacing w:val="37"/>
        </w:rPr>
        <w:t> </w:t>
      </w:r>
      <w:r>
        <w:rPr/>
        <w:t>万元。</w:t>
      </w:r>
    </w:p>
    <w:p>
      <w:pPr>
        <w:spacing w:after="0" w:line="242" w:lineRule="exact"/>
        <w:jc w:val="left"/>
        <w:sectPr>
          <w:pgSz w:w="16840" w:h="11910" w:orient="landscape"/>
          <w:pgMar w:header="868"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right="94"/>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3"/>
          <w:szCs w:val="23"/>
        </w:rPr>
      </w:pPr>
    </w:p>
    <w:p>
      <w:pPr>
        <w:pStyle w:val="BodyText"/>
        <w:spacing w:line="264" w:lineRule="auto"/>
        <w:ind w:right="4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10"/>
        <w:rPr>
          <w:rFonts w:ascii="宋体" w:hAnsi="宋体" w:cs="宋体" w:eastAsia="宋体" w:hint="default"/>
          <w:sz w:val="20"/>
          <w:szCs w:val="20"/>
        </w:rPr>
      </w:pPr>
    </w:p>
    <w:p>
      <w:pPr>
        <w:pStyle w:val="Heading2"/>
        <w:spacing w:line="240" w:lineRule="auto"/>
        <w:ind w:right="9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32" w:lineRule="exact" w:before="130"/>
        <w:ind w:right="181" w:firstLine="420"/>
        <w:jc w:val="left"/>
      </w:pPr>
      <w:r>
        <w:rPr>
          <w:spacing w:val="-1"/>
        </w:rPr>
        <w:t>公司于2018年4月12日召开第七届董事会2018年第四次会议，审议通过了《关于会计政策变更的议案》，依据财政部的</w:t>
      </w:r>
      <w:r>
        <w:rPr/>
        <w:t> 最新规定对公司的会计政策进行相应变更，具体如下：</w:t>
      </w:r>
    </w:p>
    <w:p>
      <w:pPr>
        <w:pStyle w:val="BodyText"/>
        <w:spacing w:line="232" w:lineRule="exact" w:before="121"/>
        <w:ind w:right="94" w:firstLine="420"/>
        <w:jc w:val="left"/>
      </w:pPr>
      <w:r>
        <w:rPr/>
        <w:t>1、2017年4月28日，财政部发布了《关于印发&lt;企业会计准则第42号—持有待售的非流动资产、处置组和终止经营&gt;的 通知》（财会[2017]13号），自2017年5月28日起施行。</w:t>
      </w:r>
    </w:p>
    <w:p>
      <w:pPr>
        <w:pStyle w:val="BodyText"/>
        <w:spacing w:line="232" w:lineRule="exact" w:before="53"/>
        <w:ind w:right="94" w:firstLine="420"/>
        <w:jc w:val="left"/>
      </w:pPr>
      <w:r>
        <w:rPr/>
        <w:t>2、2017年5月10日，财政部发布了《关于印发修订&lt;企业会计准则第16号—政府补助&gt;的通知》（财会[2017]15号）， 自2017年6月12日起施行。</w:t>
      </w:r>
    </w:p>
    <w:p>
      <w:pPr>
        <w:pStyle w:val="BodyText"/>
        <w:spacing w:line="232" w:lineRule="exact" w:before="51"/>
        <w:ind w:right="184" w:firstLine="420"/>
        <w:jc w:val="left"/>
      </w:pPr>
      <w:r>
        <w:rPr>
          <w:spacing w:val="-1"/>
        </w:rPr>
        <w:t>3、2017年12月25日，财政部发布了《关于修订印发一般企业财务报表格式的通知》（财会[2017]30号），要求执行企</w:t>
      </w:r>
      <w:r>
        <w:rPr/>
        <w:t> 业会计准则的企业应按照企业准则和该通知的要求编制2017年及以后期间的财务报表。</w:t>
      </w:r>
    </w:p>
    <w:p>
      <w:pPr>
        <w:spacing w:line="240" w:lineRule="auto" w:before="4"/>
        <w:rPr>
          <w:rFonts w:ascii="宋体" w:hAnsi="宋体" w:cs="宋体" w:eastAsia="宋体" w:hint="default"/>
          <w:sz w:val="20"/>
          <w:szCs w:val="20"/>
        </w:rPr>
      </w:pPr>
    </w:p>
    <w:p>
      <w:pPr>
        <w:pStyle w:val="Heading2"/>
        <w:spacing w:line="240" w:lineRule="auto"/>
        <w:ind w:right="94"/>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3"/>
          <w:szCs w:val="23"/>
        </w:rPr>
      </w:pPr>
    </w:p>
    <w:p>
      <w:pPr>
        <w:pStyle w:val="BodyText"/>
        <w:spacing w:line="261"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公司报告期无重大会计差错更正需追溯重述的情况。</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3"/>
          <w:szCs w:val="23"/>
        </w:rPr>
      </w:pPr>
    </w:p>
    <w:p>
      <w:pPr>
        <w:pStyle w:val="BodyText"/>
        <w:spacing w:line="264" w:lineRule="auto"/>
        <w:ind w:left="47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3"/>
        </w:rPr>
        <w:t>本报告期，公司完成了重大资产重组，出售子公司青海明胶有限责任公司</w:t>
      </w:r>
      <w:r>
        <w:rPr>
          <w:rFonts w:ascii="Times New Roman" w:hAnsi="Times New Roman" w:cs="Times New Roman" w:eastAsia="Times New Roman" w:hint="default"/>
          <w:spacing w:val="-3"/>
        </w:rPr>
        <w:t>100%</w:t>
      </w:r>
      <w:r>
        <w:rPr>
          <w:spacing w:val="-3"/>
        </w:rPr>
        <w:t>股权、青海明诺胶囊有限公司</w:t>
      </w:r>
      <w:r>
        <w:rPr>
          <w:rFonts w:ascii="Times New Roman" w:hAnsi="Times New Roman" w:cs="Times New Roman" w:eastAsia="Times New Roman" w:hint="default"/>
          <w:spacing w:val="-3"/>
        </w:rPr>
        <w:t>100%</w:t>
      </w:r>
      <w:r>
        <w:rPr>
          <w:spacing w:val="-3"/>
        </w:rPr>
        <w:t>股权、</w:t>
      </w:r>
    </w:p>
    <w:p>
      <w:pPr>
        <w:pStyle w:val="BodyText"/>
        <w:spacing w:line="206" w:lineRule="exact"/>
        <w:ind w:right="94"/>
        <w:jc w:val="left"/>
      </w:pPr>
      <w:r>
        <w:rPr/>
        <w:t>广东明洋明胶有限责任公司</w:t>
      </w:r>
      <w:r>
        <w:rPr>
          <w:rFonts w:ascii="Times New Roman" w:hAnsi="Times New Roman" w:cs="Times New Roman" w:eastAsia="Times New Roman" w:hint="default"/>
        </w:rPr>
        <w:t>67.03%</w:t>
      </w:r>
      <w:r>
        <w:rPr/>
        <w:t>股权和柳州市宏升胶原蛋白肠衣有限公司</w:t>
      </w:r>
      <w:r>
        <w:rPr>
          <w:rFonts w:ascii="Times New Roman" w:hAnsi="Times New Roman" w:cs="Times New Roman" w:eastAsia="Times New Roman" w:hint="default"/>
        </w:rPr>
        <w:t>100%</w:t>
      </w:r>
      <w:r>
        <w:rPr/>
        <w:t>股权；同期，公司将控股子公司河南省焦</w:t>
      </w:r>
    </w:p>
    <w:p>
      <w:pPr>
        <w:pStyle w:val="BodyText"/>
        <w:spacing w:line="261" w:lineRule="auto"/>
        <w:ind w:left="472" w:right="4594" w:hanging="360"/>
        <w:jc w:val="left"/>
      </w:pPr>
      <w:r>
        <w:rPr/>
        <w:t>作金箭明胶有限责任公司</w:t>
      </w:r>
      <w:r>
        <w:rPr>
          <w:rFonts w:ascii="Times New Roman" w:hAnsi="Times New Roman" w:cs="Times New Roman" w:eastAsia="Times New Roman" w:hint="default"/>
        </w:rPr>
        <w:t>51%</w:t>
      </w:r>
      <w:r>
        <w:rPr/>
        <w:t>转让给河南省焦作金箭实业总公司。 本报告期，公司新设全资子公司北京办饭餐饮管理有限公司。</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4"/>
        <w:jc w:val="left"/>
      </w:pPr>
      <w:r>
        <w:rPr/>
        <w:t>现聘任的会计师事务所</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130</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13"/>
        <w:ind w:right="94"/>
        <w:jc w:val="left"/>
      </w:pPr>
      <w:r>
        <w:rPr/>
        <w:t>当期是否改聘会计师事务所</w:t>
      </w:r>
    </w:p>
    <w:p>
      <w:pPr>
        <w:pStyle w:val="BodyText"/>
        <w:spacing w:line="266" w:lineRule="auto" w:before="3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16"/>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headerReference w:type="default" r:id="rId21"/>
          <w:footerReference w:type="default" r:id="rId22"/>
          <w:pgSz w:w="11910" w:h="16840"/>
          <w:pgMar w:header="878" w:footer="978" w:top="1100" w:bottom="1160" w:left="1020" w:right="940"/>
          <w:pgNumType w:start="37"/>
        </w:sectPr>
      </w:pPr>
    </w:p>
    <w:p>
      <w:pPr>
        <w:spacing w:line="240" w:lineRule="auto" w:before="8"/>
        <w:rPr>
          <w:rFonts w:ascii="宋体" w:hAnsi="宋体" w:cs="宋体" w:eastAsia="宋体" w:hint="default"/>
          <w:sz w:val="19"/>
          <w:szCs w:val="19"/>
        </w:rPr>
      </w:pPr>
    </w:p>
    <w:p>
      <w:pPr>
        <w:pStyle w:val="Heading2"/>
        <w:spacing w:line="240" w:lineRule="auto" w:before="26"/>
        <w:ind w:right="403"/>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403"/>
        <w:jc w:val="left"/>
        <w:rPr>
          <w:b w:val="0"/>
          <w:bCs w:val="0"/>
        </w:rPr>
      </w:pPr>
      <w:r>
        <w:rPr/>
        <w:t>十一、破产重整相关事项</w:t>
      </w:r>
      <w:r>
        <w:rPr>
          <w:b w:val="0"/>
          <w:bCs w:val="0"/>
        </w:rPr>
      </w:r>
    </w:p>
    <w:p>
      <w:pPr>
        <w:spacing w:line="240" w:lineRule="auto" w:before="9"/>
        <w:rPr>
          <w:rFonts w:ascii="宋体" w:hAnsi="宋体" w:cs="宋体" w:eastAsia="宋体" w:hint="default"/>
          <w:b/>
          <w:bCs/>
          <w:sz w:val="23"/>
          <w:szCs w:val="23"/>
        </w:rPr>
      </w:pPr>
    </w:p>
    <w:p>
      <w:pPr>
        <w:pStyle w:val="BodyText"/>
        <w:spacing w:line="264"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7"/>
        <w:rPr>
          <w:rFonts w:ascii="宋体" w:hAnsi="宋体" w:cs="宋体" w:eastAsia="宋体" w:hint="default"/>
          <w:sz w:val="20"/>
          <w:szCs w:val="20"/>
        </w:rPr>
      </w:pPr>
    </w:p>
    <w:p>
      <w:pPr>
        <w:pStyle w:val="Heading2"/>
        <w:spacing w:line="240" w:lineRule="auto"/>
        <w:ind w:right="403"/>
        <w:jc w:val="left"/>
        <w:rPr>
          <w:b w:val="0"/>
          <w:bCs w:val="0"/>
        </w:rPr>
      </w:pPr>
      <w:r>
        <w:rPr/>
        <w:t>十二、重大诉讼、仲裁事项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0" w:right="117"/>
        <w:jc w:val="right"/>
      </w:pPr>
      <w:r>
        <w:rPr/>
        <w:pict>
          <v:shape style="position:absolute;margin-left:56.459999pt;margin-top:-73.388283pt;width:486.15pt;height:259.150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851"/>
                    <w:gridCol w:w="850"/>
                    <w:gridCol w:w="851"/>
                    <w:gridCol w:w="2268"/>
                    <w:gridCol w:w="706"/>
                    <w:gridCol w:w="850"/>
                    <w:gridCol w:w="1064"/>
                  </w:tblGrid>
                  <w:tr>
                    <w:trPr>
                      <w:trHeight w:val="283"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67"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3"/>
                          <w:ind w:left="34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6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59" w:right="0"/>
                          <w:jc w:val="left"/>
                          <w:rPr>
                            <w:rFonts w:ascii="宋体" w:hAnsi="宋体" w:cs="宋体" w:eastAsia="宋体" w:hint="default"/>
                            <w:sz w:val="18"/>
                            <w:szCs w:val="18"/>
                          </w:rPr>
                        </w:pPr>
                        <w:r>
                          <w:rPr>
                            <w:rFonts w:ascii="宋体" w:hAnsi="宋体" w:cs="宋体" w:eastAsia="宋体" w:hint="default"/>
                            <w:sz w:val="18"/>
                            <w:szCs w:val="18"/>
                          </w:rPr>
                          <w:t>是否形成</w:t>
                        </w:r>
                      </w:p>
                      <w:p>
                        <w:pPr>
                          <w:pStyle w:val="TableParagraph"/>
                          <w:spacing w:line="234" w:lineRule="exact"/>
                          <w:ind w:left="59"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p>
                      <w:p>
                        <w:pPr>
                          <w:pStyle w:val="TableParagraph"/>
                          <w:spacing w:line="241" w:lineRule="exact"/>
                          <w:ind w:left="121" w:right="0"/>
                          <w:jc w:val="left"/>
                          <w:rPr>
                            <w:rFonts w:ascii="宋体" w:hAnsi="宋体" w:cs="宋体" w:eastAsia="宋体" w:hint="default"/>
                            <w:sz w:val="18"/>
                            <w:szCs w:val="18"/>
                          </w:rPr>
                        </w:pPr>
                        <w:r>
                          <w:rPr>
                            <w:rFonts w:ascii="宋体" w:hAnsi="宋体" w:cs="宋体" w:eastAsia="宋体" w:hint="default"/>
                            <w:sz w:val="18"/>
                            <w:szCs w:val="18"/>
                          </w:rPr>
                          <w:t>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3"/>
                          <w:ind w:left="7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7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7" w:lineRule="exact"/>
                          <w:ind w:left="77" w:right="0" w:hanging="29"/>
                          <w:jc w:val="left"/>
                          <w:rPr>
                            <w:rFonts w:ascii="宋体" w:hAnsi="宋体" w:cs="宋体" w:eastAsia="宋体" w:hint="default"/>
                            <w:sz w:val="18"/>
                            <w:szCs w:val="18"/>
                          </w:rPr>
                        </w:pPr>
                        <w:r>
                          <w:rPr>
                            <w:rFonts w:ascii="宋体" w:hAnsi="宋体" w:cs="宋体" w:eastAsia="宋体" w:hint="default"/>
                            <w:sz w:val="18"/>
                            <w:szCs w:val="18"/>
                          </w:rPr>
                          <w:t>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w:t>
                        </w:r>
                      </w:p>
                      <w:p>
                        <w:pPr>
                          <w:pStyle w:val="TableParagraph"/>
                          <w:spacing w:line="227" w:lineRule="exact"/>
                          <w:ind w:left="77" w:right="0"/>
                          <w:jc w:val="left"/>
                          <w:rPr>
                            <w:rFonts w:ascii="宋体" w:hAnsi="宋体" w:cs="宋体" w:eastAsia="宋体" w:hint="default"/>
                            <w:sz w:val="18"/>
                            <w:szCs w:val="18"/>
                          </w:rPr>
                        </w:pPr>
                        <w:r>
                          <w:rPr>
                            <w:rFonts w:ascii="宋体" w:hAnsi="宋体" w:cs="宋体" w:eastAsia="宋体" w:hint="default"/>
                            <w:sz w:val="18"/>
                            <w:szCs w:val="18"/>
                          </w:rPr>
                          <w:t>执行情</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3"/>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3"/>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74"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8" w:hRule="exact"/>
                    </w:trPr>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w:t>
                        </w:r>
                      </w:p>
                    </w:tc>
                    <w:tc>
                      <w:tcPr>
                        <w:tcW w:w="70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任公司因未偿还到期的流动</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任公司向本公司偿还借款本</w:t>
                        </w:r>
                      </w:p>
                    </w:tc>
                    <w:tc>
                      <w:tcPr>
                        <w:tcW w:w="70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《关于诉讼</w:t>
                        </w:r>
                      </w:p>
                    </w:tc>
                  </w:tr>
                  <w:tr>
                    <w:trPr>
                      <w:trHeight w:val="238"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资金借款，本公司向西宁市</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万元和利息</w:t>
                        </w:r>
                      </w:p>
                    </w:tc>
                    <w:tc>
                      <w:tcPr>
                        <w:tcW w:w="70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的进展公告</w:t>
                        </w:r>
                      </w:p>
                    </w:tc>
                  </w:tr>
                  <w:tr>
                    <w:trPr>
                      <w:trHeight w:val="701"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中级人民法院提起诉讼，并</w:t>
                        </w:r>
                      </w:p>
                      <w:p>
                        <w:pPr>
                          <w:pStyle w:val="TableParagraph"/>
                          <w:spacing w:line="232" w:lineRule="exact" w:before="24"/>
                          <w:ind w:left="22" w:right="73"/>
                          <w:jc w:val="left"/>
                          <w:rPr>
                            <w:rFonts w:ascii="宋体" w:hAnsi="宋体" w:cs="宋体" w:eastAsia="宋体" w:hint="default"/>
                            <w:sz w:val="18"/>
                            <w:szCs w:val="18"/>
                          </w:rPr>
                        </w:pPr>
                        <w:r>
                          <w:rPr>
                            <w:rFonts w:ascii="宋体" w:hAnsi="宋体" w:cs="宋体" w:eastAsia="宋体" w:hint="default"/>
                            <w:sz w:val="18"/>
                            <w:szCs w:val="18"/>
                          </w:rPr>
                          <w:t>提出财产保全申请，请求依 法判令河南省焦作金箭明胶</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终审</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737,413.55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元，合计</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6,737,413.55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元。前述借款自</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日起的利息，</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32" w:lineRule="exact" w:before="108"/>
                          <w:ind w:left="21" w:right="132"/>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1" w:lineRule="exact" w:before="8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2017-038</w:t>
                        </w:r>
                        <w:r>
                          <w:rPr>
                            <w:rFonts w:ascii="宋体" w:hAnsi="宋体" w:cs="宋体" w:eastAsia="宋体" w:hint="default"/>
                            <w:sz w:val="18"/>
                            <w:szCs w:val="18"/>
                          </w:rPr>
                          <w:t>）</w:t>
                        </w:r>
                      </w:p>
                      <w:p>
                        <w:pPr>
                          <w:pStyle w:val="TableParagraph"/>
                          <w:spacing w:line="232" w:lineRule="exact" w:before="16"/>
                          <w:ind w:left="23" w:right="20"/>
                          <w:jc w:val="left"/>
                          <w:rPr>
                            <w:rFonts w:ascii="宋体" w:hAnsi="宋体" w:cs="宋体" w:eastAsia="宋体" w:hint="default"/>
                            <w:sz w:val="18"/>
                            <w:szCs w:val="18"/>
                          </w:rPr>
                        </w:pPr>
                        <w:r>
                          <w:rPr>
                            <w:rFonts w:ascii="宋体" w:hAnsi="宋体" w:cs="宋体" w:eastAsia="宋体" w:hint="default"/>
                            <w:spacing w:val="-12"/>
                            <w:sz w:val="18"/>
                            <w:szCs w:val="18"/>
                          </w:rPr>
                          <w:t>刊载于《证券</w:t>
                        </w:r>
                        <w:r>
                          <w:rPr>
                            <w:rFonts w:ascii="宋体" w:hAnsi="宋体" w:cs="宋体" w:eastAsia="宋体" w:hint="default"/>
                            <w:sz w:val="18"/>
                            <w:szCs w:val="18"/>
                          </w:rPr>
                          <w:t> </w:t>
                        </w:r>
                        <w:r>
                          <w:rPr>
                            <w:rFonts w:ascii="宋体" w:hAnsi="宋体" w:cs="宋体" w:eastAsia="宋体" w:hint="default"/>
                            <w:spacing w:val="-37"/>
                            <w:sz w:val="18"/>
                            <w:szCs w:val="18"/>
                          </w:rPr>
                          <w:t>时报》、《证券</w:t>
                        </w:r>
                      </w:p>
                    </w:tc>
                  </w:tr>
                  <w:tr>
                    <w:trPr>
                      <w:trHeight w:val="228"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有限责任公司支付借款本金</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本公司予以放弃，并免除河</w:t>
                        </w:r>
                      </w:p>
                    </w:tc>
                    <w:tc>
                      <w:tcPr>
                        <w:tcW w:w="70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日报》和巨潮</w:t>
                        </w:r>
                      </w:p>
                    </w:tc>
                  </w:tr>
                  <w:tr>
                    <w:trPr>
                      <w:trHeight w:val="239"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2"/>
                            <w:sz w:val="18"/>
                            <w:szCs w:val="18"/>
                          </w:rPr>
                          <w:t>、</w:t>
                        </w:r>
                        <w:r>
                          <w:rPr>
                            <w:rFonts w:ascii="宋体" w:hAnsi="宋体" w:cs="宋体" w:eastAsia="宋体" w:hint="default"/>
                            <w:sz w:val="18"/>
                            <w:szCs w:val="18"/>
                          </w:rPr>
                          <w:t>逾期还款利息和诉</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南省焦作金箭明胶有限责任</w:t>
                        </w:r>
                      </w:p>
                    </w:tc>
                    <w:tc>
                      <w:tcPr>
                        <w:tcW w:w="70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274" w:hRule="exact"/>
                    </w:trPr>
                    <w:tc>
                      <w:tcPr>
                        <w:tcW w:w="2268"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讼费用。</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公司的支付义务。</w:t>
                        </w:r>
                      </w:p>
                    </w:tc>
                    <w:tc>
                      <w:tcPr>
                        <w:tcW w:w="70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95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7"/>
                          <w:ind w:left="22" w:right="20"/>
                          <w:jc w:val="both"/>
                          <w:rPr>
                            <w:rFonts w:ascii="宋体" w:hAnsi="宋体" w:cs="宋体" w:eastAsia="宋体" w:hint="default"/>
                            <w:sz w:val="18"/>
                            <w:szCs w:val="18"/>
                          </w:rPr>
                        </w:pPr>
                        <w:r>
                          <w:rPr>
                            <w:rFonts w:ascii="宋体" w:hAnsi="宋体" w:cs="宋体" w:eastAsia="宋体" w:hint="default"/>
                            <w:sz w:val="18"/>
                            <w:szCs w:val="18"/>
                          </w:rPr>
                          <w:t>河南省焦作金箭实业总公司 因未偿还到期的投资收益， 本公司向西宁市中级人民法 院提起诉讼，并提出财产保 全申请，请求依法判令河南 省焦作金箭实业总公司支付 投资收益</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1122.30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万元、违约</w:t>
                        </w:r>
                        <w:r>
                          <w:rPr>
                            <w:rFonts w:ascii="宋体" w:hAnsi="宋体" w:cs="宋体" w:eastAsia="宋体" w:hint="default"/>
                            <w:sz w:val="18"/>
                            <w:szCs w:val="18"/>
                          </w:rPr>
                          <w:t> 金和诉讼费用。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终审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4"/>
                          <w:jc w:val="both"/>
                          <w:rPr>
                            <w:rFonts w:ascii="宋体" w:hAnsi="宋体" w:cs="宋体" w:eastAsia="宋体" w:hint="default"/>
                            <w:sz w:val="18"/>
                            <w:szCs w:val="18"/>
                          </w:rPr>
                        </w:pPr>
                        <w:r>
                          <w:rPr>
                            <w:rFonts w:ascii="宋体" w:hAnsi="宋体" w:cs="宋体" w:eastAsia="宋体" w:hint="default"/>
                            <w:sz w:val="18"/>
                            <w:szCs w:val="18"/>
                          </w:rPr>
                          <w:t>河南省焦作金箭实业总公司 向本公司支付投资收益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665 </w:t>
                        </w:r>
                        <w:r>
                          <w:rPr>
                            <w:rFonts w:ascii="宋体" w:hAnsi="宋体" w:cs="宋体" w:eastAsia="宋体" w:hint="default"/>
                            <w:sz w:val="18"/>
                            <w:szCs w:val="18"/>
                          </w:rPr>
                          <w:t>万元；一审判决确定的投资 收益中其余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万元及违约</w:t>
                        </w:r>
                      </w:p>
                      <w:p>
                        <w:pPr>
                          <w:pStyle w:val="TableParagraph"/>
                          <w:spacing w:line="21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478.90</w:t>
                        </w:r>
                      </w:p>
                      <w:p>
                        <w:pPr>
                          <w:pStyle w:val="TableParagraph"/>
                          <w:spacing w:line="237" w:lineRule="auto"/>
                          <w:ind w:left="22" w:right="21"/>
                          <w:jc w:val="both"/>
                          <w:rPr>
                            <w:rFonts w:ascii="宋体" w:hAnsi="宋体" w:cs="宋体" w:eastAsia="宋体" w:hint="default"/>
                            <w:sz w:val="18"/>
                            <w:szCs w:val="18"/>
                          </w:rPr>
                        </w:pPr>
                        <w:r>
                          <w:rPr>
                            <w:rFonts w:ascii="宋体" w:hAnsi="宋体" w:cs="宋体" w:eastAsia="宋体" w:hint="default"/>
                            <w:spacing w:val="-10"/>
                            <w:sz w:val="18"/>
                            <w:szCs w:val="18"/>
                          </w:rPr>
                          <w:t>万元），本公司予以放弃，并</w:t>
                        </w:r>
                        <w:r>
                          <w:rPr>
                            <w:rFonts w:ascii="宋体" w:hAnsi="宋体" w:cs="宋体" w:eastAsia="宋体" w:hint="default"/>
                            <w:sz w:val="18"/>
                            <w:szCs w:val="18"/>
                          </w:rPr>
                          <w:t> 免除河南省焦作实业总公司 的支付义务。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32" w:lineRule="exact"/>
                          <w:ind w:left="21" w:right="132"/>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128"/>
                          <w:jc w:val="left"/>
                          <w:rPr>
                            <w:rFonts w:ascii="宋体" w:hAnsi="宋体" w:cs="宋体" w:eastAsia="宋体" w:hint="default"/>
                            <w:sz w:val="18"/>
                            <w:szCs w:val="18"/>
                          </w:rPr>
                        </w:pPr>
                        <w:r>
                          <w:rPr>
                            <w:rFonts w:ascii="宋体" w:hAnsi="宋体" w:cs="宋体" w:eastAsia="宋体" w:hint="default"/>
                            <w:sz w:val="18"/>
                            <w:szCs w:val="18"/>
                          </w:rPr>
                          <w:t>《关于诉讼 的进展公告</w:t>
                        </w:r>
                      </w:p>
                      <w:p>
                        <w:pPr>
                          <w:pStyle w:val="TableParagraph"/>
                          <w:spacing w:line="218"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38</w:t>
                        </w:r>
                        <w:r>
                          <w:rPr>
                            <w:rFonts w:ascii="宋体" w:hAnsi="宋体" w:cs="宋体" w:eastAsia="宋体" w:hint="default"/>
                            <w:sz w:val="18"/>
                            <w:szCs w:val="18"/>
                          </w:rPr>
                          <w:t>）</w:t>
                        </w:r>
                      </w:p>
                      <w:p>
                        <w:pPr>
                          <w:pStyle w:val="TableParagraph"/>
                          <w:spacing w:line="232" w:lineRule="exact" w:before="17"/>
                          <w:ind w:left="23" w:right="20"/>
                          <w:jc w:val="both"/>
                          <w:rPr>
                            <w:rFonts w:ascii="宋体" w:hAnsi="宋体" w:cs="宋体" w:eastAsia="宋体" w:hint="default"/>
                            <w:sz w:val="18"/>
                            <w:szCs w:val="18"/>
                          </w:rPr>
                        </w:pPr>
                        <w:r>
                          <w:rPr>
                            <w:rFonts w:ascii="宋体" w:hAnsi="宋体" w:cs="宋体" w:eastAsia="宋体" w:hint="default"/>
                            <w:spacing w:val="-12"/>
                            <w:sz w:val="18"/>
                            <w:szCs w:val="18"/>
                          </w:rPr>
                          <w:t>刊载于《证券</w:t>
                        </w:r>
                        <w:r>
                          <w:rPr>
                            <w:rFonts w:ascii="宋体" w:hAnsi="宋体" w:cs="宋体" w:eastAsia="宋体" w:hint="default"/>
                            <w:sz w:val="18"/>
                            <w:szCs w:val="18"/>
                          </w:rPr>
                          <w:t> </w:t>
                        </w:r>
                        <w:r>
                          <w:rPr>
                            <w:rFonts w:ascii="宋体" w:hAnsi="宋体" w:cs="宋体" w:eastAsia="宋体" w:hint="default"/>
                            <w:spacing w:val="-37"/>
                            <w:sz w:val="18"/>
                            <w:szCs w:val="18"/>
                          </w:rPr>
                          <w:t>时报》、《证券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日报》和巨潮</w:t>
                        </w:r>
                        <w:r>
                          <w:rPr>
                            <w:rFonts w:ascii="宋体" w:hAnsi="宋体" w:cs="宋体" w:eastAsia="宋体" w:hint="default"/>
                            <w:sz w:val="18"/>
                            <w:szCs w:val="18"/>
                          </w:rPr>
                          <w:t> 资讯网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403"/>
        <w:jc w:val="left"/>
        <w:rPr>
          <w:b w:val="0"/>
          <w:bCs w:val="0"/>
        </w:rPr>
      </w:pPr>
      <w:r>
        <w:rPr/>
        <w:t>十三、处罚及整改情况</w:t>
      </w:r>
      <w:r>
        <w:rPr>
          <w:b w:val="0"/>
          <w:bCs w:val="0"/>
        </w:rPr>
      </w:r>
    </w:p>
    <w:p>
      <w:pPr>
        <w:spacing w:line="240" w:lineRule="auto" w:before="9"/>
        <w:rPr>
          <w:rFonts w:ascii="宋体" w:hAnsi="宋体" w:cs="宋体" w:eastAsia="宋体" w:hint="default"/>
          <w:b/>
          <w:bCs/>
          <w:sz w:val="23"/>
          <w:szCs w:val="23"/>
        </w:rPr>
      </w:pPr>
    </w:p>
    <w:p>
      <w:pPr>
        <w:pStyle w:val="BodyText"/>
        <w:spacing w:line="264" w:lineRule="auto"/>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7"/>
        <w:rPr>
          <w:rFonts w:ascii="宋体" w:hAnsi="宋体" w:cs="宋体" w:eastAsia="宋体" w:hint="default"/>
          <w:sz w:val="20"/>
          <w:szCs w:val="20"/>
        </w:rPr>
      </w:pPr>
    </w:p>
    <w:p>
      <w:pPr>
        <w:pStyle w:val="Heading2"/>
        <w:spacing w:line="240" w:lineRule="auto"/>
        <w:ind w:right="403"/>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403"/>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4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37" w:lineRule="auto" w:before="36"/>
        <w:ind w:right="232" w:firstLine="480"/>
        <w:jc w:val="left"/>
      </w:pPr>
      <w:r>
        <w:rPr/>
        <w:t>公司于2017年3月3日召开第七届董事会2017年第二次临时会议、第七届监事会2017年第二次临时会议、2017年3月22 </w:t>
      </w:r>
      <w:r>
        <w:rPr>
          <w:spacing w:val="-2"/>
        </w:rPr>
        <w:t>日召开2016年度股东大会，审议通过了《关于员工持股计划（草案）及摘要的议案》及相关议案。本次员工持股计划方案的</w:t>
      </w:r>
      <w:r>
        <w:rPr>
          <w:spacing w:val="-64"/>
        </w:rPr>
        <w:t> </w:t>
      </w:r>
      <w:r>
        <w:rPr>
          <w:spacing w:val="-64"/>
        </w:rPr>
      </w:r>
      <w:r>
        <w:rPr/>
        <w:t>内容及进展情况，详见2017年3月22</w:t>
      </w:r>
      <w:hyperlink r:id="rId12">
        <w:r>
          <w:rPr/>
          <w:t>日在巨潮资讯网（http://www.cninfo.com.cn</w:t>
        </w:r>
      </w:hyperlink>
      <w:r>
        <w:rPr/>
        <w:t>）披露的《神州易桥信息服务股份有限公</w:t>
      </w:r>
      <w:r>
        <w:rPr/>
        <w:t> </w:t>
      </w:r>
      <w:r>
        <w:rPr>
          <w:spacing w:val="-2"/>
        </w:rPr>
        <w:t>司2017-2019员工持股计划方案》，2017年4月22日、5月23日、5月27日、7月1日、8月1日、9月1日、9月29日、11月1日披露</w:t>
      </w:r>
      <w:r>
        <w:rPr>
          <w:spacing w:val="-50"/>
        </w:rPr>
        <w:t> </w:t>
      </w:r>
      <w:r>
        <w:rPr>
          <w:spacing w:val="-50"/>
        </w:rPr>
      </w:r>
      <w:r>
        <w:rPr/>
        <w:t>的《第一期员工持股计划的进展公告》，2017年11月25日披露的《第一期员工持股计划完成股票购买公告》。</w:t>
      </w:r>
    </w:p>
    <w:p>
      <w:pPr>
        <w:pStyle w:val="BodyText"/>
        <w:spacing w:line="240" w:lineRule="auto" w:before="48"/>
        <w:ind w:left="595" w:right="0"/>
        <w:jc w:val="left"/>
      </w:pPr>
      <w:r>
        <w:rPr/>
        <w:t>截至2017年11月23日，公司第一期员工持股计划通过深圳证券交易所交易系统购买公司股票合计18,764,066股，交易</w:t>
      </w:r>
    </w:p>
    <w:p>
      <w:pPr>
        <w:spacing w:after="0" w:line="240" w:lineRule="auto"/>
        <w:jc w:val="left"/>
        <w:sectPr>
          <w:pgSz w:w="11910" w:h="16840"/>
          <w:pgMar w:header="878" w:footer="978" w:top="1100" w:bottom="1160" w:left="1020" w:right="900"/>
        </w:sectPr>
      </w:pPr>
    </w:p>
    <w:p>
      <w:pPr>
        <w:spacing w:line="240" w:lineRule="auto" w:before="12"/>
        <w:rPr>
          <w:rFonts w:ascii="宋体" w:hAnsi="宋体" w:cs="宋体" w:eastAsia="宋体" w:hint="default"/>
          <w:sz w:val="18"/>
          <w:szCs w:val="18"/>
        </w:rPr>
      </w:pPr>
    </w:p>
    <w:p>
      <w:pPr>
        <w:pStyle w:val="BodyText"/>
        <w:spacing w:line="232" w:lineRule="exact" w:before="69"/>
        <w:ind w:left="372" w:right="432"/>
        <w:jc w:val="left"/>
      </w:pPr>
      <w:r>
        <w:rPr>
          <w:spacing w:val="-2"/>
        </w:rPr>
        <w:t>均价为10.114元/股，成交金额合计189,780,335.96元，买入股票数量占公司总股本的2.45%。公司已完成本期员工持股计划</w:t>
      </w:r>
      <w:r>
        <w:rPr>
          <w:spacing w:val="-51"/>
        </w:rPr>
        <w:t> </w:t>
      </w:r>
      <w:r>
        <w:rPr>
          <w:spacing w:val="-51"/>
        </w:rPr>
      </w:r>
      <w:r>
        <w:rPr/>
        <w:t>标的股票的购买。根据公司《2017-2019员工持股计划方案》，所购买股票锁定期为2017年11月24日起12个月。</w:t>
      </w:r>
    </w:p>
    <w:p>
      <w:pPr>
        <w:spacing w:line="240" w:lineRule="auto" w:before="7"/>
        <w:rPr>
          <w:rFonts w:ascii="宋体" w:hAnsi="宋体" w:cs="宋体" w:eastAsia="宋体" w:hint="default"/>
          <w:sz w:val="20"/>
          <w:szCs w:val="20"/>
        </w:rPr>
      </w:pPr>
    </w:p>
    <w:p>
      <w:pPr>
        <w:pStyle w:val="Heading2"/>
        <w:spacing w:line="240" w:lineRule="auto"/>
        <w:ind w:left="372" w:right="432"/>
        <w:jc w:val="left"/>
        <w:rPr>
          <w:b w:val="0"/>
          <w:bCs w:val="0"/>
        </w:rPr>
      </w:pPr>
      <w:r>
        <w:rPr/>
        <w:t>十六、重大关联交易</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372" w:right="43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left="372" w:right="4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11"/>
        <w:rPr>
          <w:rFonts w:ascii="宋体" w:hAnsi="宋体" w:cs="宋体" w:eastAsia="宋体" w:hint="default"/>
          <w:sz w:val="20"/>
          <w:szCs w:val="20"/>
        </w:rPr>
      </w:pPr>
    </w:p>
    <w:p>
      <w:pPr>
        <w:pStyle w:val="Heading3"/>
        <w:spacing w:line="240" w:lineRule="auto"/>
        <w:ind w:left="372" w:right="43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372" w:right="432"/>
        <w:jc w:val="left"/>
      </w:pPr>
      <w:r>
        <w:rPr/>
        <w:pict>
          <v:shape style="position:absolute;margin-left:266.640015pt;margin-top:15.481702pt;width:45.6pt;height:50.75pt;mso-position-horizontal-relative:page;mso-position-vertical-relative:paragraph;z-index:-10132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w:t>
                  </w:r>
                </w:p>
              </w:txbxContent>
            </v:textbox>
            <w10:wrap type="none"/>
          </v:shape>
        </w:pict>
      </w:r>
      <w:r>
        <w:rPr/>
        <w:pict>
          <v:shape style="position:absolute;margin-left:306.359009pt;margin-top:15.481702pt;width:45.75pt;height:50.75pt;mso-position-horizontal-relative:page;mso-position-vertical-relative:paragraph;z-index:-10132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05"/>
        <w:jc w:val="right"/>
      </w:pPr>
      <w:r>
        <w:rPr/>
        <w:pict>
          <v:shape style="position:absolute;margin-left:43.060001pt;margin-top:-61.628258pt;width:509.4pt;height:293.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8"/>
                    <w:gridCol w:w="799"/>
                    <w:gridCol w:w="549"/>
                    <w:gridCol w:w="805"/>
                    <w:gridCol w:w="603"/>
                    <w:gridCol w:w="800"/>
                    <w:gridCol w:w="796"/>
                    <w:gridCol w:w="798"/>
                    <w:gridCol w:w="554"/>
                    <w:gridCol w:w="808"/>
                    <w:gridCol w:w="881"/>
                    <w:gridCol w:w="1752"/>
                  </w:tblGrid>
                  <w:tr>
                    <w:trPr>
                      <w:trHeight w:val="1023"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88" w:right="88"/>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216" w:right="3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5" w:right="2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7"/>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1" w:right="30" w:firstLine="12"/>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34"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34" w:lineRule="exact"/>
                          <w:ind w:left="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91" w:right="91"/>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1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49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22" w:right="94"/>
                          <w:jc w:val="both"/>
                          <w:rPr>
                            <w:rFonts w:ascii="宋体" w:hAnsi="宋体" w:cs="宋体" w:eastAsia="宋体" w:hint="default"/>
                            <w:sz w:val="18"/>
                            <w:szCs w:val="18"/>
                          </w:rPr>
                        </w:pPr>
                        <w:r>
                          <w:rPr>
                            <w:rFonts w:ascii="宋体" w:hAnsi="宋体" w:cs="宋体" w:eastAsia="宋体" w:hint="default"/>
                            <w:sz w:val="18"/>
                            <w:szCs w:val="18"/>
                          </w:rPr>
                          <w:t>湖北宜景常 弘科技有限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23" w:right="43"/>
                          <w:jc w:val="left"/>
                          <w:rPr>
                            <w:rFonts w:ascii="宋体" w:hAnsi="宋体" w:cs="宋体" w:eastAsia="宋体" w:hint="default"/>
                            <w:sz w:val="18"/>
                            <w:szCs w:val="18"/>
                          </w:rPr>
                        </w:pPr>
                        <w:r>
                          <w:rPr>
                            <w:rFonts w:ascii="宋体" w:hAnsi="宋体" w:cs="宋体" w:eastAsia="宋体" w:hint="default"/>
                            <w:sz w:val="18"/>
                            <w:szCs w:val="18"/>
                          </w:rPr>
                          <w:t>控股股东 之子公司</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23" w:right="153"/>
                          <w:jc w:val="left"/>
                          <w:rPr>
                            <w:rFonts w:ascii="宋体" w:hAnsi="宋体" w:cs="宋体" w:eastAsia="宋体" w:hint="default"/>
                            <w:sz w:val="18"/>
                            <w:szCs w:val="18"/>
                          </w:rPr>
                        </w:pPr>
                        <w:r>
                          <w:rPr>
                            <w:rFonts w:ascii="宋体" w:hAnsi="宋体" w:cs="宋体" w:eastAsia="宋体" w:hint="default"/>
                            <w:sz w:val="18"/>
                            <w:szCs w:val="18"/>
                          </w:rPr>
                          <w:t>资产 交易</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23" w:right="2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12,199.45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97"/>
                          <w:jc w:val="both"/>
                          <w:rPr>
                            <w:rFonts w:ascii="宋体" w:hAnsi="宋体" w:cs="宋体" w:eastAsia="宋体" w:hint="default"/>
                            <w:sz w:val="18"/>
                            <w:szCs w:val="18"/>
                          </w:rPr>
                        </w:pPr>
                        <w:r>
                          <w:rPr>
                            <w:rFonts w:ascii="宋体" w:hAnsi="宋体" w:cs="宋体" w:eastAsia="宋体" w:hint="default"/>
                            <w:sz w:val="18"/>
                            <w:szCs w:val="18"/>
                          </w:rPr>
                          <w:t>《重大资产出售暨关 联交易报告书（草案 摘要》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(2017-129)</w:t>
                        </w:r>
                        <w:r>
                          <w:rPr>
                            <w:rFonts w:ascii="宋体" w:hAnsi="宋体" w:cs="宋体" w:eastAsia="宋体" w:hint="default"/>
                            <w:sz w:val="18"/>
                            <w:szCs w:val="18"/>
                          </w:rPr>
                          <w:t>，</w:t>
                        </w:r>
                      </w:p>
                      <w:p>
                        <w:pPr>
                          <w:pStyle w:val="TableParagraph"/>
                          <w:spacing w:line="218" w:lineRule="exact"/>
                          <w:ind w:left="22" w:right="0"/>
                          <w:jc w:val="both"/>
                          <w:rPr>
                            <w:rFonts w:ascii="宋体" w:hAnsi="宋体" w:cs="宋体" w:eastAsia="宋体" w:hint="default"/>
                            <w:sz w:val="18"/>
                            <w:szCs w:val="18"/>
                          </w:rPr>
                        </w:pPr>
                        <w:r>
                          <w:rPr>
                            <w:rFonts w:ascii="宋体" w:hAnsi="宋体" w:cs="宋体" w:eastAsia="宋体" w:hint="default"/>
                            <w:sz w:val="18"/>
                            <w:szCs w:val="18"/>
                          </w:rPr>
                          <w:t>刊载于《证券时</w:t>
                        </w:r>
                        <w:r>
                          <w:rPr>
                            <w:rFonts w:ascii="宋体" w:hAnsi="宋体" w:cs="宋体" w:eastAsia="宋体" w:hint="default"/>
                            <w:spacing w:val="-1"/>
                            <w:sz w:val="18"/>
                            <w:szCs w:val="18"/>
                          </w:rPr>
                          <w:t>报</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40" w:lineRule="auto"/>
                          <w:ind w:left="22" w:right="97"/>
                          <w:jc w:val="both"/>
                          <w:rPr>
                            <w:rFonts w:ascii="宋体" w:hAnsi="宋体" w:cs="宋体" w:eastAsia="宋体" w:hint="default"/>
                            <w:sz w:val="18"/>
                            <w:szCs w:val="18"/>
                          </w:rPr>
                        </w:pPr>
                        <w:r>
                          <w:rPr>
                            <w:rFonts w:ascii="宋体" w:hAnsi="宋体" w:cs="宋体" w:eastAsia="宋体" w:hint="default"/>
                            <w:sz w:val="18"/>
                            <w:szCs w:val="18"/>
                          </w:rPr>
                          <w:t>《证券日报》和巨潮 资讯网</w:t>
                        </w:r>
                      </w:p>
                    </w:tc>
                  </w:tr>
                  <w:tr>
                    <w:trPr>
                      <w:trHeight w:val="557"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94"/>
                          <w:jc w:val="left"/>
                          <w:rPr>
                            <w:rFonts w:ascii="宋体" w:hAnsi="宋体" w:cs="宋体" w:eastAsia="宋体" w:hint="default"/>
                            <w:sz w:val="18"/>
                            <w:szCs w:val="18"/>
                          </w:rPr>
                        </w:pPr>
                        <w:r>
                          <w:rPr>
                            <w:rFonts w:ascii="宋体" w:hAnsi="宋体" w:cs="宋体" w:eastAsia="宋体" w:hint="default"/>
                            <w:sz w:val="18"/>
                            <w:szCs w:val="18"/>
                          </w:rPr>
                          <w:t>深圳树泰科 技有限公司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43"/>
                          <w:jc w:val="left"/>
                          <w:rPr>
                            <w:rFonts w:ascii="宋体" w:hAnsi="宋体" w:cs="宋体" w:eastAsia="宋体" w:hint="default"/>
                            <w:sz w:val="18"/>
                            <w:szCs w:val="18"/>
                          </w:rPr>
                        </w:pPr>
                        <w:r>
                          <w:rPr>
                            <w:rFonts w:ascii="宋体" w:hAnsi="宋体" w:cs="宋体" w:eastAsia="宋体" w:hint="default"/>
                            <w:sz w:val="18"/>
                            <w:szCs w:val="18"/>
                          </w:rPr>
                          <w:t>控股股东 之子公司</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53"/>
                          <w:jc w:val="left"/>
                          <w:rPr>
                            <w:rFonts w:ascii="宋体" w:hAnsi="宋体" w:cs="宋体" w:eastAsia="宋体" w:hint="default"/>
                            <w:sz w:val="18"/>
                            <w:szCs w:val="18"/>
                          </w:rPr>
                        </w:pPr>
                        <w:r>
                          <w:rPr>
                            <w:rFonts w:ascii="宋体" w:hAnsi="宋体" w:cs="宋体" w:eastAsia="宋体" w:hint="default"/>
                            <w:sz w:val="18"/>
                            <w:szCs w:val="18"/>
                          </w:rPr>
                          <w:t>资产 交易</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2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8,224.45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389.34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4"/>
                          <w:jc w:val="left"/>
                          <w:rPr>
                            <w:rFonts w:ascii="宋体" w:hAnsi="宋体" w:cs="宋体" w:eastAsia="宋体" w:hint="default"/>
                            <w:sz w:val="18"/>
                            <w:szCs w:val="18"/>
                          </w:rPr>
                        </w:pPr>
                        <w:r>
                          <w:rPr>
                            <w:rFonts w:ascii="宋体" w:hAnsi="宋体" w:cs="宋体" w:eastAsia="宋体" w:hint="default"/>
                            <w:sz w:val="18"/>
                            <w:szCs w:val="18"/>
                          </w:rPr>
                          <w:t>湖北盛木科 技有限公司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43"/>
                          <w:jc w:val="left"/>
                          <w:rPr>
                            <w:rFonts w:ascii="宋体" w:hAnsi="宋体" w:cs="宋体" w:eastAsia="宋体" w:hint="default"/>
                            <w:sz w:val="18"/>
                            <w:szCs w:val="18"/>
                          </w:rPr>
                        </w:pPr>
                        <w:r>
                          <w:rPr>
                            <w:rFonts w:ascii="宋体" w:hAnsi="宋体" w:cs="宋体" w:eastAsia="宋体" w:hint="default"/>
                            <w:sz w:val="18"/>
                            <w:szCs w:val="18"/>
                          </w:rPr>
                          <w:t>控股股东 之子公司</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53"/>
                          <w:jc w:val="left"/>
                          <w:rPr>
                            <w:rFonts w:ascii="宋体" w:hAnsi="宋体" w:cs="宋体" w:eastAsia="宋体" w:hint="default"/>
                            <w:sz w:val="18"/>
                            <w:szCs w:val="18"/>
                          </w:rPr>
                        </w:pPr>
                        <w:r>
                          <w:rPr>
                            <w:rFonts w:ascii="宋体" w:hAnsi="宋体" w:cs="宋体" w:eastAsia="宋体" w:hint="default"/>
                            <w:sz w:val="18"/>
                            <w:szCs w:val="18"/>
                          </w:rPr>
                          <w:t>资产 交易</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2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12,753.99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-738.78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4"/>
                          <w:jc w:val="left"/>
                          <w:rPr>
                            <w:rFonts w:ascii="宋体" w:hAnsi="宋体" w:cs="宋体" w:eastAsia="宋体" w:hint="default"/>
                            <w:sz w:val="18"/>
                            <w:szCs w:val="18"/>
                          </w:rPr>
                        </w:pPr>
                        <w:r>
                          <w:rPr>
                            <w:rFonts w:ascii="宋体" w:hAnsi="宋体" w:cs="宋体" w:eastAsia="宋体" w:hint="default"/>
                            <w:sz w:val="18"/>
                            <w:szCs w:val="18"/>
                          </w:rPr>
                          <w:t>深圳德木实 业有限公司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43"/>
                          <w:jc w:val="left"/>
                          <w:rPr>
                            <w:rFonts w:ascii="宋体" w:hAnsi="宋体" w:cs="宋体" w:eastAsia="宋体" w:hint="default"/>
                            <w:sz w:val="18"/>
                            <w:szCs w:val="18"/>
                          </w:rPr>
                        </w:pPr>
                        <w:r>
                          <w:rPr>
                            <w:rFonts w:ascii="宋体" w:hAnsi="宋体" w:cs="宋体" w:eastAsia="宋体" w:hint="default"/>
                            <w:sz w:val="18"/>
                            <w:szCs w:val="18"/>
                          </w:rPr>
                          <w:t>控股股东 之子公司</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53"/>
                          <w:jc w:val="left"/>
                          <w:rPr>
                            <w:rFonts w:ascii="宋体" w:hAnsi="宋体" w:cs="宋体" w:eastAsia="宋体" w:hint="default"/>
                            <w:sz w:val="18"/>
                            <w:szCs w:val="18"/>
                          </w:rPr>
                        </w:pPr>
                        <w:r>
                          <w:rPr>
                            <w:rFonts w:ascii="宋体" w:hAnsi="宋体" w:cs="宋体" w:eastAsia="宋体" w:hint="default"/>
                            <w:sz w:val="18"/>
                            <w:szCs w:val="18"/>
                          </w:rPr>
                          <w:t>资产 交易</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2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4,829.17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4,848.82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36" w:lineRule="exact" w:before="31"/>
                          <w:ind w:left="23" w:right="59"/>
                          <w:jc w:val="left"/>
                          <w:rPr>
                            <w:rFonts w:ascii="宋体" w:hAnsi="宋体" w:cs="宋体" w:eastAsia="宋体" w:hint="default"/>
                            <w:sz w:val="18"/>
                            <w:szCs w:val="18"/>
                          </w:rPr>
                        </w:pPr>
                        <w:r>
                          <w:rPr>
                            <w:rFonts w:ascii="宋体" w:hAnsi="宋体" w:cs="宋体" w:eastAsia="宋体" w:hint="default"/>
                            <w:sz w:val="18"/>
                            <w:szCs w:val="18"/>
                          </w:rPr>
                          <w:t>注：深圳德木实业有限公司受让广东明洋明胶有限责任公司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67.03%</w:t>
                        </w:r>
                        <w:r>
                          <w:rPr>
                            <w:rFonts w:ascii="宋体" w:hAnsi="宋体" w:cs="宋体" w:eastAsia="宋体" w:hint="default"/>
                            <w:sz w:val="18"/>
                            <w:szCs w:val="18"/>
                          </w:rPr>
                          <w:t>的股权，按照持股比 例计算的评估值为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万元，转让价格为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56"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21"/>
                          <w:jc w:val="left"/>
                          <w:rPr>
                            <w:rFonts w:ascii="宋体" w:hAnsi="宋体" w:cs="宋体" w:eastAsia="宋体" w:hint="default"/>
                            <w:sz w:val="18"/>
                            <w:szCs w:val="18"/>
                          </w:rPr>
                        </w:pPr>
                        <w:r>
                          <w:rPr>
                            <w:rFonts w:ascii="宋体" w:hAnsi="宋体" w:cs="宋体" w:eastAsia="宋体" w:hint="default"/>
                            <w:spacing w:val="-3"/>
                            <w:sz w:val="18"/>
                            <w:szCs w:val="18"/>
                          </w:rPr>
                          <w:t>本次处置制造业资产后不会再拖累公司经营业绩，有利于公司专注发展企业互联网服务业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务和产业转型。</w:t>
                        </w:r>
                      </w:p>
                    </w:tc>
                  </w:tr>
                  <w:tr>
                    <w:trPr>
                      <w:trHeight w:val="557"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left="372" w:right="43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left="372" w:right="6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1"/>
        <w:rPr>
          <w:rFonts w:ascii="宋体" w:hAnsi="宋体" w:cs="宋体" w:eastAsia="宋体" w:hint="default"/>
          <w:sz w:val="20"/>
          <w:szCs w:val="20"/>
        </w:rPr>
      </w:pPr>
    </w:p>
    <w:p>
      <w:pPr>
        <w:pStyle w:val="Heading3"/>
        <w:spacing w:line="240" w:lineRule="auto"/>
        <w:ind w:left="372" w:right="43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left="372" w:right="6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left="372" w:right="43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left="372"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after="0" w:line="264" w:lineRule="auto"/>
        <w:jc w:val="left"/>
        <w:sectPr>
          <w:pgSz w:w="11910" w:h="16840"/>
          <w:pgMar w:header="878" w:footer="978" w:top="1100" w:bottom="1160" w:left="760" w:right="70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2"/>
          <w:szCs w:val="22"/>
        </w:rPr>
      </w:pPr>
    </w:p>
    <w:p>
      <w:pPr>
        <w:pStyle w:val="BodyText"/>
        <w:spacing w:line="261"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单位：万元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09"/>
        <w:gridCol w:w="922"/>
        <w:gridCol w:w="923"/>
        <w:gridCol w:w="1302"/>
        <w:gridCol w:w="1057"/>
        <w:gridCol w:w="1041"/>
        <w:gridCol w:w="1047"/>
        <w:gridCol w:w="790"/>
        <w:gridCol w:w="782"/>
      </w:tblGrid>
      <w:tr>
        <w:trPr>
          <w:trHeight w:val="32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9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99"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13"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54"/>
              <w:jc w:val="left"/>
              <w:rPr>
                <w:rFonts w:ascii="宋体" w:hAnsi="宋体" w:cs="宋体" w:eastAsia="宋体" w:hint="default"/>
                <w:sz w:val="18"/>
                <w:szCs w:val="18"/>
              </w:rPr>
            </w:pPr>
            <w:r>
              <w:rPr>
                <w:rFonts w:ascii="宋体" w:hAnsi="宋体" w:cs="宋体" w:eastAsia="宋体" w:hint="default"/>
                <w:sz w:val="18"/>
                <w:szCs w:val="18"/>
              </w:rPr>
              <w:t>洛阳蓝宝氟业有限公 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3,000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9"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6"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7"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9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96"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7"/>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9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8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92"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8"/>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26"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0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3"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232" w:lineRule="exact"/>
        <w:jc w:val="left"/>
        <w:rPr>
          <w:rFonts w:ascii="宋体" w:hAnsi="宋体" w:cs="宋体" w:eastAsia="宋体" w:hint="default"/>
          <w:sz w:val="18"/>
          <w:szCs w:val="18"/>
        </w:rPr>
        <w:sectPr>
          <w:footerReference w:type="default" r:id="rId23"/>
          <w:pgSz w:w="11910" w:h="16840"/>
          <w:pgMar w:footer="978" w:header="878" w:top="1100" w:bottom="1160" w:left="1020" w:right="1020"/>
          <w:pgNumType w:start="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709"/>
        <w:gridCol w:w="923"/>
        <w:gridCol w:w="910"/>
        <w:gridCol w:w="1313"/>
        <w:gridCol w:w="1044"/>
        <w:gridCol w:w="1054"/>
        <w:gridCol w:w="1045"/>
        <w:gridCol w:w="786"/>
        <w:gridCol w:w="789"/>
      </w:tblGrid>
      <w:tr>
        <w:trPr>
          <w:trHeight w:val="297"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57"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7"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1.09%</w:t>
            </w:r>
          </w:p>
        </w:tc>
      </w:tr>
      <w:tr>
        <w:trPr>
          <w:trHeight w:val="32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6"/>
          <w:szCs w:val="16"/>
        </w:rPr>
      </w:pPr>
    </w:p>
    <w:p>
      <w:pPr>
        <w:pStyle w:val="BodyText"/>
        <w:spacing w:line="278" w:lineRule="auto" w:before="44"/>
        <w:ind w:right="7034"/>
        <w:jc w:val="left"/>
      </w:pPr>
      <w:r>
        <w:rPr/>
        <w:t>采用复合方式担保的具体情况说明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2"/>
        <w:rPr>
          <w:rFonts w:ascii="宋体" w:hAnsi="宋体" w:cs="宋体" w:eastAsia="宋体" w:hint="default"/>
          <w:b/>
          <w:bCs/>
          <w:sz w:val="21"/>
          <w:szCs w:val="21"/>
        </w:rPr>
      </w:pPr>
    </w:p>
    <w:p>
      <w:pPr>
        <w:pStyle w:val="BodyText"/>
        <w:spacing w:line="264"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1020" w:right="1020"/>
        </w:sectPr>
      </w:pPr>
    </w:p>
    <w:p>
      <w:pPr>
        <w:pStyle w:val="BodyText"/>
        <w:spacing w:line="264"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单位：万元</w:t>
      </w:r>
    </w:p>
    <w:p>
      <w:pPr>
        <w:spacing w:after="0" w:line="240" w:lineRule="auto"/>
        <w:jc w:val="left"/>
        <w:sectPr>
          <w:type w:val="continuous"/>
          <w:pgSz w:w="11910" w:h="16840"/>
          <w:pgMar w:top="1060" w:bottom="1160" w:left="1020" w:right="1020"/>
          <w:cols w:num="2" w:equalWidth="0">
            <w:col w:w="1913" w:space="6825"/>
            <w:col w:w="1132"/>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868"/>
        <w:gridCol w:w="1959"/>
        <w:gridCol w:w="1981"/>
        <w:gridCol w:w="1909"/>
        <w:gridCol w:w="1850"/>
      </w:tblGrid>
      <w:tr>
        <w:trPr>
          <w:trHeight w:val="32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21"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78,000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18,000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91,500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18,200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37"/>
        <w:ind w:left="220" w:right="-20"/>
        <w:jc w:val="left"/>
      </w:pPr>
      <w:r>
        <w:rPr/>
        <w:pict>
          <v:group style="position:absolute;margin-left:72pt;margin-top:2.112746pt;width:697.9pt;height:.1pt;mso-position-horizontal-relative:page;mso-position-vertical-relative:paragraph;z-index:-1013176" coordorigin="1440,42" coordsize="13958,2">
            <v:shape style="position:absolute;left:1440;top:42;width:13958;height:2" coordorigin="1440,42" coordsize="13958,0" path="m1440,42l15398,42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38"/>
        <w:ind w:left="22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6"/>
          <w:szCs w:val="26"/>
        </w:rPr>
      </w:pPr>
    </w:p>
    <w:p>
      <w:pPr>
        <w:pStyle w:val="BodyText"/>
        <w:spacing w:line="240" w:lineRule="auto"/>
        <w:ind w:left="220" w:right="0"/>
        <w:jc w:val="left"/>
      </w:pPr>
      <w:r>
        <w:rPr/>
        <w:t>单位：万元</w:t>
      </w:r>
    </w:p>
    <w:p>
      <w:pPr>
        <w:spacing w:after="0" w:line="240" w:lineRule="auto"/>
        <w:jc w:val="left"/>
        <w:sectPr>
          <w:headerReference w:type="default" r:id="rId24"/>
          <w:footerReference w:type="default" r:id="rId25"/>
          <w:pgSz w:w="16840" w:h="11910" w:orient="landscape"/>
          <w:pgMar w:header="868" w:footer="978" w:top="1060" w:bottom="1160" w:left="1220" w:right="1220"/>
          <w:pgNumType w:start="42"/>
          <w:cols w:num="2" w:equalWidth="0">
            <w:col w:w="6341" w:space="6718"/>
            <w:col w:w="1341"/>
          </w:cols>
        </w:sectPr>
      </w:pP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134"/>
        <w:gridCol w:w="851"/>
        <w:gridCol w:w="607"/>
        <w:gridCol w:w="574"/>
        <w:gridCol w:w="561"/>
        <w:gridCol w:w="809"/>
        <w:gridCol w:w="851"/>
        <w:gridCol w:w="992"/>
        <w:gridCol w:w="709"/>
        <w:gridCol w:w="561"/>
        <w:gridCol w:w="561"/>
        <w:gridCol w:w="561"/>
        <w:gridCol w:w="561"/>
        <w:gridCol w:w="549"/>
        <w:gridCol w:w="547"/>
        <w:gridCol w:w="771"/>
        <w:gridCol w:w="2976"/>
      </w:tblGrid>
      <w:tr>
        <w:trPr>
          <w:trHeight w:val="141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2" w:right="22" w:hanging="1"/>
              <w:jc w:val="center"/>
              <w:rPr>
                <w:rFonts w:ascii="宋体" w:hAnsi="宋体" w:cs="宋体" w:eastAsia="宋体" w:hint="default"/>
                <w:sz w:val="18"/>
                <w:szCs w:val="18"/>
              </w:rPr>
            </w:pPr>
            <w:r>
              <w:rPr>
                <w:rFonts w:ascii="宋体" w:hAnsi="宋体" w:cs="宋体" w:eastAsia="宋体" w:hint="default"/>
                <w:sz w:val="18"/>
                <w:szCs w:val="18"/>
              </w:rPr>
              <w:t>受托机构名 称（或受托人 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34" w:lineRule="exact"/>
              <w:ind w:left="59"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232" w:lineRule="exact" w:before="23"/>
              <w:ind w:left="59" w:right="59"/>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07" w:right="2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7" w:right="79"/>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96" w:right="93"/>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232" w:lineRule="exact" w:before="1"/>
              <w:ind w:left="185" w:right="95"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0"/>
              <w:ind w:left="95" w:right="94"/>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95"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95" w:right="93"/>
              <w:jc w:val="both"/>
              <w:rPr>
                <w:rFonts w:ascii="宋体" w:hAnsi="宋体" w:cs="宋体" w:eastAsia="宋体" w:hint="default"/>
                <w:sz w:val="18"/>
                <w:szCs w:val="18"/>
              </w:rPr>
            </w:pPr>
            <w:r>
              <w:rPr>
                <w:rFonts w:ascii="宋体" w:hAnsi="宋体" w:cs="宋体" w:eastAsia="宋体" w:hint="default"/>
                <w:sz w:val="18"/>
                <w:szCs w:val="18"/>
              </w:rPr>
              <w:t>期损 益实 际收 回情 况</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89" w:right="0"/>
              <w:jc w:val="both"/>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89" w:right="88"/>
              <w:jc w:val="both"/>
              <w:rPr>
                <w:rFonts w:ascii="宋体" w:hAnsi="宋体" w:cs="宋体" w:eastAsia="宋体" w:hint="default"/>
                <w:sz w:val="18"/>
                <w:szCs w:val="18"/>
              </w:rPr>
            </w:pPr>
            <w:r>
              <w:rPr>
                <w:rFonts w:ascii="宋体" w:hAnsi="宋体" w:cs="宋体" w:eastAsia="宋体" w:hint="default"/>
                <w:sz w:val="18"/>
                <w:szCs w:val="18"/>
              </w:rPr>
              <w:t>减值 准备 金额</w:t>
            </w:r>
          </w:p>
          <w:p>
            <w:pPr>
              <w:pStyle w:val="TableParagraph"/>
              <w:spacing w:line="212" w:lineRule="exact"/>
              <w:ind w:left="89" w:right="0"/>
              <w:jc w:val="both"/>
              <w:rPr>
                <w:rFonts w:ascii="宋体" w:hAnsi="宋体" w:cs="宋体" w:eastAsia="宋体" w:hint="default"/>
                <w:sz w:val="18"/>
                <w:szCs w:val="18"/>
              </w:rPr>
            </w:pPr>
            <w:r>
              <w:rPr>
                <w:rFonts w:ascii="宋体" w:hAnsi="宋体" w:cs="宋体" w:eastAsia="宋体" w:hint="default"/>
                <w:sz w:val="18"/>
                <w:szCs w:val="18"/>
              </w:rPr>
              <w:t>（如</w:t>
            </w:r>
          </w:p>
          <w:p>
            <w:pPr>
              <w:pStyle w:val="TableParagraph"/>
              <w:spacing w:line="240" w:lineRule="auto"/>
              <w:ind w:left="89" w:right="0"/>
              <w:jc w:val="both"/>
              <w:rPr>
                <w:rFonts w:ascii="宋体" w:hAnsi="宋体" w:cs="宋体" w:eastAsia="宋体" w:hint="default"/>
                <w:sz w:val="18"/>
                <w:szCs w:val="18"/>
              </w:rPr>
            </w:pPr>
            <w:r>
              <w:rPr>
                <w:rFonts w:ascii="宋体" w:hAnsi="宋体" w:cs="宋体" w:eastAsia="宋体" w:hint="default"/>
                <w:sz w:val="18"/>
                <w:szCs w:val="18"/>
              </w:rPr>
              <w:t>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87" w:right="8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8" w:right="110"/>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事项概述及相关查询索引（如有）</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99"/>
              <w:jc w:val="left"/>
              <w:rPr>
                <w:rFonts w:ascii="宋体" w:hAnsi="宋体" w:cs="宋体" w:eastAsia="宋体" w:hint="default"/>
                <w:sz w:val="18"/>
                <w:szCs w:val="18"/>
              </w:rPr>
            </w:pPr>
            <w:r>
              <w:rPr>
                <w:rFonts w:ascii="宋体" w:hAnsi="宋体" w:cs="宋体" w:eastAsia="宋体" w:hint="default"/>
                <w:sz w:val="18"/>
                <w:szCs w:val="18"/>
              </w:rPr>
              <w:t>中国民生银 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76" w:firstLine="9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48.33</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(2017-011)</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99"/>
              <w:jc w:val="left"/>
              <w:rPr>
                <w:rFonts w:ascii="宋体" w:hAnsi="宋体" w:cs="宋体" w:eastAsia="宋体" w:hint="default"/>
                <w:sz w:val="18"/>
                <w:szCs w:val="18"/>
              </w:rPr>
            </w:pPr>
            <w:r>
              <w:rPr>
                <w:rFonts w:ascii="宋体" w:hAnsi="宋体" w:cs="宋体" w:eastAsia="宋体" w:hint="default"/>
                <w:sz w:val="18"/>
                <w:szCs w:val="18"/>
              </w:rPr>
              <w:t>中国银行股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中银保本 理财</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76" w:firstLine="9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3" w:right="56"/>
              <w:jc w:val="left"/>
              <w:rPr>
                <w:rFonts w:ascii="宋体" w:hAnsi="宋体" w:cs="宋体" w:eastAsia="宋体" w:hint="default"/>
                <w:sz w:val="18"/>
                <w:szCs w:val="18"/>
              </w:rPr>
            </w:pPr>
            <w:r>
              <w:rPr>
                <w:rFonts w:ascii="宋体" w:hAnsi="宋体" w:cs="宋体" w:eastAsia="宋体" w:hint="default"/>
                <w:sz w:val="18"/>
                <w:szCs w:val="18"/>
              </w:rPr>
              <w:t>中银保本理 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112.19</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(2017-008)</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199"/>
              <w:jc w:val="left"/>
              <w:rPr>
                <w:rFonts w:ascii="宋体" w:hAnsi="宋体" w:cs="宋体" w:eastAsia="宋体" w:hint="default"/>
                <w:sz w:val="18"/>
                <w:szCs w:val="18"/>
              </w:rPr>
            </w:pPr>
            <w:r>
              <w:rPr>
                <w:rFonts w:ascii="宋体" w:hAnsi="宋体" w:cs="宋体" w:eastAsia="宋体" w:hint="default"/>
                <w:sz w:val="18"/>
                <w:szCs w:val="18"/>
              </w:rPr>
              <w:t>中国银行股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中银保本 理财</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76" w:firstLine="9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3" w:right="56"/>
              <w:jc w:val="left"/>
              <w:rPr>
                <w:rFonts w:ascii="宋体" w:hAnsi="宋体" w:cs="宋体" w:eastAsia="宋体" w:hint="default"/>
                <w:sz w:val="18"/>
                <w:szCs w:val="18"/>
              </w:rPr>
            </w:pPr>
            <w:r>
              <w:rPr>
                <w:rFonts w:ascii="宋体" w:hAnsi="宋体" w:cs="宋体" w:eastAsia="宋体" w:hint="default"/>
                <w:sz w:val="18"/>
                <w:szCs w:val="18"/>
              </w:rPr>
              <w:t>中银保本理 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82.85</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(2017-042)</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22" w:right="199"/>
              <w:jc w:val="both"/>
              <w:rPr>
                <w:rFonts w:ascii="宋体" w:hAnsi="宋体" w:cs="宋体" w:eastAsia="宋体" w:hint="default"/>
                <w:sz w:val="18"/>
                <w:szCs w:val="18"/>
              </w:rPr>
            </w:pPr>
            <w:r>
              <w:rPr>
                <w:rFonts w:ascii="宋体" w:hAnsi="宋体" w:cs="宋体" w:eastAsia="宋体" w:hint="default"/>
                <w:sz w:val="18"/>
                <w:szCs w:val="18"/>
              </w:rPr>
              <w:t>中国光大银 行股份有限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76" w:firstLine="9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166.88</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(2017-072)</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2" w:right="199"/>
              <w:jc w:val="both"/>
              <w:rPr>
                <w:rFonts w:ascii="宋体" w:hAnsi="宋体" w:cs="宋体" w:eastAsia="宋体" w:hint="default"/>
                <w:sz w:val="18"/>
                <w:szCs w:val="18"/>
              </w:rPr>
            </w:pPr>
            <w:r>
              <w:rPr>
                <w:rFonts w:ascii="宋体" w:hAnsi="宋体" w:cs="宋体" w:eastAsia="宋体" w:hint="default"/>
                <w:sz w:val="18"/>
                <w:szCs w:val="18"/>
              </w:rPr>
              <w:t>中国光大银 行股份有限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76" w:firstLine="9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(2017-173)</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199"/>
              <w:jc w:val="left"/>
              <w:rPr>
                <w:rFonts w:ascii="宋体" w:hAnsi="宋体" w:cs="宋体" w:eastAsia="宋体" w:hint="default"/>
                <w:sz w:val="18"/>
                <w:szCs w:val="18"/>
              </w:rPr>
            </w:pPr>
            <w:r>
              <w:rPr>
                <w:rFonts w:ascii="宋体" w:hAnsi="宋体" w:cs="宋体" w:eastAsia="宋体" w:hint="default"/>
                <w:sz w:val="18"/>
                <w:szCs w:val="18"/>
              </w:rPr>
              <w:t>交通银行股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“蕴通财 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 利”</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5,200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3" w:right="1"/>
              <w:jc w:val="left"/>
              <w:rPr>
                <w:rFonts w:ascii="宋体" w:hAnsi="宋体" w:cs="宋体" w:eastAsia="宋体" w:hint="default"/>
                <w:sz w:val="18"/>
                <w:szCs w:val="18"/>
              </w:rPr>
            </w:pPr>
            <w:r>
              <w:rPr>
                <w:rFonts w:ascii="宋体" w:hAnsi="宋体" w:cs="宋体" w:eastAsia="宋体" w:hint="default"/>
                <w:sz w:val="18"/>
                <w:szCs w:val="18"/>
              </w:rPr>
              <w:t>“蕴通财 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日增利” </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2" w:lineRule="exact"/>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50.08</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(2017-001)</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bl>
    <w:p>
      <w:pPr>
        <w:spacing w:after="0" w:line="232" w:lineRule="exact"/>
        <w:jc w:val="both"/>
        <w:rPr>
          <w:rFonts w:ascii="宋体" w:hAnsi="宋体" w:cs="宋体" w:eastAsia="宋体" w:hint="default"/>
          <w:sz w:val="18"/>
          <w:szCs w:val="18"/>
        </w:rPr>
        <w:sectPr>
          <w:type w:val="continuous"/>
          <w:pgSz w:w="16840" w:h="11910" w:orient="landscape"/>
          <w:pgMar w:top="1060" w:bottom="116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134"/>
        <w:gridCol w:w="851"/>
        <w:gridCol w:w="607"/>
        <w:gridCol w:w="574"/>
        <w:gridCol w:w="561"/>
        <w:gridCol w:w="809"/>
        <w:gridCol w:w="851"/>
        <w:gridCol w:w="992"/>
        <w:gridCol w:w="709"/>
        <w:gridCol w:w="561"/>
        <w:gridCol w:w="561"/>
        <w:gridCol w:w="561"/>
        <w:gridCol w:w="561"/>
        <w:gridCol w:w="549"/>
        <w:gridCol w:w="547"/>
        <w:gridCol w:w="771"/>
        <w:gridCol w:w="2976"/>
      </w:tblGrid>
      <w:tr>
        <w:trPr>
          <w:trHeight w:val="1159" w:hRule="exact"/>
        </w:trPr>
        <w:tc>
          <w:tcPr>
            <w:tcW w:w="1134"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99"/>
              <w:jc w:val="left"/>
              <w:rPr>
                <w:rFonts w:ascii="宋体" w:hAnsi="宋体" w:cs="宋体" w:eastAsia="宋体" w:hint="default"/>
                <w:sz w:val="18"/>
                <w:szCs w:val="18"/>
              </w:rPr>
            </w:pPr>
            <w:r>
              <w:rPr>
                <w:rFonts w:ascii="宋体" w:hAnsi="宋体" w:cs="宋体" w:eastAsia="宋体" w:hint="default"/>
                <w:sz w:val="18"/>
                <w:szCs w:val="18"/>
              </w:rPr>
              <w:t>交通银行股 份有限公司</w:t>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3" w:right="95"/>
              <w:jc w:val="left"/>
              <w:rPr>
                <w:rFonts w:ascii="宋体" w:hAnsi="宋体" w:cs="宋体" w:eastAsia="宋体" w:hint="default"/>
                <w:sz w:val="18"/>
                <w:szCs w:val="18"/>
              </w:rPr>
            </w:pPr>
            <w:r>
              <w:rPr>
                <w:rFonts w:ascii="宋体" w:hAnsi="宋体" w:cs="宋体" w:eastAsia="宋体" w:hint="default"/>
                <w:sz w:val="18"/>
                <w:szCs w:val="18"/>
              </w:rPr>
              <w:t>“蕴通财 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 利”</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60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5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3" w:right="1"/>
              <w:jc w:val="left"/>
              <w:rPr>
                <w:rFonts w:ascii="宋体" w:hAnsi="宋体" w:cs="宋体" w:eastAsia="宋体" w:hint="default"/>
                <w:sz w:val="18"/>
                <w:szCs w:val="18"/>
              </w:rPr>
            </w:pPr>
            <w:r>
              <w:rPr>
                <w:rFonts w:ascii="宋体" w:hAnsi="宋体" w:cs="宋体" w:eastAsia="宋体" w:hint="default"/>
                <w:sz w:val="18"/>
                <w:szCs w:val="18"/>
              </w:rPr>
              <w:t>“蕴通财 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日增利” </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3.12%</w:t>
            </w:r>
          </w:p>
        </w:tc>
        <w:tc>
          <w:tcPr>
            <w:tcW w:w="5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22.46</w:t>
            </w:r>
          </w:p>
        </w:tc>
        <w:tc>
          <w:tcPr>
            <w:tcW w:w="5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w:t>
            </w:r>
          </w:p>
        </w:tc>
        <w:tc>
          <w:tcPr>
            <w:tcW w:w="5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22.46</w:t>
            </w:r>
          </w:p>
        </w:tc>
        <w:tc>
          <w:tcPr>
            <w:tcW w:w="549" w:type="dxa"/>
            <w:tcBorders>
              <w:top w:val="single" w:sz="16" w:space="0" w:color="000000"/>
              <w:left w:val="single" w:sz="4" w:space="0" w:color="000000"/>
              <w:bottom w:val="single" w:sz="4" w:space="0" w:color="000000"/>
              <w:right w:val="single" w:sz="4" w:space="0" w:color="000000"/>
            </w:tcBorders>
          </w:tcPr>
          <w:p>
            <w:pPr/>
          </w:p>
        </w:tc>
        <w:tc>
          <w:tcPr>
            <w:tcW w:w="54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2" w:right="62"/>
              <w:jc w:val="both"/>
              <w:rPr>
                <w:rFonts w:ascii="宋体" w:hAnsi="宋体" w:cs="宋体" w:eastAsia="宋体" w:hint="default"/>
                <w:sz w:val="18"/>
                <w:szCs w:val="18"/>
              </w:rPr>
            </w:pPr>
            <w:r>
              <w:rPr>
                <w:rFonts w:ascii="宋体" w:hAnsi="宋体" w:cs="宋体" w:eastAsia="宋体" w:hint="default"/>
                <w:sz w:val="18"/>
                <w:szCs w:val="18"/>
              </w:rPr>
              <w:t>理财进展公告</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(2017-001)</w:t>
            </w:r>
            <w:r>
              <w:rPr>
                <w:rFonts w:ascii="宋体" w:hAnsi="宋体" w:cs="宋体" w:eastAsia="宋体" w:hint="default"/>
                <w:sz w:val="18"/>
                <w:szCs w:val="18"/>
              </w:rPr>
              <w:t>刊载于《证 </w:t>
            </w:r>
            <w:r>
              <w:rPr>
                <w:rFonts w:ascii="宋体" w:hAnsi="宋体" w:cs="宋体" w:eastAsia="宋体" w:hint="default"/>
                <w:spacing w:val="-18"/>
                <w:sz w:val="18"/>
                <w:szCs w:val="18"/>
              </w:rPr>
              <w:t>券时报》、</w:t>
            </w:r>
            <w:r>
              <w:rPr>
                <w:rFonts w:ascii="宋体" w:hAnsi="宋体" w:cs="宋体" w:eastAsia="宋体" w:hint="default"/>
                <w:spacing w:val="-2"/>
                <w:sz w:val="18"/>
                <w:szCs w:val="18"/>
              </w:rPr>
              <w:t> </w:t>
            </w:r>
            <w:r>
              <w:rPr>
                <w:rFonts w:ascii="宋体" w:hAnsi="宋体" w:cs="宋体" w:eastAsia="宋体" w:hint="default"/>
                <w:sz w:val="18"/>
                <w:szCs w:val="18"/>
              </w:rPr>
              <w:t>《证券日报》和巨潮资讯</w:t>
            </w:r>
            <w:r>
              <w:rPr>
                <w:rFonts w:ascii="宋体" w:hAnsi="宋体" w:cs="宋体" w:eastAsia="宋体" w:hint="default"/>
                <w:sz w:val="18"/>
                <w:szCs w:val="18"/>
              </w:rPr>
              <w:t> 网</w:t>
            </w: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199"/>
              <w:jc w:val="left"/>
              <w:rPr>
                <w:rFonts w:ascii="宋体" w:hAnsi="宋体" w:cs="宋体" w:eastAsia="宋体" w:hint="default"/>
                <w:sz w:val="18"/>
                <w:szCs w:val="18"/>
              </w:rPr>
            </w:pPr>
            <w:r>
              <w:rPr>
                <w:rFonts w:ascii="宋体" w:hAnsi="宋体" w:cs="宋体" w:eastAsia="宋体" w:hint="default"/>
                <w:sz w:val="18"/>
                <w:szCs w:val="18"/>
              </w:rPr>
              <w:t>交通银行股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保本理财</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保本理财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2" w:right="134"/>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6"/>
              <w:jc w:val="center"/>
              <w:rPr>
                <w:rFonts w:ascii="Times New Roman" w:hAnsi="Times New Roman" w:cs="Times New Roman" w:eastAsia="Times New Roman" w:hint="default"/>
                <w:sz w:val="18"/>
                <w:szCs w:val="18"/>
              </w:rPr>
            </w:pPr>
            <w:r>
              <w:rPr>
                <w:rFonts w:ascii="Times New Roman"/>
                <w:sz w:val="18"/>
              </w:rPr>
              <w:t>0.20</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22" w:right="199"/>
              <w:jc w:val="left"/>
              <w:rPr>
                <w:rFonts w:ascii="宋体" w:hAnsi="宋体" w:cs="宋体" w:eastAsia="宋体" w:hint="default"/>
                <w:sz w:val="18"/>
                <w:szCs w:val="18"/>
              </w:rPr>
            </w:pPr>
            <w:r>
              <w:rPr>
                <w:rFonts w:ascii="宋体" w:hAnsi="宋体" w:cs="宋体" w:eastAsia="宋体" w:hint="default"/>
                <w:sz w:val="18"/>
                <w:szCs w:val="18"/>
              </w:rPr>
              <w:t>工商银行宁 波新城支行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59" w:right="59"/>
              <w:jc w:val="left"/>
              <w:rPr>
                <w:rFonts w:ascii="宋体" w:hAnsi="宋体" w:cs="宋体" w:eastAsia="宋体" w:hint="default"/>
                <w:sz w:val="18"/>
                <w:szCs w:val="18"/>
              </w:rPr>
            </w:pPr>
            <w:r>
              <w:rPr>
                <w:rFonts w:ascii="宋体" w:hAnsi="宋体" w:cs="宋体" w:eastAsia="宋体" w:hint="default"/>
                <w:sz w:val="18"/>
                <w:szCs w:val="18"/>
              </w:rPr>
              <w:t>工银理财 共赢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22" w:right="33"/>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29"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220" w:right="40" w:hanging="180"/>
              <w:jc w:val="left"/>
              <w:rPr>
                <w:rFonts w:ascii="宋体" w:hAnsi="宋体" w:cs="宋体" w:eastAsia="宋体" w:hint="default"/>
                <w:sz w:val="18"/>
                <w:szCs w:val="18"/>
              </w:rPr>
            </w:pPr>
            <w:r>
              <w:rPr>
                <w:rFonts w:ascii="宋体" w:hAnsi="宋体" w:cs="宋体" w:eastAsia="宋体" w:hint="default"/>
                <w:sz w:val="18"/>
                <w:szCs w:val="18"/>
              </w:rPr>
              <w:t>工银理财共 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2"/>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6"/>
              <w:jc w:val="center"/>
              <w:rPr>
                <w:rFonts w:ascii="Times New Roman" w:hAnsi="Times New Roman" w:cs="Times New Roman" w:eastAsia="Times New Roman" w:hint="default"/>
                <w:sz w:val="18"/>
                <w:szCs w:val="18"/>
              </w:rPr>
            </w:pPr>
            <w:r>
              <w:rPr>
                <w:rFonts w:ascii="Times New Roman"/>
                <w:sz w:val="18"/>
              </w:rPr>
              <w:t>3.77</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99"/>
              <w:jc w:val="left"/>
              <w:rPr>
                <w:rFonts w:ascii="宋体" w:hAnsi="宋体" w:cs="宋体" w:eastAsia="宋体" w:hint="default"/>
                <w:sz w:val="18"/>
                <w:szCs w:val="18"/>
              </w:rPr>
            </w:pPr>
            <w:r>
              <w:rPr>
                <w:rFonts w:ascii="宋体" w:hAnsi="宋体" w:cs="宋体" w:eastAsia="宋体" w:hint="default"/>
                <w:sz w:val="18"/>
                <w:szCs w:val="18"/>
              </w:rPr>
              <w:t>工商银行宁 波新城支行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59" w:right="59"/>
              <w:jc w:val="left"/>
              <w:rPr>
                <w:rFonts w:ascii="宋体" w:hAnsi="宋体" w:cs="宋体" w:eastAsia="宋体" w:hint="default"/>
                <w:sz w:val="18"/>
                <w:szCs w:val="18"/>
              </w:rPr>
            </w:pPr>
            <w:r>
              <w:rPr>
                <w:rFonts w:ascii="宋体" w:hAnsi="宋体" w:cs="宋体" w:eastAsia="宋体" w:hint="default"/>
                <w:sz w:val="18"/>
                <w:szCs w:val="18"/>
              </w:rPr>
              <w:t>工银理财 共赢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33"/>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0" w:right="40" w:hanging="180"/>
              <w:jc w:val="left"/>
              <w:rPr>
                <w:rFonts w:ascii="宋体" w:hAnsi="宋体" w:cs="宋体" w:eastAsia="宋体" w:hint="default"/>
                <w:sz w:val="18"/>
                <w:szCs w:val="18"/>
              </w:rPr>
            </w:pPr>
            <w:r>
              <w:rPr>
                <w:rFonts w:ascii="宋体" w:hAnsi="宋体" w:cs="宋体" w:eastAsia="宋体" w:hint="default"/>
                <w:sz w:val="18"/>
                <w:szCs w:val="18"/>
              </w:rPr>
              <w:t>工银理财共 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3"/>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14.77</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1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199"/>
              <w:jc w:val="left"/>
              <w:rPr>
                <w:rFonts w:ascii="宋体" w:hAnsi="宋体" w:cs="宋体" w:eastAsia="宋体" w:hint="default"/>
                <w:sz w:val="18"/>
                <w:szCs w:val="18"/>
              </w:rPr>
            </w:pPr>
            <w:r>
              <w:rPr>
                <w:rFonts w:ascii="宋体" w:hAnsi="宋体" w:cs="宋体" w:eastAsia="宋体" w:hint="default"/>
                <w:sz w:val="18"/>
                <w:szCs w:val="18"/>
              </w:rPr>
              <w:t>工商银行宁 波新城支行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59"/>
              <w:jc w:val="left"/>
              <w:rPr>
                <w:rFonts w:ascii="宋体" w:hAnsi="宋体" w:cs="宋体" w:eastAsia="宋体" w:hint="default"/>
                <w:sz w:val="18"/>
                <w:szCs w:val="18"/>
              </w:rPr>
            </w:pPr>
            <w:r>
              <w:rPr>
                <w:rFonts w:ascii="宋体" w:hAnsi="宋体" w:cs="宋体" w:eastAsia="宋体" w:hint="default"/>
                <w:sz w:val="18"/>
                <w:szCs w:val="18"/>
              </w:rPr>
              <w:t>工银理财 共赢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0" w:right="40" w:hanging="180"/>
              <w:jc w:val="left"/>
              <w:rPr>
                <w:rFonts w:ascii="宋体" w:hAnsi="宋体" w:cs="宋体" w:eastAsia="宋体" w:hint="default"/>
                <w:sz w:val="18"/>
                <w:szCs w:val="18"/>
              </w:rPr>
            </w:pPr>
            <w:r>
              <w:rPr>
                <w:rFonts w:ascii="宋体" w:hAnsi="宋体" w:cs="宋体" w:eastAsia="宋体" w:hint="default"/>
                <w:sz w:val="18"/>
                <w:szCs w:val="18"/>
              </w:rPr>
              <w:t>工银理财共 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134"/>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13.52</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144" w:hRule="exact"/>
        </w:trPr>
        <w:tc>
          <w:tcPr>
            <w:tcW w:w="2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90,500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515.05</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8" w:footer="978" w:top="1060" w:bottom="1160" w:left="1220" w:right="1220"/>
        </w:sectPr>
      </w:pPr>
    </w:p>
    <w:p>
      <w:pPr>
        <w:spacing w:line="240" w:lineRule="auto" w:before="6"/>
        <w:rPr>
          <w:rFonts w:ascii="Times New Roman" w:hAnsi="Times New Roman" w:cs="Times New Roman" w:eastAsia="Times New Roman" w:hint="default"/>
          <w:sz w:val="21"/>
          <w:szCs w:val="21"/>
        </w:rPr>
      </w:pPr>
    </w:p>
    <w:p>
      <w:pPr>
        <w:pStyle w:val="BodyText"/>
        <w:spacing w:line="240" w:lineRule="auto" w:before="44"/>
        <w:ind w:right="0"/>
        <w:jc w:val="left"/>
      </w:pPr>
      <w:r>
        <w:rPr/>
        <w:t>委托理财出现预期无法收回本金或存在其他可能导致减值的情形</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1"/>
          <w:szCs w:val="21"/>
        </w:rPr>
      </w:pPr>
    </w:p>
    <w:p>
      <w:pPr>
        <w:pStyle w:val="BodyText"/>
        <w:spacing w:line="266" w:lineRule="auto"/>
        <w:ind w:right="7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十八、社会责任情况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公司报告年度暂未开展精准扶贫工作，也暂无后续精准扶贫计划。</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、环境保护相关的情况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4794"/>
        <w:jc w:val="left"/>
      </w:pPr>
      <w:r>
        <w:rPr/>
        <w:t>上市公司及其子公司是否属于环境保护部门公布的重点排污单位 否</w:t>
      </w:r>
    </w:p>
    <w:p>
      <w:pPr>
        <w:pStyle w:val="BodyText"/>
        <w:spacing w:line="240" w:lineRule="auto" w:before="9"/>
        <w:ind w:right="0"/>
        <w:jc w:val="left"/>
      </w:pPr>
      <w:r>
        <w:rPr/>
        <w:t>公司及子公司不属于环境保护部门公布的重点排污单位。</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37" w:lineRule="auto" w:before="86"/>
        <w:ind w:right="0" w:firstLine="480"/>
        <w:jc w:val="left"/>
      </w:pPr>
      <w:r>
        <w:rPr>
          <w:spacing w:val="-2"/>
        </w:rPr>
        <w:t>1、公司第七届董事会2017年第八次临时会议审议通过了《关于公司收购广州网融信息技术有限公司25%股权的议案》，</w:t>
      </w:r>
      <w:r>
        <w:rPr/>
        <w:t> 公司以4,872.00万元取得广州网融信息技术有限公司25%股权，收购陈颖、陈勇及谢鹏所持广州网融信息技术有限公司25%</w:t>
      </w:r>
      <w:r>
        <w:rPr>
          <w:spacing w:val="-12"/>
        </w:rPr>
        <w:t> </w:t>
      </w:r>
      <w:r>
        <w:rPr>
          <w:spacing w:val="-12"/>
        </w:rPr>
      </w:r>
      <w:r>
        <w:rPr/>
        <w:t>股权。截止2017年11月15日，股东变更的工商登记手续已完成。</w:t>
      </w:r>
    </w:p>
    <w:p>
      <w:pPr>
        <w:pStyle w:val="BodyText"/>
        <w:spacing w:line="237" w:lineRule="auto" w:before="100"/>
        <w:ind w:right="209" w:firstLine="480"/>
        <w:jc w:val="right"/>
      </w:pPr>
      <w:r>
        <w:rPr>
          <w:spacing w:val="-1"/>
        </w:rPr>
        <w:t>2、2017年5月10日中国证券登记结算有限责任公司出具了《证券过户登记确认书》(业务编号：443000000058)，天津</w:t>
      </w:r>
      <w:r>
        <w:rPr/>
        <w:t> 泰达科技投资股份有限公司将其所持公司股份38,000,000股协议转让给西藏华毓创业投资管理有限公司的过户工作已经完</w:t>
      </w:r>
      <w:r>
        <w:rPr>
          <w:spacing w:val="-44"/>
        </w:rPr>
        <w:t> </w:t>
      </w:r>
      <w:r>
        <w:rPr>
          <w:spacing w:val="-44"/>
        </w:rPr>
      </w:r>
      <w:r>
        <w:rPr>
          <w:spacing w:val="-1"/>
        </w:rPr>
        <w:t>成，该部分股份已经登记在西藏华毓创业投资管理有限公司名下，股份性质为无限售流通股，过户日期为2017年5月10日。</w:t>
      </w:r>
    </w:p>
    <w:p>
      <w:pPr>
        <w:pStyle w:val="BodyText"/>
        <w:spacing w:line="232" w:lineRule="exact" w:before="120"/>
        <w:ind w:right="0" w:firstLine="480"/>
        <w:jc w:val="left"/>
      </w:pPr>
      <w:r>
        <w:rPr>
          <w:spacing w:val="-1"/>
        </w:rPr>
        <w:t>3、公司第七届董事会2017年第七次临时会议审议通过了《关于公司参与投资设立产业并购基金的议案》，于2017年9</w:t>
      </w:r>
      <w:r>
        <w:rPr/>
        <w:t> 月20日成立了霍尔果斯中企易桥股权投资合伙企业（有限合伙）。</w:t>
      </w:r>
    </w:p>
    <w:p>
      <w:pPr>
        <w:pStyle w:val="BodyText"/>
        <w:spacing w:line="232" w:lineRule="exact" w:before="104"/>
        <w:ind w:right="210" w:firstLine="480"/>
        <w:jc w:val="both"/>
      </w:pPr>
      <w:r>
        <w:rPr/>
        <w:t>4、公司第七届董事会2017年第九次临时会议、第七届监事会2017年第八次临时会议审议通过了《关于公司继续使用 </w:t>
      </w:r>
      <w:r>
        <w:rPr>
          <w:spacing w:val="-2"/>
        </w:rPr>
        <w:t>部分闲置募集资金暂时补充流动资金的议案》，公司拟继续使用部分闲置募集资金人民币12,000万元暂时补充流动资金，使</w:t>
      </w:r>
      <w:r>
        <w:rPr>
          <w:spacing w:val="-60"/>
        </w:rPr>
        <w:t> </w:t>
      </w:r>
      <w:r>
        <w:rPr>
          <w:spacing w:val="-60"/>
        </w:rPr>
      </w:r>
      <w:r>
        <w:rPr/>
        <w:t>用期限为自董事会审议通过之日起12个月。</w:t>
      </w:r>
    </w:p>
    <w:p>
      <w:pPr>
        <w:pStyle w:val="BodyText"/>
        <w:spacing w:line="232" w:lineRule="exact" w:before="101"/>
        <w:ind w:right="210" w:firstLine="480"/>
        <w:jc w:val="both"/>
      </w:pPr>
      <w:r>
        <w:rPr/>
        <w:t>5、公司第七届董事会2017年第十六次临时会议审议通过了《关于择机处置公司可供出售金融资产的议案》，同意公 </w:t>
      </w:r>
      <w:r>
        <w:rPr>
          <w:spacing w:val="-2"/>
        </w:rPr>
        <w:t>司依据市场情况减持所持凯莱英医药集团(天津)股份有限公司股票，截止本报告期末，公司出售上述股票228.82万股，取得</w:t>
      </w:r>
      <w:r>
        <w:rPr>
          <w:spacing w:val="-59"/>
        </w:rPr>
        <w:t> </w:t>
      </w:r>
      <w:r>
        <w:rPr>
          <w:spacing w:val="-59"/>
        </w:rPr>
      </w:r>
      <w:r>
        <w:rPr/>
        <w:t>投资收益11,027.26万元。</w:t>
      </w:r>
    </w:p>
    <w:p>
      <w:pPr>
        <w:pStyle w:val="BodyText"/>
        <w:spacing w:line="237" w:lineRule="auto" w:before="79"/>
        <w:ind w:right="114" w:firstLine="480"/>
        <w:jc w:val="left"/>
      </w:pPr>
      <w:r>
        <w:rPr/>
        <w:t>6、经公司总裁办公会审议，同意公司将所持有的北京九彩矿业投资有限公司27.11%股权与北京九彩矿业投资有限公 司所持有的洛阳蓝宝氟业有限公司23.08%的股权进行置换，置换价格以万隆（上海）资产评估有限公司出具的《评估报告》 </w:t>
      </w:r>
      <w:r>
        <w:rPr>
          <w:spacing w:val="-2"/>
        </w:rPr>
        <w:t>载明的评估值为依据。置换完成后，公司不再持有北京九彩矿业投资有限公司的股权，北京九彩矿业投资有限公司也不再持</w:t>
      </w:r>
      <w:r>
        <w:rPr>
          <w:spacing w:val="-63"/>
        </w:rPr>
        <w:t> </w:t>
      </w:r>
      <w:r>
        <w:rPr>
          <w:spacing w:val="-63"/>
        </w:rPr>
      </w:r>
      <w:r>
        <w:rPr/>
        <w:t>有洛阳蓝宝氟业有限公司股权，公司持有洛阳蓝宝氟业有限公司23.08%的股权。</w:t>
      </w: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headerReference w:type="default" r:id="rId26"/>
          <w:footerReference w:type="default" r:id="rId27"/>
          <w:pgSz w:w="11910" w:h="16840"/>
          <w:pgMar w:header="878" w:footer="978" w:top="1100" w:bottom="1160" w:left="1020" w:right="920"/>
          <w:pgNumType w:start="44"/>
        </w:sectPr>
      </w:pPr>
    </w:p>
    <w:p>
      <w:pPr>
        <w:spacing w:line="240" w:lineRule="auto" w:before="12"/>
        <w:rPr>
          <w:rFonts w:ascii="宋体" w:hAnsi="宋体" w:cs="宋体" w:eastAsia="宋体" w:hint="default"/>
          <w:sz w:val="18"/>
          <w:szCs w:val="18"/>
        </w:rPr>
      </w:pPr>
    </w:p>
    <w:p>
      <w:pPr>
        <w:pStyle w:val="BodyText"/>
        <w:spacing w:line="237" w:lineRule="auto" w:before="46"/>
        <w:ind w:right="94" w:firstLine="480"/>
        <w:jc w:val="left"/>
      </w:pPr>
      <w:r>
        <w:rPr/>
        <w:t>1、公司第七届董事会2017年第十三次临时会议、第七届监事会第十二次临时会议审议通过了《关于&lt;神州易桥信息服 务股份有限公司重大资产出售暨关联交易报告书（草案）&gt;及其摘要的议案》等与本次重组相关的议案，拟出售子公司青海</w:t>
      </w:r>
      <w:r>
        <w:rPr>
          <w:spacing w:val="-85"/>
        </w:rPr>
        <w:t> </w:t>
      </w:r>
      <w:r>
        <w:rPr>
          <w:spacing w:val="-85"/>
        </w:rPr>
      </w:r>
      <w:r>
        <w:rPr>
          <w:spacing w:val="-2"/>
        </w:rPr>
        <w:t>明胶有限责任公司100%股权、青海明诺胶囊有限公司100%股权、柳州市宏升胶原蛋白肠衣有限公司100%股权、广东明洋明胶</w:t>
      </w:r>
      <w:r>
        <w:rPr>
          <w:spacing w:val="-57"/>
        </w:rPr>
        <w:t> </w:t>
      </w:r>
      <w:r>
        <w:rPr>
          <w:spacing w:val="-57"/>
        </w:rPr>
      </w:r>
      <w:r>
        <w:rPr>
          <w:spacing w:val="-2"/>
        </w:rPr>
        <w:t>有限责任公司67.03%股权。交易对手方为公司控股股东天津泰达科技投资股份有限公司的4家全资子公司。截止本报告期末，</w:t>
      </w:r>
      <w:r>
        <w:rPr>
          <w:spacing w:val="-58"/>
        </w:rPr>
        <w:t> </w:t>
      </w:r>
      <w:r>
        <w:rPr>
          <w:spacing w:val="-58"/>
        </w:rPr>
      </w:r>
      <w:r>
        <w:rPr/>
        <w:t>相关转让事宜已处理完毕，不再纳入公司合并范围。</w:t>
      </w:r>
    </w:p>
    <w:p>
      <w:pPr>
        <w:pStyle w:val="BodyText"/>
        <w:spacing w:line="237" w:lineRule="auto" w:before="100"/>
        <w:ind w:right="190" w:firstLine="480"/>
        <w:jc w:val="both"/>
      </w:pPr>
      <w:r>
        <w:rPr/>
        <w:t>2、公司第七届董事会2017年第五次临时会议、第七届监事会2017年第五次临时会议审议通过了《关于变更部分募集 </w:t>
      </w:r>
      <w:r>
        <w:rPr>
          <w:spacing w:val="-2"/>
        </w:rPr>
        <w:t>资金投资项目实施方式的议案》，同意公司将在保持“智慧企业孵化云平台”项目投资额不变的情况下，变更该项目线下服</w:t>
      </w:r>
      <w:r>
        <w:rPr>
          <w:spacing w:val="-63"/>
        </w:rPr>
        <w:t> </w:t>
      </w:r>
      <w:r>
        <w:rPr>
          <w:spacing w:val="-63"/>
        </w:rPr>
      </w:r>
      <w:r>
        <w:rPr>
          <w:spacing w:val="-2"/>
        </w:rPr>
        <w:t>务体系的实施方式。由自建方式变更为由子公司企业管家根据项目建设进度，通过增资或收购标的企业以控股的形式建设线</w:t>
      </w:r>
      <w:r>
        <w:rPr>
          <w:spacing w:val="-64"/>
        </w:rPr>
        <w:t> </w:t>
      </w:r>
      <w:r>
        <w:rPr>
          <w:spacing w:val="-64"/>
        </w:rPr>
      </w:r>
      <w:r>
        <w:rPr>
          <w:spacing w:val="4"/>
        </w:rPr>
        <w:t>下服务网点，进一步保障企业互联网服务线上线下有效结合。企业管家对霍尔果斯易桥快马企业管理咨询有限公司增资</w:t>
      </w:r>
      <w:r>
        <w:rPr>
          <w:spacing w:val="-53"/>
        </w:rPr>
        <w:t> </w:t>
      </w:r>
      <w:r>
        <w:rPr>
          <w:spacing w:val="-53"/>
        </w:rPr>
      </w:r>
      <w:r>
        <w:rPr/>
        <w:t>30,000万元进行股权并购，上述股权变更的工商登记已于2017年7月17日完成。</w:t>
      </w:r>
    </w:p>
    <w:p>
      <w:pPr>
        <w:pStyle w:val="BodyText"/>
        <w:spacing w:line="237" w:lineRule="auto" w:before="100"/>
        <w:ind w:right="192" w:firstLine="480"/>
        <w:jc w:val="both"/>
      </w:pPr>
      <w:r>
        <w:rPr/>
        <w:t>3、公司第七届董事会2017年第三次临时会议、第七届监事会2017年第三次临时会议，审议通过了《关于转让控股子 </w:t>
      </w:r>
      <w:r>
        <w:rPr>
          <w:spacing w:val="-2"/>
        </w:rPr>
        <w:t>公司河南省焦作金箭明胶有限责任公司51%股权的议案》。同意公司将控股子公司河南省焦作金箭明胶有限责任公司51%转让</w:t>
      </w:r>
      <w:r>
        <w:rPr>
          <w:spacing w:val="-61"/>
        </w:rPr>
        <w:t> </w:t>
      </w:r>
      <w:r>
        <w:rPr>
          <w:spacing w:val="-61"/>
        </w:rPr>
      </w:r>
      <w:r>
        <w:rPr/>
        <w:t>给河南省焦作金箭实业总公司，本次交易价格依据评估结果以名义价格1元转让。截止本报告期末，相关转让事宜已处理完</w:t>
      </w:r>
      <w:r>
        <w:rPr>
          <w:spacing w:val="-84"/>
        </w:rPr>
        <w:t> </w:t>
      </w:r>
      <w:r>
        <w:rPr>
          <w:spacing w:val="-84"/>
        </w:rPr>
      </w:r>
      <w:r>
        <w:rPr/>
        <w:t>毕，不再纳入合并范围。</w:t>
      </w:r>
    </w:p>
    <w:p>
      <w:pPr>
        <w:pStyle w:val="BodyText"/>
        <w:spacing w:line="237" w:lineRule="auto" w:before="100"/>
        <w:ind w:right="189" w:firstLine="480"/>
        <w:jc w:val="both"/>
      </w:pPr>
      <w:r>
        <w:rPr/>
        <w:t>4、公司第七届董事会2017年第八次临时会议、第七届监事会2017年第七次临时会议审议通过了《关于公司使用部分 </w:t>
      </w:r>
      <w:r>
        <w:rPr>
          <w:spacing w:val="-5"/>
        </w:rPr>
        <w:t>募集资金对子公司企业管家增资的议案》，向企业管家增资15,000万元，增资后企业管家注册资本金由50,000万元增至65,000</w:t>
      </w:r>
      <w:r>
        <w:rPr>
          <w:spacing w:val="-38"/>
        </w:rPr>
        <w:t> </w:t>
      </w:r>
      <w:r>
        <w:rPr>
          <w:spacing w:val="-38"/>
        </w:rPr>
      </w:r>
      <w:r>
        <w:rPr/>
        <w:t>万元。</w:t>
      </w:r>
    </w:p>
    <w:p>
      <w:pPr>
        <w:pStyle w:val="BodyText"/>
        <w:spacing w:line="237" w:lineRule="auto" w:before="98"/>
        <w:ind w:right="192" w:firstLine="480"/>
        <w:jc w:val="both"/>
      </w:pPr>
      <w:r>
        <w:rPr/>
        <w:t>5、公司第七届董事会2017年第六次临时会议审议同意子公司企业管家募集资金专项账户变更为招商银行股份有限公 司西宁分行营业部，专项账号为110921707710401。同时，公司、企业管家与招商银行股份有限公司西宁分行营业部、华泰 联合证券有限责任公司签订募集资金专户存储四方监管协议。</w:t>
      </w:r>
    </w:p>
    <w:p>
      <w:pPr>
        <w:pStyle w:val="BodyText"/>
        <w:spacing w:line="232" w:lineRule="exact" w:before="123"/>
        <w:ind w:right="192" w:firstLine="480"/>
        <w:jc w:val="both"/>
      </w:pPr>
      <w:r>
        <w:rPr/>
        <w:t>6、公司第七届董事会2017年第十六次临时会议、第七届监事会2017年监事会第十五次临时会议审议通过了《关于公 </w:t>
      </w:r>
      <w:r>
        <w:rPr>
          <w:spacing w:val="-2"/>
        </w:rPr>
        <w:t>司全资子公司对霍尔果斯快马财税管理服务有限公司增资的议案》，公司之全资子公司易桥财税科技对霍尔果斯快马财税管</w:t>
      </w:r>
      <w:r>
        <w:rPr>
          <w:spacing w:val="-64"/>
        </w:rPr>
        <w:t> </w:t>
      </w:r>
      <w:r>
        <w:rPr>
          <w:spacing w:val="-64"/>
        </w:rPr>
      </w:r>
      <w:r>
        <w:rPr/>
        <w:t>理服务有限公司增资25,000万元，持有该公司29.41%股权，截止报告期末实际出资10,000万元。</w:t>
      </w:r>
    </w:p>
    <w:p>
      <w:pPr>
        <w:spacing w:after="0" w:line="232" w:lineRule="exact"/>
        <w:jc w:val="both"/>
        <w:sectPr>
          <w:pgSz w:w="11910" w:h="16840"/>
          <w:pgMar w:header="878" w:footer="978" w:top="1100" w:bottom="1160" w:left="102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240" w:lineRule="auto"/>
        <w:ind w:left="2928" w:right="0"/>
        <w:jc w:val="left"/>
        <w:rPr>
          <w:b w:val="0"/>
          <w:bCs w:val="0"/>
        </w:rPr>
      </w:pPr>
      <w:bookmarkStart w:name="_bookmark5" w:id="7"/>
      <w:bookmarkEnd w:id="7"/>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right="0"/>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单位：股</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85"/>
        <w:gridCol w:w="1175"/>
        <w:gridCol w:w="823"/>
        <w:gridCol w:w="594"/>
        <w:gridCol w:w="425"/>
        <w:gridCol w:w="567"/>
        <w:gridCol w:w="993"/>
        <w:gridCol w:w="992"/>
        <w:gridCol w:w="1093"/>
        <w:gridCol w:w="993"/>
      </w:tblGrid>
      <w:tr>
        <w:trPr>
          <w:trHeight w:val="520"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5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78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58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9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12" w:right="10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99"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297,405,410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38.84%</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-3,719,657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293,685,753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38.35%</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297,405,410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38.84%</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-3,719,657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293,685,753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38.35%</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68,712,547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z w:val="18"/>
              </w:rPr>
              <w:t>8.97%</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68,712,547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z w:val="18"/>
              </w:rPr>
              <w:t>8.97%</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228,692,863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29.86%</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-3,719,657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224,973,206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29.38%</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468,393,943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61.16%</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472,113,600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61.65%</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468,393,943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61.16%</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472,113,600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61.65%</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765,799,353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765,799,353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16"/>
          <w:szCs w:val="16"/>
        </w:rPr>
      </w:pPr>
    </w:p>
    <w:p>
      <w:pPr>
        <w:pStyle w:val="BodyText"/>
        <w:spacing w:line="240" w:lineRule="auto" w:before="44"/>
        <w:ind w:right="0"/>
        <w:jc w:val="left"/>
      </w:pPr>
      <w:r>
        <w:rPr/>
        <w:t>股份变动的原因</w:t>
      </w:r>
    </w:p>
    <w:p>
      <w:pPr>
        <w:pStyle w:val="BodyText"/>
        <w:spacing w:line="264" w:lineRule="auto" w:before="38"/>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董事锁定股因董事离职，到期解除限售</w:t>
      </w:r>
      <w:r>
        <w:rPr>
          <w:rFonts w:ascii="Times New Roman" w:hAnsi="Times New Roman" w:cs="Times New Roman" w:eastAsia="Times New Roman" w:hint="default"/>
        </w:rPr>
        <w:t>3,719,657</w:t>
      </w:r>
      <w:r>
        <w:rPr/>
        <w:t>股。</w:t>
      </w:r>
    </w:p>
    <w:p>
      <w:pPr>
        <w:spacing w:line="240" w:lineRule="auto" w:before="2"/>
        <w:rPr>
          <w:rFonts w:ascii="宋体" w:hAnsi="宋体" w:cs="宋体" w:eastAsia="宋体" w:hint="default"/>
          <w:sz w:val="16"/>
          <w:szCs w:val="16"/>
        </w:rPr>
      </w:pPr>
    </w:p>
    <w:p>
      <w:pPr>
        <w:pStyle w:val="BodyText"/>
        <w:spacing w:line="240" w:lineRule="auto"/>
        <w:ind w:right="0"/>
        <w:jc w:val="left"/>
      </w:pPr>
      <w:r>
        <w:rPr/>
        <w:t>股份变动的批准情况</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0"/>
          <w:szCs w:val="20"/>
        </w:rPr>
      </w:pPr>
    </w:p>
    <w:p>
      <w:pPr>
        <w:pStyle w:val="BodyText"/>
        <w:spacing w:line="240" w:lineRule="auto"/>
        <w:ind w:right="0"/>
        <w:jc w:val="left"/>
      </w:pPr>
      <w:r>
        <w:rPr/>
        <w:t>股份变动的过户情况</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0"/>
          <w:szCs w:val="20"/>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0"/>
          <w:szCs w:val="20"/>
        </w:rPr>
      </w:pPr>
    </w:p>
    <w:p>
      <w:pPr>
        <w:pStyle w:val="BodyText"/>
        <w:spacing w:line="240" w:lineRule="auto"/>
        <w:ind w:right="0"/>
        <w:jc w:val="left"/>
      </w:pPr>
      <w:r>
        <w:rPr/>
        <w:t>公司认为必要或证券监管机构要求披露的其他内容</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left="21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4"/>
        <w:ind w:left="0" w:right="212"/>
        <w:jc w:val="right"/>
      </w:pPr>
      <w:r>
        <w:rPr/>
        <w:t>单位：股</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78"/>
        <w:gridCol w:w="1074"/>
        <w:gridCol w:w="1001"/>
        <w:gridCol w:w="786"/>
        <w:gridCol w:w="1134"/>
        <w:gridCol w:w="1048"/>
        <w:gridCol w:w="3297"/>
      </w:tblGrid>
      <w:tr>
        <w:trPr>
          <w:trHeight w:val="690"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2"/>
              <w:ind w:left="442" w:right="8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2"/>
              <w:ind w:left="224" w:right="44"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2"/>
              <w:ind w:left="27" w:right="26"/>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2"/>
              <w:ind w:left="473" w:right="10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78,130,329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78,130,329</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13"/>
              <w:jc w:val="left"/>
              <w:rPr>
                <w:rFonts w:ascii="宋体" w:hAnsi="宋体" w:cs="宋体" w:eastAsia="宋体" w:hint="default"/>
                <w:sz w:val="18"/>
                <w:szCs w:val="18"/>
              </w:rPr>
            </w:pPr>
            <w:r>
              <w:rPr>
                <w:rFonts w:ascii="宋体" w:hAnsi="宋体" w:cs="宋体" w:eastAsia="宋体" w:hint="default"/>
                <w:sz w:val="18"/>
                <w:szCs w:val="18"/>
              </w:rPr>
              <w:t>购买资产发 行股份锁定</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23,439,098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股（因</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股权质押未办理解锁</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23,439,098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31,252,133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69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128,536,103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3,719,657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124,816,446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22" w:right="113"/>
              <w:jc w:val="left"/>
              <w:rPr>
                <w:rFonts w:ascii="宋体" w:hAnsi="宋体" w:cs="宋体" w:eastAsia="宋体" w:hint="default"/>
                <w:sz w:val="18"/>
                <w:szCs w:val="18"/>
              </w:rPr>
            </w:pPr>
            <w:r>
              <w:rPr>
                <w:rFonts w:ascii="宋体" w:hAnsi="宋体" w:cs="宋体" w:eastAsia="宋体" w:hint="default"/>
                <w:sz w:val="18"/>
                <w:szCs w:val="18"/>
              </w:rPr>
              <w:t>非公开发行 锁定</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3" w:right="2"/>
              <w:jc w:val="left"/>
              <w:rPr>
                <w:rFonts w:ascii="宋体" w:hAnsi="宋体" w:cs="宋体" w:eastAsia="宋体" w:hint="default"/>
                <w:sz w:val="18"/>
                <w:szCs w:val="18"/>
              </w:rPr>
            </w:pPr>
            <w:r>
              <w:rPr>
                <w:rFonts w:ascii="宋体" w:hAnsi="宋体" w:cs="宋体" w:eastAsia="宋体" w:hint="default"/>
                <w:sz w:val="18"/>
                <w:szCs w:val="18"/>
              </w:rPr>
              <w:t>百达永信（北京） 投资有限公司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45,768,340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45,768,340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2" w:right="113"/>
              <w:jc w:val="left"/>
              <w:rPr>
                <w:rFonts w:ascii="宋体" w:hAnsi="宋体" w:cs="宋体" w:eastAsia="宋体" w:hint="default"/>
                <w:sz w:val="18"/>
                <w:szCs w:val="18"/>
              </w:rPr>
            </w:pPr>
            <w:r>
              <w:rPr>
                <w:rFonts w:ascii="宋体" w:hAnsi="宋体" w:cs="宋体" w:eastAsia="宋体" w:hint="default"/>
                <w:sz w:val="18"/>
                <w:szCs w:val="18"/>
              </w:rPr>
              <w:t>购买资产发 行股份锁定</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13,730,502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股（因</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股权质押未办理解锁</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13,730,502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18,307,336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r>
      <w:tr>
        <w:trPr>
          <w:trHeight w:val="69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23" w:right="182"/>
              <w:jc w:val="left"/>
              <w:rPr>
                <w:rFonts w:ascii="宋体" w:hAnsi="宋体" w:cs="宋体" w:eastAsia="宋体" w:hint="default"/>
                <w:sz w:val="18"/>
                <w:szCs w:val="18"/>
              </w:rPr>
            </w:pPr>
            <w:r>
              <w:rPr>
                <w:rFonts w:ascii="宋体" w:hAnsi="宋体" w:cs="宋体" w:eastAsia="宋体" w:hint="default"/>
                <w:sz w:val="18"/>
                <w:szCs w:val="18"/>
              </w:rPr>
              <w:t>新疆泰达新源股 权投资有限公司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22,944,207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22,944,207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22" w:right="113"/>
              <w:jc w:val="left"/>
              <w:rPr>
                <w:rFonts w:ascii="宋体" w:hAnsi="宋体" w:cs="宋体" w:eastAsia="宋体" w:hint="default"/>
                <w:sz w:val="18"/>
                <w:szCs w:val="18"/>
              </w:rPr>
            </w:pPr>
            <w:r>
              <w:rPr>
                <w:rFonts w:ascii="宋体" w:hAnsi="宋体" w:cs="宋体" w:eastAsia="宋体" w:hint="default"/>
                <w:sz w:val="18"/>
                <w:szCs w:val="18"/>
              </w:rPr>
              <w:t>购买资产发 行股份</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9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智尚田</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22,026,431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22,026,431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90"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297,405,410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3,719,657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293,685,753</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240" w:lineRule="auto" w:before="26"/>
        <w:ind w:left="212" w:right="0"/>
        <w:jc w:val="left"/>
        <w:rPr>
          <w:b w:val="0"/>
          <w:bCs w:val="0"/>
        </w:rPr>
      </w:pPr>
      <w:r>
        <w:rPr/>
        <w:t>二、证券发行与上市情况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920" w:right="920"/>
        </w:sectPr>
      </w:pPr>
    </w:p>
    <w:p>
      <w:pPr>
        <w:spacing w:line="240" w:lineRule="auto" w:before="8"/>
        <w:rPr>
          <w:rFonts w:ascii="宋体" w:hAnsi="宋体" w:cs="宋体" w:eastAsia="宋体" w:hint="default"/>
          <w:sz w:val="19"/>
          <w:szCs w:val="19"/>
        </w:rPr>
      </w:pPr>
    </w:p>
    <w:p>
      <w:pPr>
        <w:pStyle w:val="Heading2"/>
        <w:spacing w:line="240" w:lineRule="auto" w:before="26"/>
        <w:ind w:left="672" w:right="0"/>
        <w:jc w:val="left"/>
        <w:rPr>
          <w:b w:val="0"/>
          <w:bCs w:val="0"/>
        </w:rPr>
      </w:pPr>
      <w:r>
        <w:rPr/>
        <w:t>三、股东和实际控制人情况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672"/>
        <w:jc w:val="right"/>
      </w:pPr>
      <w:r>
        <w:rPr/>
        <w:t>单位：股</w:t>
      </w: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201"/>
        <w:gridCol w:w="867"/>
        <w:gridCol w:w="928"/>
        <w:gridCol w:w="484"/>
        <w:gridCol w:w="816"/>
        <w:gridCol w:w="1315"/>
        <w:gridCol w:w="333"/>
        <w:gridCol w:w="456"/>
        <w:gridCol w:w="1091"/>
        <w:gridCol w:w="220"/>
        <w:gridCol w:w="951"/>
        <w:gridCol w:w="443"/>
        <w:gridCol w:w="549"/>
        <w:gridCol w:w="423"/>
        <w:gridCol w:w="675"/>
      </w:tblGrid>
      <w:tr>
        <w:trPr>
          <w:trHeight w:val="172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8"/>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27,697</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2" w:lineRule="exact"/>
              <w:ind w:left="22" w:right="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26,997</w:t>
            </w:r>
          </w:p>
        </w:tc>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2" w:lineRule="exact"/>
              <w:ind w:left="23" w:right="20"/>
              <w:jc w:val="left"/>
              <w:rPr>
                <w:rFonts w:ascii="宋体" w:hAnsi="宋体" w:cs="宋体" w:eastAsia="宋体" w:hint="default"/>
                <w:sz w:val="18"/>
                <w:szCs w:val="18"/>
              </w:rPr>
            </w:pPr>
            <w:r>
              <w:rPr>
                <w:rFonts w:ascii="宋体" w:hAnsi="宋体" w:cs="宋体" w:eastAsia="宋体" w:hint="default"/>
                <w:sz w:val="18"/>
                <w:szCs w:val="18"/>
              </w:rPr>
              <w:t>报告期末表决权恢复 </w:t>
            </w:r>
            <w:r>
              <w:rPr>
                <w:rFonts w:ascii="宋体" w:hAnsi="宋体" w:cs="宋体" w:eastAsia="宋体" w:hint="default"/>
                <w:spacing w:val="-9"/>
                <w:sz w:val="18"/>
                <w:szCs w:val="18"/>
              </w:rPr>
              <w:t>的优先股股东总数（如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4"/>
              <w:ind w:left="23" w:right="36"/>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232" w:lineRule="exact" w:before="22"/>
              <w:ind w:left="23" w:right="22"/>
              <w:jc w:val="both"/>
              <w:rPr>
                <w:rFonts w:ascii="宋体" w:hAnsi="宋体" w:cs="宋体" w:eastAsia="宋体" w:hint="default"/>
                <w:sz w:val="18"/>
                <w:szCs w:val="18"/>
              </w:rPr>
            </w:pPr>
            <w:r>
              <w:rPr>
                <w:rFonts w:ascii="宋体" w:hAnsi="宋体" w:cs="宋体" w:eastAsia="宋体" w:hint="default"/>
                <w:spacing w:val="-28"/>
                <w:sz w:val="18"/>
                <w:szCs w:val="18"/>
              </w:rPr>
              <w:t>（如有）（参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1075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634" w:hRule="exact"/>
        </w:trPr>
        <w:tc>
          <w:tcPr>
            <w:tcW w:w="2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6"/>
              <w:ind w:left="548" w:right="34" w:hanging="540"/>
              <w:jc w:val="left"/>
              <w:rPr>
                <w:rFonts w:ascii="宋体" w:hAnsi="宋体" w:cs="宋体" w:eastAsia="宋体" w:hint="default"/>
                <w:sz w:val="18"/>
                <w:szCs w:val="18"/>
              </w:rPr>
            </w:pPr>
            <w:r>
              <w:rPr>
                <w:rFonts w:ascii="宋体" w:hAnsi="宋体" w:cs="宋体" w:eastAsia="宋体" w:hint="default"/>
                <w:sz w:val="18"/>
                <w:szCs w:val="18"/>
              </w:rPr>
              <w:t>报告期末持股数 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232" w:lineRule="exact"/>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232" w:lineRule="exact"/>
              <w:ind w:left="90" w:right="8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6"/>
              <w:ind w:left="39" w:right="4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0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2068"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7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16.78%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128,536,103</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124,816,446</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3,719,657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128,490,000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78,130,329</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78,130,329</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62,810,000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22" w:right="53"/>
              <w:jc w:val="left"/>
              <w:rPr>
                <w:rFonts w:ascii="宋体" w:hAnsi="宋体" w:cs="宋体" w:eastAsia="宋体" w:hint="default"/>
                <w:sz w:val="18"/>
                <w:szCs w:val="18"/>
              </w:rPr>
            </w:pPr>
            <w:r>
              <w:rPr>
                <w:rFonts w:ascii="宋体" w:hAnsi="宋体" w:cs="宋体" w:eastAsia="宋体" w:hint="default"/>
                <w:sz w:val="18"/>
                <w:szCs w:val="18"/>
              </w:rPr>
              <w:t>百达永信（北京）投资有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5.98%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45,768,340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45,768,340</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45,760,000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22" w:right="53"/>
              <w:jc w:val="left"/>
              <w:rPr>
                <w:rFonts w:ascii="宋体" w:hAnsi="宋体" w:cs="宋体" w:eastAsia="宋体" w:hint="default"/>
                <w:sz w:val="18"/>
                <w:szCs w:val="18"/>
              </w:rPr>
            </w:pPr>
            <w:r>
              <w:rPr>
                <w:rFonts w:ascii="宋体" w:hAnsi="宋体" w:cs="宋体" w:eastAsia="宋体" w:hint="default"/>
                <w:sz w:val="18"/>
                <w:szCs w:val="18"/>
              </w:rPr>
              <w:t>青海省国有资产投资管理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4.72%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36,150,000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36,150,000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9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53"/>
              <w:jc w:val="left"/>
              <w:rPr>
                <w:rFonts w:ascii="宋体" w:hAnsi="宋体" w:cs="宋体" w:eastAsia="宋体" w:hint="default"/>
                <w:sz w:val="18"/>
                <w:szCs w:val="18"/>
              </w:rPr>
            </w:pPr>
            <w:r>
              <w:rPr>
                <w:rFonts w:ascii="宋体" w:hAnsi="宋体" w:cs="宋体" w:eastAsia="宋体" w:hint="default"/>
                <w:sz w:val="18"/>
                <w:szCs w:val="18"/>
              </w:rPr>
              <w:t>新疆泰达新源股权投资有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3.00%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22,944,207</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22,944,207</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8,000,000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4"/>
              <w:ind w:left="22" w:right="53"/>
              <w:jc w:val="left"/>
              <w:rPr>
                <w:rFonts w:ascii="宋体" w:hAnsi="宋体" w:cs="宋体" w:eastAsia="宋体" w:hint="default"/>
                <w:sz w:val="18"/>
                <w:szCs w:val="18"/>
              </w:rPr>
            </w:pPr>
            <w:r>
              <w:rPr>
                <w:rFonts w:ascii="宋体" w:hAnsi="宋体" w:cs="宋体" w:eastAsia="宋体" w:hint="default"/>
                <w:sz w:val="18"/>
                <w:szCs w:val="18"/>
              </w:rPr>
              <w:t>西藏华毓创业投资管理有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22,700,000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22,700,000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16,360,000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智尚田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2.88%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22,026,431</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22,026,431</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22,000,000</w:t>
            </w: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22" w:right="53"/>
              <w:jc w:val="left"/>
              <w:rPr>
                <w:rFonts w:ascii="宋体" w:hAnsi="宋体" w:cs="宋体" w:eastAsia="宋体" w:hint="default"/>
                <w:sz w:val="18"/>
                <w:szCs w:val="18"/>
              </w:rPr>
            </w:pPr>
            <w:r>
              <w:rPr>
                <w:rFonts w:ascii="宋体" w:hAnsi="宋体" w:cs="宋体" w:eastAsia="宋体" w:hint="default"/>
                <w:sz w:val="18"/>
                <w:szCs w:val="18"/>
              </w:rPr>
              <w:t>天津泰达科技投资股份有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21,422,000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21,422,000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98" w:type="dxa"/>
            <w:gridSpan w:val="2"/>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平安大华基金－浦发银行</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－中融国际信托－宏金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号集合资金信托计划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2.45%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18,764,066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18,764,066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9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22" w:right="53"/>
              <w:jc w:val="left"/>
              <w:rPr>
                <w:rFonts w:ascii="宋体" w:hAnsi="宋体" w:cs="宋体" w:eastAsia="宋体" w:hint="default"/>
                <w:sz w:val="18"/>
                <w:szCs w:val="18"/>
              </w:rPr>
            </w:pPr>
            <w:r>
              <w:rPr>
                <w:rFonts w:ascii="宋体" w:hAnsi="宋体" w:cs="宋体" w:eastAsia="宋体" w:hint="default"/>
                <w:sz w:val="18"/>
                <w:szCs w:val="18"/>
              </w:rPr>
              <w:t>西宁城市投资管理有限公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17,385,951</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17,385,951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98"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48"/>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27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519" w:hRule="exact"/>
        </w:trPr>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27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23" w:right="37"/>
              <w:jc w:val="both"/>
              <w:rPr>
                <w:rFonts w:ascii="宋体" w:hAnsi="宋体" w:cs="宋体" w:eastAsia="宋体" w:hint="default"/>
                <w:sz w:val="18"/>
                <w:szCs w:val="18"/>
              </w:rPr>
            </w:pPr>
            <w:r>
              <w:rPr>
                <w:rFonts w:ascii="宋体" w:hAnsi="宋体" w:cs="宋体" w:eastAsia="宋体" w:hint="default"/>
                <w:sz w:val="18"/>
                <w:szCs w:val="18"/>
              </w:rPr>
              <w:t>上述股东中，连良桂、天津泰达科技投资股份有限公司、新疆泰达新源股权投资有限公司、 西藏华毓创业投资管理有限公司为一致行动人，彭聪和百达永信（北京）投资有限公司为一 致行动人，除此之外公司未知股东之间是否存在关联关系，也未知是否属于《上市公司股东 持股变动信息披露管理办法》中规定的一致行动人。</w:t>
            </w:r>
          </w:p>
        </w:tc>
      </w:tr>
    </w:tbl>
    <w:p>
      <w:pPr>
        <w:spacing w:after="0" w:line="237" w:lineRule="auto"/>
        <w:jc w:val="both"/>
        <w:rPr>
          <w:rFonts w:ascii="宋体" w:hAnsi="宋体" w:cs="宋体" w:eastAsia="宋体" w:hint="default"/>
          <w:sz w:val="18"/>
          <w:szCs w:val="18"/>
        </w:rPr>
        <w:sectPr>
          <w:pgSz w:w="11910" w:h="16840"/>
          <w:pgMar w:header="878" w:footer="978" w:top="1100" w:bottom="1160" w:left="460" w:right="46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480"/>
        <w:gridCol w:w="4023"/>
        <w:gridCol w:w="2151"/>
        <w:gridCol w:w="1098"/>
      </w:tblGrid>
      <w:tr>
        <w:trPr>
          <w:trHeight w:val="464" w:hRule="exact"/>
        </w:trPr>
        <w:tc>
          <w:tcPr>
            <w:tcW w:w="107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64" w:hRule="exact"/>
        </w:trPr>
        <w:tc>
          <w:tcPr>
            <w:tcW w:w="3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2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64" w:hRule="exact"/>
        </w:trPr>
        <w:tc>
          <w:tcPr>
            <w:tcW w:w="3480" w:type="dxa"/>
            <w:vMerge/>
            <w:tcBorders>
              <w:left w:val="single" w:sz="4" w:space="0" w:color="000000"/>
              <w:bottom w:val="single" w:sz="4" w:space="0" w:color="000000"/>
              <w:right w:val="single" w:sz="4" w:space="0" w:color="000000"/>
            </w:tcBorders>
            <w:shd w:val="clear" w:color="auto" w:fill="D2D2D2"/>
          </w:tcPr>
          <w:p>
            <w:pPr/>
          </w:p>
        </w:tc>
        <w:tc>
          <w:tcPr>
            <w:tcW w:w="4023" w:type="dxa"/>
            <w:vMerge/>
            <w:tcBorders>
              <w:left w:val="single" w:sz="4" w:space="0" w:color="000000"/>
              <w:bottom w:val="single" w:sz="4" w:space="0" w:color="000000"/>
              <w:right w:val="single" w:sz="4" w:space="0" w:color="000000"/>
            </w:tcBorders>
            <w:shd w:val="clear" w:color="auto" w:fill="D2D2D2"/>
          </w:tcPr>
          <w:p>
            <w:pP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1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36,150,000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36,150,000</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西藏华毓创业投资管理有限公司</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22,700,000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22,700,000</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21,422,000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21,422,000</w:t>
            </w:r>
          </w:p>
        </w:tc>
      </w:tr>
      <w:tr>
        <w:trPr>
          <w:trHeight w:val="557"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5"/>
              <w:jc w:val="left"/>
              <w:rPr>
                <w:rFonts w:ascii="宋体" w:hAnsi="宋体" w:cs="宋体" w:eastAsia="宋体" w:hint="default"/>
                <w:sz w:val="18"/>
                <w:szCs w:val="18"/>
              </w:rPr>
            </w:pPr>
            <w:r>
              <w:rPr>
                <w:rFonts w:ascii="宋体" w:hAnsi="宋体" w:cs="宋体" w:eastAsia="宋体" w:hint="default"/>
                <w:sz w:val="18"/>
                <w:szCs w:val="18"/>
              </w:rPr>
              <w:t>平安大华基金－浦发银行－中融国际信托－ 宏金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18,764,066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18,764,066</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西宁城市投资管理有限公司</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17,385,951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17,385,951</w:t>
            </w:r>
          </w:p>
        </w:tc>
      </w:tr>
      <w:tr>
        <w:trPr>
          <w:trHeight w:val="557"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5"/>
              <w:jc w:val="left"/>
              <w:rPr>
                <w:rFonts w:ascii="宋体" w:hAnsi="宋体" w:cs="宋体" w:eastAsia="宋体" w:hint="default"/>
                <w:sz w:val="18"/>
                <w:szCs w:val="18"/>
              </w:rPr>
            </w:pPr>
            <w:r>
              <w:rPr>
                <w:rFonts w:ascii="宋体" w:hAnsi="宋体" w:cs="宋体" w:eastAsia="宋体" w:hint="default"/>
                <w:sz w:val="18"/>
                <w:szCs w:val="18"/>
              </w:rPr>
              <w:t>中信建投证券股份有限公司转融通担保证券 明细账户</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13,400,000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w:t>
            </w:r>
          </w:p>
        </w:tc>
      </w:tr>
      <w:tr>
        <w:trPr>
          <w:trHeight w:val="557"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5"/>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 资基金</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10,804,843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10,804,843</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李再荣</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7,954,652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7,954,652</w:t>
            </w:r>
          </w:p>
        </w:tc>
      </w:tr>
      <w:tr>
        <w:trPr>
          <w:trHeight w:val="557"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5"/>
              <w:jc w:val="left"/>
              <w:rPr>
                <w:rFonts w:ascii="宋体" w:hAnsi="宋体" w:cs="宋体" w:eastAsia="宋体" w:hint="default"/>
                <w:sz w:val="18"/>
                <w:szCs w:val="18"/>
              </w:rPr>
            </w:pPr>
            <w:r>
              <w:rPr>
                <w:rFonts w:ascii="宋体" w:hAnsi="宋体" w:cs="宋体" w:eastAsia="宋体" w:hint="default"/>
                <w:sz w:val="18"/>
                <w:szCs w:val="18"/>
              </w:rPr>
              <w:t>中国工商银行股份有限公司－广发改革先锋 灵活配置混合型证券投资基金</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4,139,155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4,139,155</w:t>
            </w:r>
          </w:p>
        </w:tc>
      </w:tr>
      <w:tr>
        <w:trPr>
          <w:trHeight w:val="46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3,719,657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3,719,657</w:t>
            </w:r>
          </w:p>
        </w:tc>
      </w:tr>
      <w:tr>
        <w:trPr>
          <w:trHeight w:val="790" w:hRule="exact"/>
        </w:trPr>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32" w:lineRule="exact" w:before="16"/>
              <w:ind w:left="22" w:right="114"/>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 联关系或一致行动的说明</w:t>
            </w:r>
          </w:p>
        </w:tc>
        <w:tc>
          <w:tcPr>
            <w:tcW w:w="7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37"/>
              <w:jc w:val="both"/>
              <w:rPr>
                <w:rFonts w:ascii="宋体" w:hAnsi="宋体" w:cs="宋体" w:eastAsia="宋体" w:hint="default"/>
                <w:sz w:val="18"/>
                <w:szCs w:val="18"/>
              </w:rPr>
            </w:pPr>
            <w:r>
              <w:rPr>
                <w:rFonts w:ascii="宋体" w:hAnsi="宋体" w:cs="宋体" w:eastAsia="宋体" w:hint="default"/>
                <w:sz w:val="18"/>
                <w:szCs w:val="18"/>
              </w:rPr>
              <w:t>上述股东中，连良桂、天津泰达科技投资股份有限公司、西藏华毓创业投资管理有限公司为 一致行动人，除此之外公司未知股东之间是否存在关联关系，也未知是否属于《上市公司股 东持股变动信息披露管理办法》中规定的一致行动人。</w:t>
            </w:r>
          </w:p>
        </w:tc>
      </w:tr>
      <w:tr>
        <w:trPr>
          <w:trHeight w:val="557" w:hRule="exact"/>
        </w:trPr>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1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 </w:t>
            </w:r>
            <w:r>
              <w:rPr>
                <w:rFonts w:ascii="宋体" w:hAnsi="宋体" w:cs="宋体" w:eastAsia="宋体" w:hint="default"/>
                <w:spacing w:val="-9"/>
                <w:sz w:val="18"/>
                <w:szCs w:val="18"/>
              </w:rPr>
              <w:t>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中信建投证券股份有限公司转融通担保证券明细账户通过信用交易账户持有公司股票</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股。李再荣通过信用交易账户持有公司股票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844,652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Style w:val="BodyText"/>
        <w:spacing w:line="240" w:lineRule="auto" w:before="10"/>
        <w:ind w:left="67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27"/>
        <w:ind w:left="6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22"/>
        <w:ind w:left="67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left="67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2"/>
          <w:szCs w:val="22"/>
        </w:rPr>
      </w:pPr>
    </w:p>
    <w:p>
      <w:pPr>
        <w:pStyle w:val="BodyText"/>
        <w:spacing w:line="276" w:lineRule="auto"/>
        <w:ind w:left="672" w:right="8134"/>
        <w:jc w:val="left"/>
      </w:pPr>
      <w:r>
        <w:rPr/>
        <w:t>控股股东性质：无控股主体 控股股东类型：法人</w:t>
      </w:r>
    </w:p>
    <w:p>
      <w:pPr>
        <w:spacing w:line="240" w:lineRule="auto" w:before="1"/>
        <w:rPr>
          <w:rFonts w:ascii="宋体" w:hAnsi="宋体" w:cs="宋体" w:eastAsia="宋体" w:hint="default"/>
          <w:sz w:val="3"/>
          <w:szCs w:val="3"/>
        </w:rPr>
      </w:pPr>
    </w:p>
    <w:tbl>
      <w:tblPr>
        <w:tblW w:w="0" w:type="auto"/>
        <w:jc w:val="left"/>
        <w:tblInd w:w="669" w:type="dxa"/>
        <w:tblLayout w:type="fixed"/>
        <w:tblCellMar>
          <w:top w:w="0" w:type="dxa"/>
          <w:left w:w="0" w:type="dxa"/>
          <w:bottom w:w="0" w:type="dxa"/>
          <w:right w:w="0" w:type="dxa"/>
        </w:tblCellMar>
        <w:tblLook w:val="01E0"/>
      </w:tblPr>
      <w:tblGrid>
        <w:gridCol w:w="1843"/>
        <w:gridCol w:w="997"/>
        <w:gridCol w:w="1275"/>
        <w:gridCol w:w="993"/>
        <w:gridCol w:w="4531"/>
      </w:tblGrid>
      <w:tr>
        <w:trPr>
          <w:trHeight w:val="79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1"/>
              <w:ind w:left="42"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232" w:lineRule="exact" w:before="23"/>
              <w:ind w:left="402" w:right="108"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00" w:right="4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4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78" w:hRule="exact"/>
        </w:trPr>
        <w:tc>
          <w:tcPr>
            <w:tcW w:w="1843" w:type="dxa"/>
            <w:tcBorders>
              <w:top w:val="single" w:sz="4" w:space="0" w:color="000000"/>
              <w:left w:val="single" w:sz="4" w:space="0" w:color="000000"/>
              <w:bottom w:val="nil" w:sz="6" w:space="0" w:color="auto"/>
              <w:right w:val="single" w:sz="4" w:space="0" w:color="000000"/>
            </w:tcBorders>
          </w:tcPr>
          <w:p>
            <w:pPr/>
          </w:p>
        </w:tc>
        <w:tc>
          <w:tcPr>
            <w:tcW w:w="99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4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高新技术产业投资及投资管理；相关的投资咨询业务；设</w:t>
            </w:r>
          </w:p>
        </w:tc>
      </w:tr>
      <w:tr>
        <w:trPr>
          <w:trHeight w:val="700"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32" w:lineRule="exact" w:before="112"/>
              <w:ind w:left="22" w:right="188"/>
              <w:jc w:val="left"/>
              <w:rPr>
                <w:rFonts w:ascii="宋体" w:hAnsi="宋体" w:cs="宋体" w:eastAsia="宋体" w:hint="default"/>
                <w:sz w:val="18"/>
                <w:szCs w:val="18"/>
              </w:rPr>
            </w:pPr>
            <w:r>
              <w:rPr>
                <w:rFonts w:ascii="宋体" w:hAnsi="宋体" w:cs="宋体" w:eastAsia="宋体" w:hint="default"/>
                <w:sz w:val="18"/>
                <w:szCs w:val="18"/>
              </w:rPr>
              <w:t>天津泰达科技投资股 份有限公司</w:t>
            </w:r>
          </w:p>
        </w:tc>
        <w:tc>
          <w:tcPr>
            <w:tcW w:w="9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1" w:lineRule="exact" w:before="87"/>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07" w:lineRule="exact" w:before="141"/>
              <w:ind w:left="23" w:right="0"/>
              <w:jc w:val="left"/>
              <w:rPr>
                <w:rFonts w:ascii="Times New Roman" w:hAnsi="Times New Roman" w:cs="Times New Roman" w:eastAsia="Times New Roman" w:hint="default"/>
                <w:sz w:val="18"/>
                <w:szCs w:val="18"/>
              </w:rPr>
            </w:pPr>
            <w:r>
              <w:rPr>
                <w:rFonts w:ascii="Times New Roman"/>
                <w:sz w:val="18"/>
              </w:rPr>
              <w:t>9112011672</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4485883M</w:t>
            </w:r>
          </w:p>
        </w:tc>
        <w:tc>
          <w:tcPr>
            <w:tcW w:w="45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备租赁（汽车、医疗设备除外</w:t>
            </w:r>
            <w:r>
              <w:rPr>
                <w:rFonts w:ascii="宋体" w:hAnsi="宋体" w:cs="宋体" w:eastAsia="宋体" w:hint="default"/>
                <w:spacing w:val="-89"/>
                <w:sz w:val="18"/>
                <w:szCs w:val="18"/>
              </w:rPr>
              <w:t>）</w:t>
            </w:r>
            <w:r>
              <w:rPr>
                <w:rFonts w:ascii="宋体" w:hAnsi="宋体" w:cs="宋体" w:eastAsia="宋体" w:hint="default"/>
                <w:sz w:val="18"/>
                <w:szCs w:val="18"/>
              </w:rPr>
              <w:t>；厂房租赁；批发和零售</w:t>
            </w:r>
          </w:p>
          <w:p>
            <w:pPr>
              <w:pStyle w:val="TableParagraph"/>
              <w:spacing w:line="232" w:lineRule="exact" w:before="23"/>
              <w:ind w:left="21" w:right="86"/>
              <w:jc w:val="left"/>
              <w:rPr>
                <w:rFonts w:ascii="宋体" w:hAnsi="宋体" w:cs="宋体" w:eastAsia="宋体" w:hint="default"/>
                <w:sz w:val="18"/>
                <w:szCs w:val="18"/>
              </w:rPr>
            </w:pPr>
            <w:r>
              <w:rPr>
                <w:rFonts w:ascii="宋体" w:hAnsi="宋体" w:cs="宋体" w:eastAsia="宋体" w:hint="default"/>
                <w:sz w:val="18"/>
                <w:szCs w:val="18"/>
              </w:rPr>
              <w:t>业；国内、国际货运代理（海运、陆运、空运</w:t>
            </w:r>
            <w:r>
              <w:rPr>
                <w:rFonts w:ascii="宋体" w:hAnsi="宋体" w:cs="宋体" w:eastAsia="宋体" w:hint="default"/>
                <w:spacing w:val="-89"/>
                <w:sz w:val="18"/>
                <w:szCs w:val="18"/>
              </w:rPr>
              <w:t>）</w:t>
            </w:r>
            <w:r>
              <w:rPr>
                <w:rFonts w:ascii="宋体" w:hAnsi="宋体" w:cs="宋体" w:eastAsia="宋体" w:hint="default"/>
                <w:sz w:val="18"/>
                <w:szCs w:val="18"/>
              </w:rPr>
              <w:t>；代办仓</w:t>
            </w:r>
            <w:r>
              <w:rPr>
                <w:rFonts w:ascii="宋体" w:hAnsi="宋体" w:cs="宋体" w:eastAsia="宋体" w:hint="default"/>
                <w:sz w:val="18"/>
                <w:szCs w:val="18"/>
              </w:rPr>
              <w:t> 储；简单加工；黄铂金制品加工及销售</w:t>
            </w:r>
            <w:r>
              <w:rPr>
                <w:rFonts w:ascii="宋体" w:hAnsi="宋体" w:cs="宋体" w:eastAsia="宋体" w:hint="default"/>
                <w:spacing w:val="-89"/>
                <w:sz w:val="18"/>
                <w:szCs w:val="18"/>
              </w:rPr>
              <w:t>。</w:t>
            </w:r>
            <w:r>
              <w:rPr>
                <w:rFonts w:ascii="宋体" w:hAnsi="宋体" w:cs="宋体" w:eastAsia="宋体" w:hint="default"/>
                <w:sz w:val="18"/>
                <w:szCs w:val="18"/>
              </w:rPr>
              <w:t>（依法须经批准</w:t>
            </w:r>
          </w:p>
        </w:tc>
      </w:tr>
      <w:tr>
        <w:trPr>
          <w:trHeight w:val="279" w:hRule="exact"/>
        </w:trPr>
        <w:tc>
          <w:tcPr>
            <w:tcW w:w="1843" w:type="dxa"/>
            <w:tcBorders>
              <w:top w:val="nil" w:sz="6" w:space="0" w:color="auto"/>
              <w:left w:val="single" w:sz="4" w:space="0" w:color="000000"/>
              <w:bottom w:val="single" w:sz="4" w:space="0" w:color="000000"/>
              <w:right w:val="single" w:sz="4" w:space="0" w:color="000000"/>
            </w:tcBorders>
          </w:tcPr>
          <w:p>
            <w:pPr/>
          </w:p>
        </w:tc>
        <w:tc>
          <w:tcPr>
            <w:tcW w:w="99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453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的项目，经相关部门批准后方可开展经营活动）</w:t>
            </w:r>
          </w:p>
        </w:tc>
      </w:tr>
      <w:tr>
        <w:trPr>
          <w:trHeight w:val="277"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w:t>
            </w:r>
          </w:p>
        </w:tc>
        <w:tc>
          <w:tcPr>
            <w:tcW w:w="7796" w:type="dxa"/>
            <w:gridSpan w:val="4"/>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股和参股的其他境内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外上市公司的股权情</w:t>
            </w:r>
          </w:p>
        </w:tc>
        <w:tc>
          <w:tcPr>
            <w:tcW w:w="779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新疆泰达新源股权投资有限公司持有青海春天药用资源科技股份有限公司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6.80%</w:t>
            </w:r>
            <w:r>
              <w:rPr>
                <w:rFonts w:ascii="宋体" w:hAnsi="宋体" w:cs="宋体" w:eastAsia="宋体" w:hint="default"/>
                <w:sz w:val="18"/>
                <w:szCs w:val="18"/>
              </w:rPr>
              <w:t>的股份。</w:t>
            </w:r>
          </w:p>
        </w:tc>
      </w:tr>
      <w:tr>
        <w:trPr>
          <w:trHeight w:val="280" w:hRule="exact"/>
        </w:trPr>
        <w:tc>
          <w:tcPr>
            <w:tcW w:w="184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796" w:type="dxa"/>
            <w:gridSpan w:val="4"/>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1"/>
        <w:ind w:left="672" w:right="0"/>
        <w:jc w:val="left"/>
      </w:pPr>
      <w:r>
        <w:rPr/>
        <w:t>控股股东报告期内变更</w:t>
      </w:r>
    </w:p>
    <w:p>
      <w:pPr>
        <w:pStyle w:val="BodyText"/>
        <w:spacing w:line="264" w:lineRule="auto" w:before="38"/>
        <w:ind w:left="672" w:right="7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after="0" w:line="264" w:lineRule="auto"/>
        <w:jc w:val="left"/>
        <w:sectPr>
          <w:pgSz w:w="11910" w:h="16840"/>
          <w:pgMar w:header="878" w:footer="978" w:top="1100" w:bottom="1160" w:left="460" w:right="460"/>
        </w:sectPr>
      </w:pPr>
    </w:p>
    <w:p>
      <w:pPr>
        <w:spacing w:line="240" w:lineRule="auto" w:before="3"/>
        <w:rPr>
          <w:rFonts w:ascii="宋体" w:hAnsi="宋体" w:cs="宋体" w:eastAsia="宋体" w:hint="default"/>
          <w:sz w:val="19"/>
          <w:szCs w:val="19"/>
        </w:rPr>
      </w:pPr>
    </w:p>
    <w:p>
      <w:pPr>
        <w:pStyle w:val="Heading3"/>
        <w:spacing w:line="240" w:lineRule="auto" w:before="34"/>
        <w:ind w:left="392" w:right="737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left="392" w:right="7374"/>
        <w:jc w:val="left"/>
      </w:pPr>
      <w:r>
        <w:rPr/>
        <w:t>实际控制人性质：无实际控制人 实际控制人类型：不存在 公司不存在实际控制人情况的说明</w:t>
      </w:r>
    </w:p>
    <w:p>
      <w:pPr>
        <w:pStyle w:val="BodyText"/>
        <w:spacing w:line="232" w:lineRule="auto" w:before="15"/>
        <w:ind w:left="392" w:right="467" w:firstLine="427"/>
        <w:jc w:val="left"/>
      </w:pPr>
      <w:r>
        <w:rPr/>
        <w:t>天津泰达科技投资股份有限公司及其控制的新疆泰达新源股权投资有限公司、西藏华毓创业投资管理有限公司、天津 泰达科技投资股份有限公司的一致行动人连良桂及其控制的天津滨海浙商投资集团有限公司合计持有本公司总股本的 </w:t>
      </w:r>
      <w:r>
        <w:rPr>
          <w:rFonts w:ascii="Times New Roman" w:hAnsi="Times New Roman" w:cs="Times New Roman" w:eastAsia="Times New Roman" w:hint="default"/>
        </w:rPr>
        <w:t>25.79%</w:t>
      </w:r>
      <w:r>
        <w:rPr/>
        <w:t>，天津泰达科技投资股份有限公司仍为本公司控股股东，由于股权结构较为分散，天津泰达科技投资股份有限公司 无实际控制人，因此公司仍无实际控制人。</w:t>
      </w:r>
    </w:p>
    <w:p>
      <w:pPr>
        <w:pStyle w:val="BodyText"/>
        <w:spacing w:line="232" w:lineRule="exact" w:before="22"/>
        <w:ind w:left="392" w:right="467" w:firstLine="427"/>
        <w:jc w:val="left"/>
      </w:pPr>
      <w:r>
        <w:rPr>
          <w:w w:val="95"/>
        </w:rPr>
        <w:t>详见</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29</w:t>
      </w:r>
      <w:r>
        <w:rPr>
          <w:w w:val="95"/>
        </w:rPr>
        <w:t>日，公司刊登在巨潮资讯网（</w:t>
      </w:r>
      <w:r>
        <w:rPr>
          <w:rFonts w:ascii="Times New Roman" w:hAnsi="Times New Roman" w:cs="Times New Roman" w:eastAsia="Times New Roman" w:hint="default"/>
          <w:w w:val="95"/>
        </w:rPr>
        <w:t>www.cninfo.com.cn)</w:t>
      </w:r>
      <w:r>
        <w:rPr>
          <w:w w:val="95"/>
        </w:rPr>
        <w:t>《发行股份购买资产并募集配套资金暨关联交易报</w:t>
      </w:r>
      <w:r>
        <w:rPr>
          <w:spacing w:val="-68"/>
          <w:w w:val="95"/>
        </w:rPr>
        <w:t> </w:t>
      </w:r>
      <w:r>
        <w:rPr/>
        <w:t>告书</w:t>
      </w:r>
      <w:r>
        <w:rPr>
          <w:rFonts w:ascii="Times New Roman" w:hAnsi="Times New Roman" w:cs="Times New Roman" w:eastAsia="Times New Roman" w:hint="default"/>
        </w:rPr>
        <w:t>(</w:t>
      </w:r>
      <w:r>
        <w:rPr/>
        <w:t>修订稿</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17"/>
          <w:szCs w:val="17"/>
        </w:rPr>
      </w:pPr>
    </w:p>
    <w:p>
      <w:pPr>
        <w:pStyle w:val="BodyText"/>
        <w:spacing w:line="240" w:lineRule="auto"/>
        <w:ind w:left="392" w:right="467"/>
        <w:jc w:val="left"/>
      </w:pPr>
      <w:r>
        <w:rPr/>
        <w:t>公司最终控制层面是否存在持股比例在</w:t>
      </w:r>
      <w:r>
        <w:rPr>
          <w:spacing w:val="-48"/>
        </w:rPr>
        <w:t> </w:t>
      </w:r>
      <w:r>
        <w:rPr>
          <w:rFonts w:ascii="Times New Roman" w:hAnsi="Times New Roman" w:cs="Times New Roman" w:eastAsia="Times New Roman" w:hint="default"/>
        </w:rPr>
        <w:t>10%</w:t>
      </w:r>
      <w:r>
        <w:rPr/>
        <w:t>以上的股东情况</w:t>
      </w:r>
    </w:p>
    <w:p>
      <w:pPr>
        <w:pStyle w:val="BodyText"/>
        <w:spacing w:line="264" w:lineRule="auto" w:before="24"/>
        <w:ind w:left="392" w:right="896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法人</w:t>
      </w:r>
    </w:p>
    <w:p>
      <w:pPr>
        <w:pStyle w:val="BodyText"/>
        <w:spacing w:line="240" w:lineRule="auto" w:before="20"/>
        <w:ind w:left="392" w:right="7374"/>
        <w:jc w:val="left"/>
      </w:pPr>
      <w:r>
        <w:rPr/>
        <w:t>最终控制层面持股情况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28"/>
        <w:jc w:val="right"/>
      </w:pPr>
      <w:r>
        <w:rPr/>
        <w:pict>
          <v:shape style="position:absolute;margin-left:42.259998pt;margin-top:-79.028275pt;width:511.05pt;height:470.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851"/>
                    <w:gridCol w:w="850"/>
                    <w:gridCol w:w="993"/>
                    <w:gridCol w:w="6378"/>
                  </w:tblGrid>
                  <w:tr>
                    <w:trPr>
                      <w:trHeight w:val="71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3"/>
                          <w:ind w:left="112" w:right="110"/>
                          <w:jc w:val="left"/>
                          <w:rPr>
                            <w:rFonts w:ascii="宋体" w:hAnsi="宋体" w:cs="宋体" w:eastAsia="宋体" w:hint="default"/>
                            <w:sz w:val="18"/>
                            <w:szCs w:val="18"/>
                          </w:rPr>
                        </w:pPr>
                        <w:r>
                          <w:rPr>
                            <w:rFonts w:ascii="宋体" w:hAnsi="宋体" w:cs="宋体" w:eastAsia="宋体" w:hint="default"/>
                            <w:sz w:val="18"/>
                            <w:szCs w:val="18"/>
                          </w:rPr>
                          <w:t>最终控制层 面股东名称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4" w:right="0" w:firstLine="26"/>
                          <w:jc w:val="left"/>
                          <w:rPr>
                            <w:rFonts w:ascii="宋体" w:hAnsi="宋体" w:cs="宋体" w:eastAsia="宋体" w:hint="default"/>
                            <w:sz w:val="18"/>
                            <w:szCs w:val="18"/>
                          </w:rPr>
                        </w:pPr>
                        <w:r>
                          <w:rPr>
                            <w:rFonts w:ascii="宋体" w:hAnsi="宋体" w:cs="宋体" w:eastAsia="宋体" w:hint="default"/>
                            <w:sz w:val="18"/>
                            <w:szCs w:val="18"/>
                          </w:rPr>
                          <w:t>法定代表</w:t>
                        </w:r>
                      </w:p>
                      <w:p>
                        <w:pPr>
                          <w:pStyle w:val="TableParagraph"/>
                          <w:spacing w:line="232" w:lineRule="exact" w:before="24"/>
                          <w:ind w:left="240" w:right="34" w:hanging="207"/>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3"/>
                          <w:ind w:left="402" w:right="39"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6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3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科技投资；对不动产进行投资管理；建筑材料批发兼零售；科技咨询；专利代理</w:t>
                        </w:r>
                      </w:p>
                    </w:tc>
                  </w:tr>
                  <w:tr>
                    <w:trPr>
                      <w:trHeight w:val="701"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天津泰达科</w:t>
                        </w:r>
                      </w:p>
                      <w:p>
                        <w:pPr>
                          <w:pStyle w:val="TableParagraph"/>
                          <w:spacing w:line="240" w:lineRule="auto"/>
                          <w:ind w:left="23" w:right="198"/>
                          <w:jc w:val="left"/>
                          <w:rPr>
                            <w:rFonts w:ascii="宋体" w:hAnsi="宋体" w:cs="宋体" w:eastAsia="宋体" w:hint="default"/>
                            <w:sz w:val="18"/>
                            <w:szCs w:val="18"/>
                          </w:rPr>
                        </w:pPr>
                        <w:r>
                          <w:rPr>
                            <w:rFonts w:ascii="宋体" w:hAnsi="宋体" w:cs="宋体" w:eastAsia="宋体" w:hint="default"/>
                            <w:sz w:val="18"/>
                            <w:szCs w:val="18"/>
                          </w:rPr>
                          <w:t>技发展集团 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56269733X</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10"/>
                            <w:sz w:val="18"/>
                            <w:szCs w:val="18"/>
                          </w:rPr>
                          <w:t>；</w:t>
                        </w:r>
                        <w:r>
                          <w:rPr>
                            <w:rFonts w:ascii="宋体" w:hAnsi="宋体" w:cs="宋体" w:eastAsia="宋体" w:hint="default"/>
                            <w:sz w:val="18"/>
                            <w:szCs w:val="18"/>
                          </w:rPr>
                          <w:t>工业物业管理</w:t>
                        </w:r>
                        <w:r>
                          <w:rPr>
                            <w:rFonts w:ascii="宋体" w:hAnsi="宋体" w:cs="宋体" w:eastAsia="宋体" w:hint="default"/>
                            <w:spacing w:val="-12"/>
                            <w:sz w:val="18"/>
                            <w:szCs w:val="18"/>
                          </w:rPr>
                          <w:t>；</w:t>
                        </w:r>
                        <w:r>
                          <w:rPr>
                            <w:rFonts w:ascii="宋体" w:hAnsi="宋体" w:cs="宋体" w:eastAsia="宋体" w:hint="default"/>
                            <w:sz w:val="18"/>
                            <w:szCs w:val="18"/>
                          </w:rPr>
                          <w:t>技术管理培</w:t>
                        </w:r>
                        <w:r>
                          <w:rPr>
                            <w:rFonts w:ascii="宋体" w:hAnsi="宋体" w:cs="宋体" w:eastAsia="宋体" w:hint="default"/>
                            <w:spacing w:val="-8"/>
                            <w:sz w:val="18"/>
                            <w:szCs w:val="18"/>
                          </w:rPr>
                          <w:t>训</w:t>
                        </w:r>
                        <w:r>
                          <w:rPr>
                            <w:rFonts w:ascii="宋体" w:hAnsi="宋体" w:cs="宋体" w:eastAsia="宋体" w:hint="default"/>
                            <w:spacing w:val="-3"/>
                            <w:sz w:val="18"/>
                            <w:szCs w:val="18"/>
                          </w:rPr>
                          <w:t>（</w:t>
                        </w:r>
                        <w:r>
                          <w:rPr>
                            <w:rFonts w:ascii="宋体" w:hAnsi="宋体" w:cs="宋体" w:eastAsia="宋体" w:hint="default"/>
                            <w:sz w:val="18"/>
                            <w:szCs w:val="18"/>
                          </w:rPr>
                          <w:t>不含发证</w:t>
                        </w:r>
                        <w:r>
                          <w:rPr>
                            <w:rFonts w:ascii="宋体" w:hAnsi="宋体" w:cs="宋体" w:eastAsia="宋体" w:hint="default"/>
                            <w:spacing w:val="-89"/>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孵化器建设</w:t>
                        </w:r>
                        <w:r>
                          <w:rPr>
                            <w:rFonts w:ascii="宋体" w:hAnsi="宋体" w:cs="宋体" w:eastAsia="宋体" w:hint="default"/>
                            <w:spacing w:val="-10"/>
                            <w:sz w:val="18"/>
                            <w:szCs w:val="18"/>
                          </w:rPr>
                          <w:t>、</w:t>
                        </w:r>
                        <w:r>
                          <w:rPr>
                            <w:rFonts w:ascii="宋体" w:hAnsi="宋体" w:cs="宋体" w:eastAsia="宋体" w:hint="default"/>
                            <w:sz w:val="18"/>
                            <w:szCs w:val="18"/>
                          </w:rPr>
                          <w:t>开发</w:t>
                        </w:r>
                        <w:r>
                          <w:rPr>
                            <w:rFonts w:ascii="宋体" w:hAnsi="宋体" w:cs="宋体" w:eastAsia="宋体" w:hint="default"/>
                            <w:spacing w:val="-10"/>
                            <w:sz w:val="18"/>
                            <w:szCs w:val="18"/>
                          </w:rPr>
                          <w:t>、</w:t>
                        </w:r>
                        <w:r>
                          <w:rPr>
                            <w:rFonts w:ascii="宋体" w:hAnsi="宋体" w:cs="宋体" w:eastAsia="宋体" w:hint="default"/>
                            <w:sz w:val="18"/>
                            <w:szCs w:val="18"/>
                          </w:rPr>
                          <w:t>管理</w:t>
                        </w:r>
                        <w:r>
                          <w:rPr>
                            <w:rFonts w:ascii="宋体" w:hAnsi="宋体" w:cs="宋体" w:eastAsia="宋体" w:hint="default"/>
                            <w:spacing w:val="-10"/>
                            <w:sz w:val="18"/>
                            <w:szCs w:val="18"/>
                          </w:rPr>
                          <w:t>、</w:t>
                        </w:r>
                        <w:r>
                          <w:rPr>
                            <w:rFonts w:ascii="宋体" w:hAnsi="宋体" w:cs="宋体" w:eastAsia="宋体" w:hint="default"/>
                            <w:sz w:val="18"/>
                            <w:szCs w:val="18"/>
                          </w:rPr>
                          <w:t>运</w:t>
                        </w:r>
                      </w:p>
                      <w:p>
                        <w:pPr>
                          <w:pStyle w:val="TableParagraph"/>
                          <w:spacing w:line="240" w:lineRule="auto"/>
                          <w:ind w:left="23" w:right="42"/>
                          <w:jc w:val="left"/>
                          <w:rPr>
                            <w:rFonts w:ascii="宋体" w:hAnsi="宋体" w:cs="宋体" w:eastAsia="宋体" w:hint="default"/>
                            <w:sz w:val="18"/>
                            <w:szCs w:val="18"/>
                          </w:rPr>
                        </w:pPr>
                        <w:r>
                          <w:rPr>
                            <w:rFonts w:ascii="宋体" w:hAnsi="宋体" w:cs="宋体" w:eastAsia="宋体" w:hint="default"/>
                            <w:sz w:val="18"/>
                            <w:szCs w:val="18"/>
                          </w:rPr>
                          <w:t>营；科技平台建设、运营及其他相关服务；技术产权交易服务；技术服务及其他 与促进科技产业相关的业务；房屋租赁；办公租赁；商务办公服务；受委托为企</w:t>
                        </w:r>
                      </w:p>
                    </w:tc>
                  </w:tr>
                  <w:tr>
                    <w:trPr>
                      <w:trHeight w:val="239"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业提供商务服务</w:t>
                        </w:r>
                        <w:r>
                          <w:rPr>
                            <w:rFonts w:ascii="宋体" w:hAnsi="宋体" w:cs="宋体" w:eastAsia="宋体" w:hint="default"/>
                            <w:spacing w:val="-92"/>
                            <w:sz w:val="18"/>
                            <w:szCs w:val="18"/>
                          </w:rPr>
                          <w:t>。</w:t>
                        </w:r>
                        <w:r>
                          <w:rPr>
                            <w:rFonts w:ascii="宋体" w:hAnsi="宋体" w:cs="宋体" w:eastAsia="宋体" w:hint="default"/>
                            <w:sz w:val="18"/>
                            <w:szCs w:val="18"/>
                          </w:rPr>
                          <w:t>（依法须经批准的项目，经相关部门批准后方可开展经营活动</w:t>
                        </w:r>
                      </w:p>
                    </w:tc>
                  </w:tr>
                  <w:tr>
                    <w:trPr>
                      <w:trHeight w:val="239"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宁波融源广</w:t>
                        </w:r>
                      </w:p>
                    </w:tc>
                    <w:tc>
                      <w:tcPr>
                        <w:tcW w:w="85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6378" w:type="dxa"/>
                        <w:tcBorders>
                          <w:top w:val="single" w:sz="4" w:space="0" w:color="000000"/>
                          <w:left w:val="single" w:sz="4" w:space="0" w:color="000000"/>
                          <w:bottom w:val="nil" w:sz="6" w:space="0" w:color="auto"/>
                          <w:right w:val="single" w:sz="4" w:space="0" w:color="000000"/>
                        </w:tcBorders>
                      </w:tcPr>
                      <w:p>
                        <w:pPr/>
                      </w:p>
                    </w:tc>
                  </w:tr>
                  <w:tr>
                    <w:trPr>
                      <w:trHeight w:val="469"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瑞投资管理</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合伙企业（有</w:t>
                        </w: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053842674</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pacing w:val="-24"/>
                            <w:sz w:val="18"/>
                            <w:szCs w:val="18"/>
                          </w:rPr>
                          <w:t>；</w:t>
                        </w:r>
                        <w:r>
                          <w:rPr>
                            <w:rFonts w:ascii="宋体" w:hAnsi="宋体" w:cs="宋体" w:eastAsia="宋体" w:hint="default"/>
                            <w:sz w:val="18"/>
                            <w:szCs w:val="18"/>
                          </w:rPr>
                          <w:t>实业项目投资</w:t>
                        </w:r>
                        <w:r>
                          <w:rPr>
                            <w:rFonts w:ascii="宋体" w:hAnsi="宋体" w:cs="宋体" w:eastAsia="宋体" w:hint="default"/>
                            <w:spacing w:val="-111"/>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以上未经金融等监管部门批准不得从事吸收存款</w:t>
                        </w:r>
                        <w:r>
                          <w:rPr>
                            <w:rFonts w:ascii="宋体" w:hAnsi="宋体" w:cs="宋体" w:eastAsia="宋体" w:hint="default"/>
                            <w:spacing w:val="-22"/>
                            <w:sz w:val="18"/>
                            <w:szCs w:val="18"/>
                          </w:rPr>
                          <w:t>、</w:t>
                        </w:r>
                        <w:r>
                          <w:rPr>
                            <w:rFonts w:ascii="宋体" w:hAnsi="宋体" w:cs="宋体" w:eastAsia="宋体" w:hint="default"/>
                            <w:sz w:val="18"/>
                            <w:szCs w:val="18"/>
                          </w:rPr>
                          <w:t>融</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资担保、代客理财、向社会公众集（融）资等金融业务）</w:t>
                        </w:r>
                      </w:p>
                    </w:tc>
                  </w:tr>
                  <w:tr>
                    <w:trPr>
                      <w:trHeight w:val="235"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51"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6378" w:type="dxa"/>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向房地产、宾馆业、餐饮业控股投资；建筑材料、五金交电、环保设备、机电设</w:t>
                        </w:r>
                      </w:p>
                    </w:tc>
                  </w:tr>
                  <w:tr>
                    <w:trPr>
                      <w:trHeight w:val="233"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备、装饰材料、办公设备、日用百货、文化用品、通讯器材、裘皮及服装、鞋帽</w:t>
                        </w:r>
                      </w:p>
                    </w:tc>
                  </w:tr>
                  <w:tr>
                    <w:trPr>
                      <w:trHeight w:val="934"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3" w:right="198"/>
                          <w:jc w:val="both"/>
                          <w:rPr>
                            <w:rFonts w:ascii="宋体" w:hAnsi="宋体" w:cs="宋体" w:eastAsia="宋体" w:hint="default"/>
                            <w:sz w:val="18"/>
                            <w:szCs w:val="18"/>
                          </w:rPr>
                        </w:pPr>
                        <w:r>
                          <w:rPr>
                            <w:rFonts w:ascii="宋体" w:hAnsi="宋体" w:cs="宋体" w:eastAsia="宋体" w:hint="default"/>
                            <w:sz w:val="18"/>
                            <w:szCs w:val="18"/>
                          </w:rPr>
                          <w:t>天津滨海浙 商投资集团 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789367458</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z w:val="18"/>
                            <w:szCs w:val="18"/>
                          </w:rPr>
                          <w:t>金银饰品、珠宝、汽车装具、汽车配件销售；劳务服务；卷烟零售；房地产开发</w:t>
                        </w:r>
                      </w:p>
                      <w:p>
                        <w:pPr>
                          <w:pStyle w:val="TableParagraph"/>
                          <w:spacing w:line="232" w:lineRule="exact" w:before="24"/>
                          <w:ind w:left="23" w:right="42"/>
                          <w:jc w:val="both"/>
                          <w:rPr>
                            <w:rFonts w:ascii="宋体" w:hAnsi="宋体" w:cs="宋体" w:eastAsia="宋体" w:hint="default"/>
                            <w:sz w:val="18"/>
                            <w:szCs w:val="18"/>
                          </w:rPr>
                        </w:pPr>
                        <w:r>
                          <w:rPr>
                            <w:rFonts w:ascii="宋体" w:hAnsi="宋体" w:cs="宋体" w:eastAsia="宋体" w:hint="default"/>
                            <w:sz w:val="18"/>
                            <w:szCs w:val="18"/>
                          </w:rPr>
                          <w:t>及商品房销售；房屋租赁服务；房地产信息咨询；物业服务；汽车租赁；计算机 软硬件的开发；电子产品、电子设备研发、销售；机械设备租赁、销售；土石方 </w:t>
                        </w:r>
                        <w:r>
                          <w:rPr>
                            <w:rFonts w:ascii="宋体" w:hAnsi="宋体" w:cs="宋体" w:eastAsia="宋体" w:hint="default"/>
                            <w:spacing w:val="-3"/>
                            <w:sz w:val="18"/>
                            <w:szCs w:val="18"/>
                          </w:rPr>
                          <w:t>工程施工；房屋建筑工程；室内外装修设计、施工；绿化工程；房地产中介服务</w:t>
                        </w:r>
                      </w:p>
                    </w:tc>
                  </w:tr>
                  <w:tr>
                    <w:trPr>
                      <w:trHeight w:val="234"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展览展示服务</w:t>
                        </w:r>
                        <w:r>
                          <w:rPr>
                            <w:rFonts w:ascii="宋体" w:hAnsi="宋体" w:cs="宋体" w:eastAsia="宋体" w:hint="default"/>
                            <w:spacing w:val="-17"/>
                            <w:sz w:val="18"/>
                            <w:szCs w:val="18"/>
                          </w:rPr>
                          <w:t>；</w:t>
                        </w:r>
                        <w:r>
                          <w:rPr>
                            <w:rFonts w:ascii="宋体" w:hAnsi="宋体" w:cs="宋体" w:eastAsia="宋体" w:hint="default"/>
                            <w:sz w:val="18"/>
                            <w:szCs w:val="18"/>
                          </w:rPr>
                          <w:t>会议</w:t>
                        </w:r>
                        <w:r>
                          <w:rPr>
                            <w:rFonts w:ascii="宋体" w:hAnsi="宋体" w:cs="宋体" w:eastAsia="宋体" w:hint="default"/>
                            <w:spacing w:val="-17"/>
                            <w:sz w:val="18"/>
                            <w:szCs w:val="18"/>
                          </w:rPr>
                          <w:t>、</w:t>
                        </w:r>
                        <w:r>
                          <w:rPr>
                            <w:rFonts w:ascii="宋体" w:hAnsi="宋体" w:cs="宋体" w:eastAsia="宋体" w:hint="default"/>
                            <w:sz w:val="18"/>
                            <w:szCs w:val="18"/>
                          </w:rPr>
                          <w:t>礼仪服务</w:t>
                        </w:r>
                        <w:r>
                          <w:rPr>
                            <w:rFonts w:ascii="宋体" w:hAnsi="宋体" w:cs="宋体" w:eastAsia="宋体" w:hint="default"/>
                            <w:spacing w:val="-108"/>
                            <w:sz w:val="18"/>
                            <w:szCs w:val="18"/>
                          </w:rPr>
                          <w:t>。</w:t>
                        </w:r>
                        <w:r>
                          <w:rPr>
                            <w:rFonts w:ascii="宋体" w:hAnsi="宋体" w:cs="宋体" w:eastAsia="宋体" w:hint="default"/>
                            <w:sz w:val="18"/>
                            <w:szCs w:val="18"/>
                          </w:rPr>
                          <w:t>（依法须经批准的项目</w:t>
                        </w:r>
                        <w:r>
                          <w:rPr>
                            <w:rFonts w:ascii="宋体" w:hAnsi="宋体" w:cs="宋体" w:eastAsia="宋体" w:hint="default"/>
                            <w:spacing w:val="-17"/>
                            <w:sz w:val="18"/>
                            <w:szCs w:val="18"/>
                          </w:rPr>
                          <w:t>，</w:t>
                        </w:r>
                        <w:r>
                          <w:rPr>
                            <w:rFonts w:ascii="宋体" w:hAnsi="宋体" w:cs="宋体" w:eastAsia="宋体" w:hint="default"/>
                            <w:sz w:val="18"/>
                            <w:szCs w:val="18"/>
                          </w:rPr>
                          <w:t>经相关部门批准后方可</w:t>
                        </w:r>
                      </w:p>
                    </w:tc>
                  </w:tr>
                  <w:tr>
                    <w:trPr>
                      <w:trHeight w:val="239"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开展经营活动）</w:t>
                        </w:r>
                      </w:p>
                    </w:tc>
                  </w:tr>
                  <w:tr>
                    <w:trPr>
                      <w:trHeight w:val="23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服务：实业投资，投资咨询（除证券、期货</w:t>
                        </w:r>
                        <w:r>
                          <w:rPr>
                            <w:rFonts w:ascii="宋体" w:hAnsi="宋体" w:cs="宋体" w:eastAsia="宋体" w:hint="default"/>
                            <w:spacing w:val="-92"/>
                            <w:sz w:val="18"/>
                            <w:szCs w:val="18"/>
                          </w:rPr>
                          <w:t>）</w:t>
                        </w:r>
                        <w:r>
                          <w:rPr>
                            <w:rFonts w:ascii="宋体" w:hAnsi="宋体" w:cs="宋体" w:eastAsia="宋体" w:hint="default"/>
                            <w:sz w:val="18"/>
                            <w:szCs w:val="18"/>
                          </w:rPr>
                          <w:t>，投资管理（除证券、期货</w:t>
                        </w:r>
                        <w:r>
                          <w:rPr>
                            <w:rFonts w:ascii="宋体" w:hAnsi="宋体" w:cs="宋体" w:eastAsia="宋体" w:hint="default"/>
                            <w:spacing w:val="-89"/>
                            <w:sz w:val="18"/>
                            <w:szCs w:val="18"/>
                          </w:rPr>
                          <w:t>）</w:t>
                        </w:r>
                        <w:r>
                          <w:rPr>
                            <w:rFonts w:ascii="宋体" w:hAnsi="宋体" w:cs="宋体" w:eastAsia="宋体" w:hint="default"/>
                            <w:sz w:val="18"/>
                            <w:szCs w:val="18"/>
                          </w:rPr>
                          <w:t>，承办</w:t>
                        </w:r>
                      </w:p>
                    </w:tc>
                  </w:tr>
                  <w:tr>
                    <w:trPr>
                      <w:trHeight w:val="233"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会展</w:t>
                        </w:r>
                        <w:r>
                          <w:rPr>
                            <w:rFonts w:ascii="宋体" w:hAnsi="宋体" w:cs="宋体" w:eastAsia="宋体" w:hint="default"/>
                            <w:spacing w:val="-12"/>
                            <w:sz w:val="18"/>
                            <w:szCs w:val="18"/>
                          </w:rPr>
                          <w:t>，</w:t>
                        </w:r>
                        <w:r>
                          <w:rPr>
                            <w:rFonts w:ascii="宋体" w:hAnsi="宋体" w:cs="宋体" w:eastAsia="宋体" w:hint="default"/>
                            <w:sz w:val="18"/>
                            <w:szCs w:val="18"/>
                          </w:rPr>
                          <w:t>商务信息咨</w:t>
                        </w:r>
                        <w:r>
                          <w:rPr>
                            <w:rFonts w:ascii="宋体" w:hAnsi="宋体" w:cs="宋体" w:eastAsia="宋体" w:hint="default"/>
                            <w:spacing w:val="-12"/>
                            <w:sz w:val="18"/>
                            <w:szCs w:val="18"/>
                          </w:rPr>
                          <w:t>询</w:t>
                        </w:r>
                        <w:r>
                          <w:rPr>
                            <w:rFonts w:ascii="宋体" w:hAnsi="宋体" w:cs="宋体" w:eastAsia="宋体" w:hint="default"/>
                            <w:sz w:val="18"/>
                            <w:szCs w:val="18"/>
                          </w:rPr>
                          <w:t>（除证券</w:t>
                        </w:r>
                        <w:r>
                          <w:rPr>
                            <w:rFonts w:ascii="宋体" w:hAnsi="宋体" w:cs="宋体" w:eastAsia="宋体" w:hint="default"/>
                            <w:spacing w:val="-12"/>
                            <w:sz w:val="18"/>
                            <w:szCs w:val="18"/>
                          </w:rPr>
                          <w:t>、</w:t>
                        </w:r>
                        <w:r>
                          <w:rPr>
                            <w:rFonts w:ascii="宋体" w:hAnsi="宋体" w:cs="宋体" w:eastAsia="宋体" w:hint="default"/>
                            <w:sz w:val="18"/>
                            <w:szCs w:val="18"/>
                          </w:rPr>
                          <w:t>期货</w:t>
                        </w:r>
                        <w:r>
                          <w:rPr>
                            <w:rFonts w:ascii="宋体" w:hAnsi="宋体" w:cs="宋体" w:eastAsia="宋体" w:hint="default"/>
                            <w:spacing w:val="-10"/>
                            <w:sz w:val="18"/>
                            <w:szCs w:val="18"/>
                          </w:rPr>
                          <w:t>、</w:t>
                        </w:r>
                        <w:r>
                          <w:rPr>
                            <w:rFonts w:ascii="宋体" w:hAnsi="宋体" w:cs="宋体" w:eastAsia="宋体" w:hint="default"/>
                            <w:sz w:val="18"/>
                            <w:szCs w:val="18"/>
                          </w:rPr>
                          <w:t>商品中介</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计算机软件的技术开发</w:t>
                        </w:r>
                        <w:r>
                          <w:rPr>
                            <w:rFonts w:ascii="宋体" w:hAnsi="宋体" w:cs="宋体" w:eastAsia="宋体" w:hint="default"/>
                            <w:spacing w:val="-12"/>
                            <w:sz w:val="18"/>
                            <w:szCs w:val="18"/>
                          </w:rPr>
                          <w:t>、</w:t>
                        </w:r>
                        <w:r>
                          <w:rPr>
                            <w:rFonts w:ascii="宋体" w:hAnsi="宋体" w:cs="宋体" w:eastAsia="宋体" w:hint="default"/>
                            <w:sz w:val="18"/>
                            <w:szCs w:val="18"/>
                          </w:rPr>
                          <w:t>技术</w:t>
                        </w:r>
                      </w:p>
                    </w:tc>
                  </w:tr>
                  <w:tr>
                    <w:trPr>
                      <w:trHeight w:val="701"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3" w:right="198"/>
                          <w:jc w:val="left"/>
                          <w:rPr>
                            <w:rFonts w:ascii="宋体" w:hAnsi="宋体" w:cs="宋体" w:eastAsia="宋体" w:hint="default"/>
                            <w:sz w:val="18"/>
                            <w:szCs w:val="18"/>
                          </w:rPr>
                        </w:pPr>
                        <w:r>
                          <w:rPr>
                            <w:rFonts w:ascii="宋体" w:hAnsi="宋体" w:cs="宋体" w:eastAsia="宋体" w:hint="default"/>
                            <w:sz w:val="18"/>
                            <w:szCs w:val="18"/>
                          </w:rPr>
                          <w:t>浙江隆北实 业有限公司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朱建海</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593055815</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咨询；批发、零售：有色金属，金属制品，电线电缆，家用电器，机电设备（除</w:t>
                        </w:r>
                      </w:p>
                      <w:p>
                        <w:pPr>
                          <w:pStyle w:val="TableParagraph"/>
                          <w:spacing w:line="232" w:lineRule="exact" w:before="24"/>
                          <w:ind w:left="23" w:right="42"/>
                          <w:jc w:val="left"/>
                          <w:rPr>
                            <w:rFonts w:ascii="宋体" w:hAnsi="宋体" w:cs="宋体" w:eastAsia="宋体" w:hint="default"/>
                            <w:sz w:val="18"/>
                            <w:szCs w:val="18"/>
                          </w:rPr>
                        </w:pPr>
                        <w:r>
                          <w:rPr>
                            <w:rFonts w:ascii="宋体" w:hAnsi="宋体" w:cs="宋体" w:eastAsia="宋体" w:hint="default"/>
                            <w:spacing w:val="-6"/>
                            <w:sz w:val="18"/>
                            <w:szCs w:val="18"/>
                          </w:rPr>
                          <w:t>轿车），钢材，化工原料（除化学危险品及易制毒化学品），建筑材料，商用车及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九座以上乘用车，五金交电，电子计算机及配件，通讯器材；货物进出口（法律</w:t>
                        </w:r>
                      </w:p>
                    </w:tc>
                  </w:tr>
                  <w:tr>
                    <w:trPr>
                      <w:trHeight w:val="233"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行政法规禁止除外</w:t>
                        </w:r>
                        <w:r>
                          <w:rPr>
                            <w:rFonts w:ascii="宋体" w:hAnsi="宋体" w:cs="宋体" w:eastAsia="宋体" w:hint="default"/>
                            <w:spacing w:val="-80"/>
                            <w:sz w:val="18"/>
                            <w:szCs w:val="18"/>
                          </w:rPr>
                          <w:t>，</w:t>
                        </w:r>
                        <w:r>
                          <w:rPr>
                            <w:rFonts w:ascii="宋体" w:hAnsi="宋体" w:cs="宋体" w:eastAsia="宋体" w:hint="default"/>
                            <w:sz w:val="18"/>
                            <w:szCs w:val="18"/>
                          </w:rPr>
                          <w:t>法律</w:t>
                        </w:r>
                        <w:r>
                          <w:rPr>
                            <w:rFonts w:ascii="宋体" w:hAnsi="宋体" w:cs="宋体" w:eastAsia="宋体" w:hint="default"/>
                            <w:spacing w:val="-80"/>
                            <w:sz w:val="18"/>
                            <w:szCs w:val="18"/>
                          </w:rPr>
                          <w:t>、</w:t>
                        </w:r>
                        <w:r>
                          <w:rPr>
                            <w:rFonts w:ascii="宋体" w:hAnsi="宋体" w:cs="宋体" w:eastAsia="宋体" w:hint="default"/>
                            <w:sz w:val="18"/>
                            <w:szCs w:val="18"/>
                          </w:rPr>
                          <w:t>行政法规限制的项目取得许可后方可以从事经营活动</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24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其他无需报经审批的一切合法项目。</w:t>
                        </w:r>
                      </w:p>
                    </w:tc>
                  </w:tr>
                  <w:tr>
                    <w:trPr>
                      <w:trHeight w:val="23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资产经营管理；投资；高新技术开发、转让；企业财务、资本运营策划与咨询；</w:t>
                        </w:r>
                      </w:p>
                    </w:tc>
                  </w:tr>
                  <w:tr>
                    <w:trPr>
                      <w:trHeight w:val="238"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经济信息咨询和服务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、未经有关部门批准，不得以公开方式募集资金；</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r>
                  <w:tr>
                    <w:trPr>
                      <w:trHeight w:val="69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before="108"/>
                          <w:ind w:left="23" w:right="198"/>
                          <w:jc w:val="left"/>
                          <w:rPr>
                            <w:rFonts w:ascii="宋体" w:hAnsi="宋体" w:cs="宋体" w:eastAsia="宋体" w:hint="default"/>
                            <w:sz w:val="18"/>
                            <w:szCs w:val="18"/>
                          </w:rPr>
                        </w:pPr>
                        <w:r>
                          <w:rPr>
                            <w:rFonts w:ascii="宋体" w:hAnsi="宋体" w:cs="宋体" w:eastAsia="宋体" w:hint="default"/>
                            <w:sz w:val="18"/>
                            <w:szCs w:val="18"/>
                          </w:rPr>
                          <w:t>中油资产管 理有限公司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1" w:lineRule="exact" w:before="8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710926369</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不得公开开展证券类产品和金融衍生品交易活动；</w:t>
                        </w:r>
                        <w:r>
                          <w:rPr>
                            <w:rFonts w:ascii="Times New Roman" w:hAnsi="Times New Roman" w:cs="Times New Roman" w:eastAsia="Times New Roman" w:hint="default"/>
                            <w:sz w:val="18"/>
                            <w:szCs w:val="18"/>
                          </w:rPr>
                          <w:t>3</w:t>
                        </w:r>
                        <w:r>
                          <w:rPr>
                            <w:rFonts w:ascii="宋体" w:hAnsi="宋体" w:cs="宋体" w:eastAsia="宋体" w:hint="default"/>
                            <w:sz w:val="18"/>
                            <w:szCs w:val="18"/>
                          </w:rPr>
                          <w:t>、不得发放贷款；</w:t>
                        </w:r>
                        <w:r>
                          <w:rPr>
                            <w:rFonts w:ascii="Times New Roman" w:hAnsi="Times New Roman" w:cs="Times New Roman" w:eastAsia="Times New Roman" w:hint="default"/>
                            <w:sz w:val="18"/>
                            <w:szCs w:val="18"/>
                          </w:rPr>
                          <w:t>4</w:t>
                        </w:r>
                        <w:r>
                          <w:rPr>
                            <w:rFonts w:ascii="宋体" w:hAnsi="宋体" w:cs="宋体" w:eastAsia="宋体" w:hint="default"/>
                            <w:sz w:val="18"/>
                            <w:szCs w:val="18"/>
                          </w:rPr>
                          <w:t>、不得对</w:t>
                        </w:r>
                      </w:p>
                      <w:p>
                        <w:pPr>
                          <w:pStyle w:val="TableParagraph"/>
                          <w:spacing w:line="232" w:lineRule="exact" w:before="17"/>
                          <w:ind w:left="23" w:right="21"/>
                          <w:jc w:val="left"/>
                          <w:rPr>
                            <w:rFonts w:ascii="宋体" w:hAnsi="宋体" w:cs="宋体" w:eastAsia="宋体" w:hint="default"/>
                            <w:sz w:val="18"/>
                            <w:szCs w:val="18"/>
                          </w:rPr>
                        </w:pPr>
                        <w:r>
                          <w:rPr>
                            <w:rFonts w:ascii="宋体" w:hAnsi="宋体" w:cs="宋体" w:eastAsia="宋体" w:hint="default"/>
                            <w:spacing w:val="-2"/>
                            <w:sz w:val="18"/>
                            <w:szCs w:val="18"/>
                          </w:rPr>
                          <w:t>所投资企业以外的其他企业提供担保；</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、不得向投资者承诺投资本金不受损失或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者承诺最低收益”；企业依法自主选择经营项目，开展经营活动；依法须经批准的</w:t>
                        </w:r>
                      </w:p>
                    </w:tc>
                  </w:tr>
                  <w:tr>
                    <w:trPr>
                      <w:trHeight w:val="233" w:hRule="exact"/>
                    </w:trPr>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项目，经相关部门批准后依批准的内容开展经营活动；不得从事本市产业政策禁</w:t>
                        </w:r>
                      </w:p>
                    </w:tc>
                  </w:tr>
                  <w:tr>
                    <w:trPr>
                      <w:trHeight w:val="24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止和限制类项目的经营活动</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240"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最终控制层</w:t>
                        </w:r>
                      </w:p>
                    </w:tc>
                    <w:tc>
                      <w:tcPr>
                        <w:tcW w:w="9072" w:type="dxa"/>
                        <w:gridSpan w:val="4"/>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面股东报告</w:t>
                        </w:r>
                      </w:p>
                    </w:tc>
                    <w:tc>
                      <w:tcPr>
                        <w:tcW w:w="9072" w:type="dxa"/>
                        <w:gridSpan w:val="4"/>
                        <w:tcBorders>
                          <w:top w:val="nil" w:sz="6" w:space="0" w:color="auto"/>
                          <w:left w:val="single" w:sz="4" w:space="0" w:color="000000"/>
                          <w:bottom w:val="nil" w:sz="6" w:space="0" w:color="auto"/>
                          <w:right w:val="single" w:sz="4" w:space="0" w:color="000000"/>
                        </w:tcBorders>
                      </w:tcPr>
                      <w:p>
                        <w:pPr/>
                      </w:p>
                    </w:tc>
                  </w:tr>
                  <w:tr>
                    <w:trPr>
                      <w:trHeight w:val="466"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期内控制的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其他境内外</w:t>
                        </w:r>
                      </w:p>
                    </w:tc>
                    <w:tc>
                      <w:tcPr>
                        <w:tcW w:w="907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34"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9072" w:type="dxa"/>
                        <w:gridSpan w:val="4"/>
                        <w:tcBorders>
                          <w:top w:val="nil" w:sz="6" w:space="0" w:color="auto"/>
                          <w:left w:val="single" w:sz="4" w:space="0" w:color="000000"/>
                          <w:bottom w:val="nil" w:sz="6" w:space="0" w:color="auto"/>
                          <w:right w:val="single" w:sz="4" w:space="0" w:color="000000"/>
                        </w:tcBorders>
                      </w:tcPr>
                      <w:p>
                        <w:pPr/>
                      </w:p>
                    </w:tc>
                  </w:tr>
                  <w:tr>
                    <w:trPr>
                      <w:trHeight w:val="239"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9072" w:type="dxa"/>
                        <w:gridSpan w:val="4"/>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34" w:lineRule="exact" w:before="44"/>
        <w:ind w:left="0" w:right="107"/>
        <w:jc w:val="right"/>
      </w:pPr>
      <w:r>
        <w:rPr/>
        <w:t>、</w:t>
      </w:r>
    </w:p>
    <w:p>
      <w:pPr>
        <w:pStyle w:val="BodyText"/>
        <w:spacing w:line="234" w:lineRule="exact"/>
        <w:ind w:left="0" w:right="107"/>
        <w:jc w:val="right"/>
      </w:pPr>
      <w:r>
        <w:rPr/>
        <w:t>；</w:t>
      </w:r>
    </w:p>
    <w:p>
      <w:pPr>
        <w:spacing w:after="0" w:line="234" w:lineRule="exact"/>
        <w:jc w:val="right"/>
        <w:sectPr>
          <w:footerReference w:type="default" r:id="rId28"/>
          <w:pgSz w:w="11910" w:h="16840"/>
          <w:pgMar w:footer="978" w:header="878" w:top="1100" w:bottom="1160" w:left="740" w:right="680"/>
          <w:pgNumType w:start="50"/>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实际控制人报告期内变更</w:t>
      </w:r>
    </w:p>
    <w:p>
      <w:pPr>
        <w:pStyle w:val="BodyText"/>
        <w:spacing w:line="264" w:lineRule="auto" w:before="38"/>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w:t>
      </w:r>
    </w:p>
    <w:p>
      <w:pPr>
        <w:spacing w:line="240" w:lineRule="auto" w:before="6"/>
        <w:rPr>
          <w:rFonts w:ascii="宋体" w:hAnsi="宋体" w:cs="宋体" w:eastAsia="宋体" w:hint="default"/>
          <w:sz w:val="20"/>
          <w:szCs w:val="20"/>
        </w:rPr>
      </w:pPr>
    </w:p>
    <w:p>
      <w:pPr>
        <w:pStyle w:val="BodyText"/>
        <w:spacing w:line="240" w:lineRule="auto"/>
        <w:ind w:right="0"/>
        <w:jc w:val="left"/>
      </w:pPr>
      <w:r>
        <w:rPr/>
        <w:t>公司与实际控制人之间的产权及控制关系的方框图</w:t>
      </w:r>
    </w:p>
    <w:p>
      <w:pPr>
        <w:spacing w:line="240" w:lineRule="auto" w:before="3"/>
        <w:rPr>
          <w:rFonts w:ascii="宋体" w:hAnsi="宋体" w:cs="宋体" w:eastAsia="宋体" w:hint="default"/>
          <w:sz w:val="17"/>
          <w:szCs w:val="17"/>
        </w:rPr>
      </w:pPr>
    </w:p>
    <w:p>
      <w:pPr>
        <w:spacing w:line="9008" w:lineRule="exact"/>
        <w:ind w:left="247" w:right="0" w:firstLine="0"/>
        <w:rPr>
          <w:rFonts w:ascii="宋体" w:hAnsi="宋体" w:cs="宋体" w:eastAsia="宋体" w:hint="default"/>
          <w:sz w:val="20"/>
          <w:szCs w:val="20"/>
        </w:rPr>
      </w:pPr>
      <w:r>
        <w:rPr>
          <w:rFonts w:ascii="宋体" w:hAnsi="宋体" w:cs="宋体" w:eastAsia="宋体" w:hint="default"/>
          <w:position w:val="-179"/>
          <w:sz w:val="20"/>
          <w:szCs w:val="20"/>
        </w:rPr>
        <w:drawing>
          <wp:inline distT="0" distB="0" distL="0" distR="0">
            <wp:extent cx="5968944" cy="5720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9" cstate="print"/>
                    <a:stretch>
                      <a:fillRect/>
                    </a:stretch>
                  </pic:blipFill>
                  <pic:spPr>
                    <a:xfrm>
                      <a:off x="0" y="0"/>
                      <a:ext cx="5968944" cy="5720619"/>
                    </a:xfrm>
                    <a:prstGeom prst="rect">
                      <a:avLst/>
                    </a:prstGeom>
                  </pic:spPr>
                </pic:pic>
              </a:graphicData>
            </a:graphic>
          </wp:inline>
        </w:drawing>
      </w:r>
      <w:r>
        <w:rPr>
          <w:rFonts w:ascii="宋体" w:hAnsi="宋体" w:cs="宋体" w:eastAsia="宋体" w:hint="default"/>
          <w:position w:val="-179"/>
          <w:sz w:val="20"/>
          <w:szCs w:val="20"/>
        </w:rPr>
      </w:r>
    </w:p>
    <w:p>
      <w:pPr>
        <w:spacing w:line="240" w:lineRule="auto" w:before="11"/>
        <w:rPr>
          <w:rFonts w:ascii="宋体" w:hAnsi="宋体" w:cs="宋体" w:eastAsia="宋体" w:hint="default"/>
          <w:sz w:val="12"/>
          <w:szCs w:val="12"/>
        </w:rPr>
      </w:pPr>
    </w:p>
    <w:p>
      <w:pPr>
        <w:pStyle w:val="Heading4"/>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left="3247" w:right="0"/>
        <w:jc w:val="left"/>
        <w:rPr>
          <w:b w:val="0"/>
          <w:bCs w:val="0"/>
        </w:rPr>
      </w:pPr>
      <w:bookmarkStart w:name="_bookmark6" w:id="8"/>
      <w:bookmarkEnd w:id="8"/>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64" w:lineRule="auto" w:before="44"/>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264"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left="1783" w:right="310"/>
        <w:jc w:val="left"/>
        <w:rPr>
          <w:b w:val="0"/>
          <w:bCs w:val="0"/>
        </w:rPr>
      </w:pPr>
      <w:bookmarkStart w:name="_bookmark7" w:id="9"/>
      <w:bookmarkEnd w:id="9"/>
      <w:r>
        <w:rPr>
          <w:b w:val="0"/>
          <w:bCs w:val="0"/>
        </w:rPr>
      </w:r>
      <w:r>
        <w:rPr/>
        <w:t>第八节</w:t>
      </w:r>
      <w:r>
        <w:rPr>
          <w:spacing w:val="-17"/>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240" w:lineRule="auto"/>
        <w:ind w:left="252" w:right="31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98"/>
        <w:gridCol w:w="1045"/>
        <w:gridCol w:w="567"/>
        <w:gridCol w:w="425"/>
        <w:gridCol w:w="426"/>
        <w:gridCol w:w="1683"/>
        <w:gridCol w:w="1701"/>
        <w:gridCol w:w="585"/>
        <w:gridCol w:w="567"/>
        <w:gridCol w:w="567"/>
        <w:gridCol w:w="567"/>
        <w:gridCol w:w="992"/>
      </w:tblGrid>
      <w:tr>
        <w:trPr>
          <w:trHeight w:val="125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50"/>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06" w:right="107"/>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12" w:lineRule="exact"/>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97" w:right="98"/>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99"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12" w:lineRule="exact"/>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6"/>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13" w:right="0"/>
              <w:jc w:val="left"/>
              <w:rPr>
                <w:rFonts w:ascii="Times New Roman" w:hAnsi="Times New Roman" w:cs="Times New Roman" w:eastAsia="Times New Roman" w:hint="default"/>
                <w:sz w:val="18"/>
                <w:szCs w:val="18"/>
              </w:rPr>
            </w:pPr>
            <w:r>
              <w:rPr>
                <w:rFonts w:ascii="Times New Roman"/>
                <w:sz w:val="18"/>
              </w:rPr>
              <w:t>39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78,130,329</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6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3" w:right="0"/>
              <w:jc w:val="left"/>
              <w:rPr>
                <w:rFonts w:ascii="Times New Roman" w:hAnsi="Times New Roman" w:cs="Times New Roman" w:eastAsia="Times New Roman" w:hint="default"/>
                <w:sz w:val="18"/>
                <w:szCs w:val="18"/>
              </w:rPr>
            </w:pPr>
            <w:r>
              <w:rPr>
                <w:rFonts w:ascii="Times New Roman"/>
                <w:sz w:val="18"/>
              </w:rPr>
              <w:t>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67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78,130,329</w:t>
            </w:r>
          </w:p>
        </w:tc>
      </w:tr>
    </w:tbl>
    <w:p>
      <w:pPr>
        <w:spacing w:line="240" w:lineRule="auto" w:before="12"/>
        <w:rPr>
          <w:rFonts w:ascii="宋体" w:hAnsi="宋体" w:cs="宋体" w:eastAsia="宋体" w:hint="default"/>
          <w:b/>
          <w:bCs/>
          <w:sz w:val="17"/>
          <w:szCs w:val="17"/>
        </w:rPr>
      </w:pPr>
    </w:p>
    <w:p>
      <w:pPr>
        <w:pStyle w:val="Heading2"/>
        <w:spacing w:line="240" w:lineRule="auto" w:before="26"/>
        <w:ind w:left="252" w:right="31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52" w:right="3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4"/>
          <w:szCs w:val="4"/>
        </w:rPr>
      </w:pPr>
    </w:p>
    <w:tbl>
      <w:tblPr>
        <w:tblW w:w="0" w:type="auto"/>
        <w:jc w:val="left"/>
        <w:tblInd w:w="249" w:type="dxa"/>
        <w:tblLayout w:type="fixed"/>
        <w:tblCellMar>
          <w:top w:w="0" w:type="dxa"/>
          <w:left w:w="0" w:type="dxa"/>
          <w:bottom w:w="0" w:type="dxa"/>
          <w:right w:w="0" w:type="dxa"/>
        </w:tblCellMar>
        <w:tblLook w:val="01E0"/>
      </w:tblPr>
      <w:tblGrid>
        <w:gridCol w:w="1330"/>
        <w:gridCol w:w="1330"/>
        <w:gridCol w:w="1330"/>
        <w:gridCol w:w="2531"/>
        <w:gridCol w:w="3118"/>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79"/>
              <w:jc w:val="right"/>
              <w:rPr>
                <w:rFonts w:ascii="宋体" w:hAnsi="宋体" w:cs="宋体" w:eastAsia="宋体" w:hint="default"/>
                <w:sz w:val="18"/>
                <w:szCs w:val="18"/>
              </w:rPr>
            </w:pPr>
            <w:r>
              <w:rPr>
                <w:rFonts w:ascii="宋体" w:hAnsi="宋体" w:cs="宋体" w:eastAsia="宋体" w:hint="default"/>
                <w:sz w:val="18"/>
                <w:szCs w:val="18"/>
              </w:rPr>
              <w:t>日期</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r>
    </w:tbl>
    <w:p>
      <w:pPr>
        <w:spacing w:line="240" w:lineRule="auto" w:before="13"/>
        <w:rPr>
          <w:rFonts w:ascii="宋体" w:hAnsi="宋体" w:cs="宋体" w:eastAsia="宋体" w:hint="default"/>
          <w:sz w:val="17"/>
          <w:szCs w:val="17"/>
        </w:rPr>
      </w:pPr>
    </w:p>
    <w:p>
      <w:pPr>
        <w:pStyle w:val="Heading2"/>
        <w:spacing w:line="240" w:lineRule="auto" w:before="26"/>
        <w:ind w:left="252" w:right="0"/>
        <w:jc w:val="both"/>
        <w:rPr>
          <w:b w:val="0"/>
          <w:bCs w:val="0"/>
        </w:rPr>
      </w:pPr>
      <w:r>
        <w:rPr/>
        <w:t>三、任职情况</w:t>
      </w:r>
      <w:r>
        <w:rPr>
          <w:b w:val="0"/>
          <w:bCs w:val="0"/>
        </w:rPr>
      </w:r>
    </w:p>
    <w:p>
      <w:pPr>
        <w:spacing w:line="240" w:lineRule="auto" w:before="7"/>
        <w:rPr>
          <w:rFonts w:ascii="宋体" w:hAnsi="宋体" w:cs="宋体" w:eastAsia="宋体" w:hint="default"/>
          <w:b/>
          <w:bCs/>
          <w:sz w:val="23"/>
          <w:szCs w:val="23"/>
        </w:rPr>
      </w:pPr>
    </w:p>
    <w:p>
      <w:pPr>
        <w:pStyle w:val="BodyText"/>
        <w:spacing w:line="360" w:lineRule="auto"/>
        <w:ind w:left="252" w:right="2854"/>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董事：</w:t>
      </w:r>
      <w:r>
        <w:rPr>
          <w:rFonts w:ascii="宋体" w:hAnsi="宋体" w:cs="宋体" w:eastAsia="宋体" w:hint="default"/>
        </w:rPr>
      </w:r>
    </w:p>
    <w:p>
      <w:pPr>
        <w:pStyle w:val="BodyText"/>
        <w:spacing w:line="232" w:lineRule="exact" w:before="54"/>
        <w:ind w:left="252" w:right="166"/>
        <w:jc w:val="both"/>
      </w:pPr>
      <w:r>
        <w:rPr>
          <w:rFonts w:ascii="宋体" w:hAnsi="宋体" w:cs="宋体" w:eastAsia="宋体" w:hint="default"/>
          <w:b/>
          <w:bCs/>
        </w:rPr>
        <w:t>彭聪先生，</w:t>
      </w:r>
      <w:r>
        <w:rPr/>
        <w:t>硕士，现任神州易桥信息服务股份有限公司董事、董事长兼总裁，神州易桥（北京）财税科技有限公司董事长， 企业管家（北京）科技服务有限公司总经理，易桥信息服务有限公司执行董事，百达永信（北京）投资有限公司执行董事， 百达永信投资有限公司执行董事，北京微税知识产权代理有限公司执行董事。</w:t>
      </w:r>
    </w:p>
    <w:p>
      <w:pPr>
        <w:pStyle w:val="BodyText"/>
        <w:spacing w:line="240" w:lineRule="auto" w:before="96"/>
        <w:ind w:left="252" w:right="0"/>
        <w:jc w:val="both"/>
      </w:pPr>
      <w:r>
        <w:rPr>
          <w:rFonts w:ascii="宋体" w:hAnsi="宋体" w:cs="宋体" w:eastAsia="宋体" w:hint="default"/>
          <w:b/>
          <w:bCs/>
        </w:rPr>
        <w:t>黄海勇先生，</w:t>
      </w:r>
      <w:r>
        <w:rPr/>
        <w:t>本科，曾任青海大正会计师事务所审计项目经理，审计部主任、合伙人，青海明胶股份有限公司财务经理。现</w:t>
      </w:r>
    </w:p>
    <w:p>
      <w:pPr>
        <w:spacing w:after="0" w:line="240" w:lineRule="auto"/>
        <w:jc w:val="both"/>
        <w:sectPr>
          <w:pgSz w:w="11910" w:h="16840"/>
          <w:pgMar w:header="878" w:footer="978" w:top="1100" w:bottom="1160" w:left="880" w:right="880"/>
        </w:sectPr>
      </w:pPr>
    </w:p>
    <w:p>
      <w:pPr>
        <w:spacing w:line="240" w:lineRule="auto" w:before="12"/>
        <w:rPr>
          <w:rFonts w:ascii="宋体" w:hAnsi="宋体" w:cs="宋体" w:eastAsia="宋体" w:hint="default"/>
          <w:sz w:val="18"/>
          <w:szCs w:val="18"/>
        </w:rPr>
      </w:pPr>
    </w:p>
    <w:p>
      <w:pPr>
        <w:pStyle w:val="BodyText"/>
        <w:spacing w:line="232" w:lineRule="exact" w:before="69"/>
        <w:ind w:right="192"/>
        <w:jc w:val="both"/>
      </w:pPr>
      <w:r>
        <w:rPr>
          <w:spacing w:val="-2"/>
        </w:rPr>
        <w:t>任神州易桥信息服务股份有限公司董事、副总裁、财务总监，青海宁达创业投资有限责任公司董事长，吉林省嘉孚化学工业</w:t>
      </w:r>
      <w:r>
        <w:rPr>
          <w:spacing w:val="-66"/>
        </w:rPr>
        <w:t> </w:t>
      </w:r>
      <w:r>
        <w:rPr>
          <w:spacing w:val="-66"/>
        </w:rPr>
      </w:r>
      <w:r>
        <w:rPr/>
        <w:t>股份有限公司董事。</w:t>
      </w:r>
    </w:p>
    <w:p>
      <w:pPr>
        <w:pStyle w:val="BodyText"/>
        <w:spacing w:line="232" w:lineRule="exact" w:before="123"/>
        <w:ind w:right="192"/>
        <w:jc w:val="both"/>
      </w:pPr>
      <w:r>
        <w:rPr>
          <w:rFonts w:ascii="宋体" w:hAnsi="宋体" w:cs="宋体" w:eastAsia="宋体" w:hint="default"/>
          <w:b/>
          <w:bCs/>
          <w:spacing w:val="-2"/>
        </w:rPr>
        <w:t>赵侠先生，</w:t>
      </w:r>
      <w:r>
        <w:rPr>
          <w:spacing w:val="-2"/>
        </w:rPr>
        <w:t>硕士研究生，历任滨海信托投资有限公司证券部经理、营业部经理，天津泰达科技投资股份有限公司投资银行部</w:t>
      </w:r>
      <w:r>
        <w:rPr>
          <w:spacing w:val="-70"/>
        </w:rPr>
        <w:t> </w:t>
      </w:r>
      <w:r>
        <w:rPr>
          <w:spacing w:val="-70"/>
        </w:rPr>
      </w:r>
      <w:r>
        <w:rPr>
          <w:spacing w:val="-2"/>
        </w:rPr>
        <w:t>经理，青海明胶股份有限公司副总裁、总裁。现任神州易桥信息服务股份有限公司董事，天津泰达科技投资股份有限公司董</w:t>
      </w:r>
      <w:r>
        <w:rPr>
          <w:spacing w:val="-66"/>
        </w:rPr>
        <w:t> </w:t>
      </w:r>
      <w:r>
        <w:rPr>
          <w:spacing w:val="-66"/>
        </w:rPr>
      </w:r>
      <w:r>
        <w:rPr/>
        <w:t>事，西藏华毓创业投资管理有限公司执行董事兼经理，深圳树泰科技有限公司执行董事兼经理。</w:t>
      </w:r>
    </w:p>
    <w:p>
      <w:pPr>
        <w:pStyle w:val="BodyText"/>
        <w:spacing w:line="232" w:lineRule="exact" w:before="123"/>
        <w:ind w:right="192"/>
        <w:jc w:val="both"/>
      </w:pPr>
      <w:r>
        <w:rPr>
          <w:rFonts w:ascii="宋体" w:hAnsi="宋体" w:cs="宋体" w:eastAsia="宋体" w:hint="default"/>
          <w:b/>
          <w:bCs/>
          <w:spacing w:val="-2"/>
        </w:rPr>
        <w:t>连杰先生，</w:t>
      </w:r>
      <w:r>
        <w:rPr>
          <w:spacing w:val="-2"/>
        </w:rPr>
        <w:t>本科，长江商学院FMBA（在职金融工商管理硕士）在读，曾任平安银行天津分行市场九部对公客户经理。现任神</w:t>
      </w:r>
      <w:r>
        <w:rPr>
          <w:spacing w:val="-68"/>
        </w:rPr>
        <w:t> </w:t>
      </w:r>
      <w:r>
        <w:rPr>
          <w:spacing w:val="-68"/>
        </w:rPr>
      </w:r>
      <w:r>
        <w:rPr/>
        <w:t>州易桥信息服务股份有限公司董事，天津滨海浙商投资集团有限公司副总经理，天津昊娱文化传媒有限公司执行董事。</w:t>
      </w:r>
    </w:p>
    <w:p>
      <w:pPr>
        <w:pStyle w:val="BodyText"/>
        <w:spacing w:line="232" w:lineRule="exact" w:before="121"/>
        <w:ind w:right="192"/>
        <w:jc w:val="both"/>
      </w:pPr>
      <w:r>
        <w:rPr>
          <w:rFonts w:ascii="宋体" w:hAnsi="宋体" w:cs="宋体" w:eastAsia="宋体" w:hint="default"/>
          <w:b/>
          <w:bCs/>
          <w:spacing w:val="-2"/>
        </w:rPr>
        <w:t>俞丽辉女士，</w:t>
      </w:r>
      <w:r>
        <w:rPr>
          <w:spacing w:val="-2"/>
        </w:rPr>
        <w:t>硕士，注册会计师。曾任美国管理协会(AMA)</w:t>
      </w:r>
      <w:r>
        <w:rPr>
          <w:spacing w:val="19"/>
        </w:rPr>
        <w:t> </w:t>
      </w:r>
      <w:r>
        <w:rPr>
          <w:spacing w:val="-2"/>
        </w:rPr>
        <w:t>专业培训师。现任上海华东理工大学商学院副教授，欧瑞管理顾</w:t>
      </w:r>
      <w:r>
        <w:rPr>
          <w:spacing w:val="-88"/>
        </w:rPr>
        <w:t> </w:t>
      </w:r>
      <w:r>
        <w:rPr>
          <w:spacing w:val="-88"/>
        </w:rPr>
      </w:r>
      <w:r>
        <w:rPr>
          <w:spacing w:val="-2"/>
        </w:rPr>
        <w:t>问有限公司资深讲师，神州易桥信息服务股份有限公司独立董事，辽宁奥克化学股份有限公司独立董事，无锡和晶科技股份</w:t>
      </w:r>
      <w:r>
        <w:rPr>
          <w:spacing w:val="-65"/>
        </w:rPr>
        <w:t> </w:t>
      </w:r>
      <w:r>
        <w:rPr>
          <w:spacing w:val="-65"/>
        </w:rPr>
      </w:r>
      <w:r>
        <w:rPr/>
        <w:t>有限公司独立董事，上海之江生物科技股份有限公司独立董事。</w:t>
      </w:r>
    </w:p>
    <w:p>
      <w:pPr>
        <w:pStyle w:val="BodyText"/>
        <w:spacing w:line="232" w:lineRule="exact" w:before="123"/>
        <w:ind w:right="192"/>
        <w:jc w:val="both"/>
      </w:pPr>
      <w:r>
        <w:rPr>
          <w:rFonts w:ascii="宋体" w:hAnsi="宋体" w:cs="宋体" w:eastAsia="宋体" w:hint="default"/>
          <w:b/>
          <w:bCs/>
          <w:spacing w:val="-2"/>
        </w:rPr>
        <w:t>韩传模先生，</w:t>
      </w:r>
      <w:r>
        <w:rPr>
          <w:spacing w:val="-2"/>
        </w:rPr>
        <w:t>硕士研究生，中国注册会计师、中国注册资产评估师。现任天津财经大学商学院教授，神州易桥信息服务股份</w:t>
      </w:r>
      <w:r>
        <w:rPr>
          <w:spacing w:val="-71"/>
        </w:rPr>
        <w:t> </w:t>
      </w:r>
      <w:r>
        <w:rPr>
          <w:spacing w:val="-71"/>
        </w:rPr>
      </w:r>
      <w:r>
        <w:rPr>
          <w:spacing w:val="-2"/>
        </w:rPr>
        <w:t>有限公司独立董事，力生制药股份有限公司独立董事，浪潮电子信息产业股份有限公司独立董事，阳光新业地产股份有限公</w:t>
      </w:r>
      <w:r>
        <w:rPr>
          <w:spacing w:val="-65"/>
        </w:rPr>
        <w:t> </w:t>
      </w:r>
      <w:r>
        <w:rPr>
          <w:spacing w:val="-65"/>
        </w:rPr>
      </w:r>
      <w:r>
        <w:rPr/>
        <w:t>司独立董事。</w:t>
      </w:r>
    </w:p>
    <w:p>
      <w:pPr>
        <w:pStyle w:val="Heading5"/>
        <w:spacing w:line="240" w:lineRule="auto" w:before="98"/>
        <w:ind w:right="0"/>
        <w:jc w:val="both"/>
        <w:rPr>
          <w:b w:val="0"/>
          <w:bCs w:val="0"/>
        </w:rPr>
      </w:pPr>
      <w:r>
        <w:rPr/>
        <w:t>监事：</w:t>
      </w:r>
      <w:r>
        <w:rPr>
          <w:b w:val="0"/>
          <w:bCs w:val="0"/>
        </w:rPr>
      </w:r>
    </w:p>
    <w:p>
      <w:pPr>
        <w:pStyle w:val="BodyText"/>
        <w:spacing w:line="237" w:lineRule="auto" w:before="119"/>
        <w:ind w:right="192"/>
        <w:jc w:val="both"/>
      </w:pPr>
      <w:r>
        <w:rPr>
          <w:rFonts w:ascii="宋体" w:hAnsi="宋体" w:cs="宋体" w:eastAsia="宋体" w:hint="default"/>
          <w:b/>
          <w:bCs/>
          <w:spacing w:val="-2"/>
        </w:rPr>
        <w:t>于秀芳女士，</w:t>
      </w:r>
      <w:r>
        <w:rPr>
          <w:spacing w:val="-2"/>
        </w:rPr>
        <w:t>硕士，高级会计师、高级人力资源管理师。历任和泰集团投资有限公司副总裁、董事。现任神州易桥信息服务</w:t>
      </w:r>
      <w:r>
        <w:rPr>
          <w:spacing w:val="-73"/>
        </w:rPr>
        <w:t> </w:t>
      </w:r>
      <w:r>
        <w:rPr>
          <w:spacing w:val="-73"/>
        </w:rPr>
      </w:r>
      <w:r>
        <w:rPr>
          <w:spacing w:val="-2"/>
        </w:rPr>
        <w:t>股份有限公司监事会主席，天津泰达科技投资股份有限公司董事，天津滨海浙商投资集团有限公司副总裁，天津万商地产投</w:t>
      </w:r>
      <w:r>
        <w:rPr>
          <w:spacing w:val="-65"/>
        </w:rPr>
        <w:t> </w:t>
      </w:r>
      <w:r>
        <w:rPr>
          <w:spacing w:val="-65"/>
        </w:rPr>
      </w:r>
      <w:r>
        <w:rPr/>
        <w:t>资有限公司监事，天津万科空港置业有限公司董事。</w:t>
      </w:r>
    </w:p>
    <w:p>
      <w:pPr>
        <w:pStyle w:val="BodyText"/>
        <w:spacing w:line="232" w:lineRule="exact" w:before="142"/>
        <w:ind w:right="192"/>
        <w:jc w:val="both"/>
      </w:pPr>
      <w:r>
        <w:rPr>
          <w:rFonts w:ascii="宋体" w:hAnsi="宋体" w:cs="宋体" w:eastAsia="宋体" w:hint="default"/>
          <w:b/>
          <w:bCs/>
          <w:spacing w:val="-2"/>
        </w:rPr>
        <w:t>董维先生，</w:t>
      </w:r>
      <w:r>
        <w:rPr>
          <w:spacing w:val="-2"/>
        </w:rPr>
        <w:t>本科，经济师，历任中国工商银行天津开发区分行部门副经理，天津泰达发展有限公司部门经理，天津海达创业</w:t>
      </w:r>
      <w:r>
        <w:rPr>
          <w:spacing w:val="-70"/>
        </w:rPr>
        <w:t> </w:t>
      </w:r>
      <w:r>
        <w:rPr>
          <w:spacing w:val="-70"/>
        </w:rPr>
      </w:r>
      <w:r>
        <w:rPr>
          <w:spacing w:val="-2"/>
        </w:rPr>
        <w:t>投资管理有限公司副总经理。现任神州易桥信息服务股份有限公司监事，天津泰达科技投资股份有限公司副总经理，湖北宜</w:t>
      </w:r>
      <w:r>
        <w:rPr>
          <w:spacing w:val="-65"/>
        </w:rPr>
        <w:t> </w:t>
      </w:r>
      <w:r>
        <w:rPr>
          <w:spacing w:val="-65"/>
        </w:rPr>
      </w:r>
      <w:r>
        <w:rPr/>
        <w:t>景常弘科技有限公司执行董事，烟台泰达创业投资管理有限公司董事长兼总经理。</w:t>
      </w:r>
    </w:p>
    <w:p>
      <w:pPr>
        <w:pStyle w:val="BodyText"/>
        <w:spacing w:line="237" w:lineRule="auto" w:before="98"/>
        <w:ind w:right="192"/>
        <w:jc w:val="both"/>
      </w:pPr>
      <w:r>
        <w:rPr>
          <w:rFonts w:ascii="宋体" w:hAnsi="宋体" w:cs="宋体" w:eastAsia="宋体" w:hint="default"/>
          <w:b/>
          <w:bCs/>
          <w:spacing w:val="-2"/>
        </w:rPr>
        <w:t>李弓先生，</w:t>
      </w:r>
      <w:r>
        <w:rPr>
          <w:spacing w:val="-2"/>
        </w:rPr>
        <w:t>硕士。曾任英超纽卡斯尔足球俱乐部运营主管，中国国际展览中心总裁助理兼销售部经理，创易网首席商务品牌</w:t>
      </w:r>
      <w:r>
        <w:rPr>
          <w:spacing w:val="-70"/>
        </w:rPr>
        <w:t> </w:t>
      </w:r>
      <w:r>
        <w:rPr>
          <w:spacing w:val="-70"/>
        </w:rPr>
      </w:r>
      <w:r>
        <w:rPr>
          <w:spacing w:val="-2"/>
        </w:rPr>
        <w:t>执行官，北京英特华集团助理总裁及首席商务品牌执行官。现任神州易桥信息服务股份有限公司监事，神州易桥（北京）财</w:t>
      </w:r>
      <w:r>
        <w:rPr>
          <w:spacing w:val="-65"/>
        </w:rPr>
        <w:t> </w:t>
      </w:r>
      <w:r>
        <w:rPr>
          <w:spacing w:val="-65"/>
        </w:rPr>
      </w:r>
      <w:r>
        <w:rPr/>
        <w:t>税科技有限公司总裁助理。</w:t>
      </w:r>
    </w:p>
    <w:p>
      <w:pPr>
        <w:pStyle w:val="Heading5"/>
        <w:spacing w:line="240" w:lineRule="auto" w:before="117"/>
        <w:ind w:right="0"/>
        <w:jc w:val="both"/>
        <w:rPr>
          <w:rFonts w:ascii="宋体" w:hAnsi="宋体" w:cs="宋体" w:eastAsia="宋体" w:hint="default"/>
          <w:b w:val="0"/>
          <w:bCs w:val="0"/>
        </w:rPr>
      </w:pPr>
      <w:r>
        <w:rPr/>
        <w:t>高级管理人员</w:t>
      </w:r>
      <w:r>
        <w:rPr>
          <w:rFonts w:ascii="宋体" w:hAnsi="宋体" w:cs="宋体" w:eastAsia="宋体" w:hint="default"/>
          <w:b w:val="0"/>
          <w:bCs w:val="0"/>
        </w:rPr>
        <w:t>：</w:t>
      </w:r>
    </w:p>
    <w:p>
      <w:pPr>
        <w:pStyle w:val="BodyText"/>
        <w:spacing w:line="232" w:lineRule="exact" w:before="144"/>
        <w:ind w:right="106"/>
        <w:jc w:val="both"/>
      </w:pPr>
      <w:r>
        <w:rPr>
          <w:rFonts w:ascii="宋体" w:hAnsi="宋体" w:cs="宋体" w:eastAsia="宋体" w:hint="default"/>
          <w:b/>
          <w:bCs/>
        </w:rPr>
        <w:t>彭聪先生，</w:t>
      </w:r>
      <w:r>
        <w:rPr/>
        <w:t>硕士，现任神州易桥信息服务股份有限公司董事、董事长兼总裁，神州易桥（北京）财税科技有限公司董事长， 企业管家（北京）科技服务有限公司总经理，易桥信息服务有限公司执行董事，百达永信（北京）投资有限公司执行董事， 百达永信投资有限公司执行董事，北京微税知识产权代理有限公司执行董事，北京关东大院餐饮管理有限公司执行董事。</w:t>
      </w:r>
    </w:p>
    <w:p>
      <w:pPr>
        <w:pStyle w:val="BodyText"/>
        <w:spacing w:line="237" w:lineRule="auto" w:before="98"/>
        <w:ind w:right="189"/>
        <w:jc w:val="both"/>
      </w:pPr>
      <w:r>
        <w:rPr>
          <w:rFonts w:ascii="宋体" w:hAnsi="宋体" w:cs="宋体" w:eastAsia="宋体" w:hint="default"/>
          <w:b/>
          <w:bCs/>
          <w:spacing w:val="-2"/>
        </w:rPr>
        <w:t>黄海勇先生，</w:t>
      </w:r>
      <w:r>
        <w:rPr>
          <w:spacing w:val="-2"/>
        </w:rPr>
        <w:t>本科，曾任青海大正会计师事务所审计项目经理，审计部主任、合伙人，青海明胶股份有限公司财务经理。现</w:t>
      </w:r>
      <w:r>
        <w:rPr>
          <w:spacing w:val="-73"/>
        </w:rPr>
        <w:t> </w:t>
      </w:r>
      <w:r>
        <w:rPr>
          <w:spacing w:val="-73"/>
        </w:rPr>
      </w:r>
      <w:r>
        <w:rPr>
          <w:spacing w:val="-2"/>
        </w:rPr>
        <w:t>任神州易桥信息服务股份有限公司董事、副总裁、财务总监，青海宁达创业投资有限责任公司董事长，吉林省嘉孚化学工业</w:t>
      </w:r>
      <w:r>
        <w:rPr>
          <w:spacing w:val="-66"/>
        </w:rPr>
        <w:t> </w:t>
      </w:r>
      <w:r>
        <w:rPr>
          <w:spacing w:val="-66"/>
        </w:rPr>
      </w:r>
      <w:r>
        <w:rPr/>
        <w:t>股份有限公司董事。</w:t>
      </w:r>
    </w:p>
    <w:p>
      <w:pPr>
        <w:pStyle w:val="BodyText"/>
        <w:spacing w:line="237" w:lineRule="auto" w:before="119"/>
        <w:ind w:right="189"/>
        <w:jc w:val="both"/>
      </w:pPr>
      <w:r>
        <w:rPr>
          <w:rFonts w:ascii="宋体" w:hAnsi="宋体" w:cs="宋体" w:eastAsia="宋体" w:hint="default"/>
          <w:b/>
          <w:bCs/>
          <w:spacing w:val="-2"/>
        </w:rPr>
        <w:t>华彧民先生，</w:t>
      </w:r>
      <w:r>
        <w:rPr>
          <w:spacing w:val="-2"/>
        </w:rPr>
        <w:t>硕士研究生。曾任天津泰达科技风险投资股份有限公司财务部会计、投资银行部投资经理。现任神州易桥信息</w:t>
      </w:r>
      <w:r>
        <w:rPr>
          <w:spacing w:val="-68"/>
        </w:rPr>
        <w:t> </w:t>
      </w:r>
      <w:r>
        <w:rPr>
          <w:spacing w:val="-68"/>
        </w:rPr>
      </w:r>
      <w:r>
        <w:rPr>
          <w:spacing w:val="-2"/>
        </w:rPr>
        <w:t>服务股份有限公司董事会秘书，广西海东科技创业投资有限公司董事长，广西神州易桥企业管理有限公司执行董事，青海春</w:t>
      </w:r>
      <w:r>
        <w:rPr>
          <w:spacing w:val="-63"/>
        </w:rPr>
        <w:t> </w:t>
      </w:r>
      <w:r>
        <w:rPr>
          <w:spacing w:val="-63"/>
        </w:rPr>
      </w:r>
      <w:r>
        <w:rPr/>
        <w:t>天药用资源科技股份有限公司监事会主席。</w:t>
      </w:r>
    </w:p>
    <w:p>
      <w:pPr>
        <w:spacing w:line="240" w:lineRule="auto" w:before="0"/>
        <w:rPr>
          <w:rFonts w:ascii="宋体" w:hAnsi="宋体" w:cs="宋体" w:eastAsia="宋体" w:hint="default"/>
          <w:sz w:val="18"/>
          <w:szCs w:val="18"/>
        </w:rPr>
      </w:pPr>
    </w:p>
    <w:p>
      <w:pPr>
        <w:pStyle w:val="BodyText"/>
        <w:spacing w:line="240" w:lineRule="auto" w:before="129"/>
        <w:ind w:right="0"/>
        <w:jc w:val="both"/>
      </w:pPr>
      <w:r>
        <w:rPr/>
        <w:t>在股东单位任职情况</w:t>
      </w:r>
    </w:p>
    <w:p>
      <w:pPr>
        <w:pStyle w:val="BodyText"/>
        <w:spacing w:line="240" w:lineRule="auto" w:before="3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851"/>
        <w:gridCol w:w="2835"/>
        <w:gridCol w:w="1077"/>
        <w:gridCol w:w="1617"/>
        <w:gridCol w:w="1641"/>
        <w:gridCol w:w="1560"/>
      </w:tblGrid>
      <w:tr>
        <w:trPr>
          <w:trHeight w:val="55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41" w:right="58"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7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83"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25" w:right="52"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百达永信（北京）投资有限公司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西藏华毓创业投资管理有限公司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40" w:lineRule="auto" w:before="44"/>
        <w:ind w:left="332" w:right="346"/>
        <w:jc w:val="left"/>
      </w:pPr>
      <w:r>
        <w:rPr/>
        <w:t>在其他单位任职情况</w:t>
      </w:r>
    </w:p>
    <w:p>
      <w:pPr>
        <w:pStyle w:val="BodyText"/>
        <w:spacing w:line="240" w:lineRule="auto" w:before="38"/>
        <w:ind w:left="332" w:right="3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233"/>
        <w:gridCol w:w="2878"/>
        <w:gridCol w:w="1586"/>
        <w:gridCol w:w="1701"/>
        <w:gridCol w:w="1701"/>
        <w:gridCol w:w="966"/>
      </w:tblGrid>
      <w:tr>
        <w:trPr>
          <w:trHeight w:val="790"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608" w:right="65"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7" w:right="27"/>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深圳树泰科技有限公司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天津昊娱文化传媒有限公司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上海华东理工大学商学院</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辽宁奥克化学股份有限公司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无锡和晶科技股份有限公司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上海之江生物科技股份有限公司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天津财经大学商学院</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力生制药股份有限公司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阳光新业地产股份有限公司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天津万商地产投资有限公司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天津万科空港置业有限公司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湖北宜景常弘科技有限公司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烟台泰达创业投资管理有限公司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42"/>
              <w:jc w:val="left"/>
              <w:rPr>
                <w:rFonts w:ascii="宋体" w:hAnsi="宋体" w:cs="宋体" w:eastAsia="宋体" w:hint="default"/>
                <w:sz w:val="18"/>
                <w:szCs w:val="18"/>
              </w:rPr>
            </w:pPr>
            <w:r>
              <w:rPr>
                <w:rFonts w:ascii="宋体" w:hAnsi="宋体" w:cs="宋体" w:eastAsia="宋体" w:hint="default"/>
                <w:sz w:val="18"/>
                <w:szCs w:val="18"/>
              </w:rPr>
              <w:t>青海春天药用资源科技股份有限公 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142"/>
              <w:jc w:val="left"/>
              <w:rPr>
                <w:rFonts w:ascii="宋体" w:hAnsi="宋体" w:cs="宋体" w:eastAsia="宋体" w:hint="default"/>
                <w:sz w:val="18"/>
                <w:szCs w:val="18"/>
              </w:rPr>
            </w:pPr>
            <w:r>
              <w:rPr>
                <w:rFonts w:ascii="宋体" w:hAnsi="宋体" w:cs="宋体" w:eastAsia="宋体" w:hint="default"/>
                <w:sz w:val="18"/>
                <w:szCs w:val="18"/>
              </w:rPr>
              <w:t>北京巅峰智业旅游文化创意股份有 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6"/>
          <w:szCs w:val="16"/>
        </w:rPr>
      </w:pPr>
    </w:p>
    <w:p>
      <w:pPr>
        <w:pStyle w:val="BodyText"/>
        <w:spacing w:line="240" w:lineRule="auto" w:before="44"/>
        <w:ind w:left="332" w:right="346"/>
        <w:jc w:val="left"/>
      </w:pPr>
      <w:r>
        <w:rPr/>
        <w:t>公司现任及报告期内离任董事、监事和高级管理人员近三年证券监管机构处罚的情况</w:t>
      </w:r>
    </w:p>
    <w:p>
      <w:pPr>
        <w:pStyle w:val="BodyText"/>
        <w:spacing w:line="240" w:lineRule="auto" w:before="38"/>
        <w:ind w:left="332" w:right="3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left="332" w:right="346"/>
        <w:jc w:val="left"/>
        <w:rPr>
          <w:b w:val="0"/>
          <w:bCs w:val="0"/>
        </w:rPr>
      </w:pPr>
      <w:r>
        <w:rPr/>
        <w:t>四、董事、监事、高级管理人员报酬情况</w:t>
      </w:r>
      <w:r>
        <w:rPr>
          <w:b w:val="0"/>
          <w:bCs w:val="0"/>
        </w:rPr>
      </w:r>
    </w:p>
    <w:p>
      <w:pPr>
        <w:pStyle w:val="BodyText"/>
        <w:spacing w:line="350" w:lineRule="atLeast" w:before="193"/>
        <w:ind w:left="760" w:right="346" w:hanging="428"/>
        <w:jc w:val="left"/>
      </w:pPr>
      <w:r>
        <w:rPr/>
        <w:t>董事、监事、高级管理人员报酬的决策程序、确定依据、实际支付情况 决策程序：董事会薪酬与考核委员会向董事会提出董事、监事的津贴方案，董事会审批后报股东大会批准；高级管理</w:t>
      </w:r>
    </w:p>
    <w:p>
      <w:pPr>
        <w:pStyle w:val="BodyText"/>
        <w:spacing w:line="360" w:lineRule="auto"/>
        <w:ind w:left="760" w:right="346" w:hanging="428"/>
        <w:jc w:val="left"/>
      </w:pPr>
      <w:r>
        <w:rPr/>
        <w:t>人员薪酬方案经董事会薪酬与考核委员会对绩效进行评价后，报董事会批准。 确定依据：经公司董事会及股东大会审议通过的公司董（监）事、独立董事津贴方案确定。 支付情况：董事、监事的津贴依据股东大会批准的方案按季度发放；高级管理人员的薪酬按公司薪酬管理制度发放。</w:t>
      </w:r>
    </w:p>
    <w:p>
      <w:pPr>
        <w:spacing w:after="0" w:line="360" w:lineRule="auto"/>
        <w:jc w:val="left"/>
        <w:sectPr>
          <w:pgSz w:w="11910" w:h="16840"/>
          <w:pgMar w:header="878" w:footer="978" w:top="1100" w:bottom="1160" w:left="800" w:right="800"/>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公司报告期内董事、监事和高级管理人员报酬情况</w:t>
      </w:r>
    </w:p>
    <w:p>
      <w:pPr>
        <w:pStyle w:val="BodyText"/>
        <w:spacing w:line="240" w:lineRule="auto" w:before="38"/>
        <w:ind w:left="0" w:right="112"/>
        <w:jc w:val="right"/>
      </w:pPr>
      <w:r>
        <w:rPr/>
        <w:t>单位：万元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276"/>
        <w:gridCol w:w="2409"/>
        <w:gridCol w:w="901"/>
        <w:gridCol w:w="850"/>
        <w:gridCol w:w="992"/>
        <w:gridCol w:w="1510"/>
        <w:gridCol w:w="1701"/>
      </w:tblGrid>
      <w:tr>
        <w:trPr>
          <w:trHeight w:val="55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89" w:right="29" w:hanging="360"/>
              <w:jc w:val="left"/>
              <w:rPr>
                <w:rFonts w:ascii="宋体" w:hAnsi="宋体" w:cs="宋体" w:eastAsia="宋体" w:hint="default"/>
                <w:sz w:val="18"/>
                <w:szCs w:val="18"/>
              </w:rPr>
            </w:pPr>
            <w:r>
              <w:rPr>
                <w:rFonts w:ascii="宋体" w:hAnsi="宋体" w:cs="宋体" w:eastAsia="宋体" w:hint="default"/>
                <w:sz w:val="18"/>
                <w:szCs w:val="18"/>
              </w:rPr>
              <w:t>从公司获得的税前 报酬总额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75" w:right="33" w:hanging="540"/>
              <w:jc w:val="left"/>
              <w:rPr>
                <w:rFonts w:ascii="宋体" w:hAnsi="宋体" w:cs="宋体" w:eastAsia="宋体" w:hint="default"/>
                <w:sz w:val="18"/>
                <w:szCs w:val="18"/>
              </w:rPr>
            </w:pPr>
            <w:r>
              <w:rPr>
                <w:rFonts w:ascii="宋体" w:hAnsi="宋体" w:cs="宋体" w:eastAsia="宋体" w:hint="default"/>
                <w:sz w:val="18"/>
                <w:szCs w:val="18"/>
              </w:rPr>
              <w:t>是否在公司关联方获 取报酬</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董事、董事长、总裁</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39.30</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7</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13.99</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33.17</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11.76</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143.22</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2"/>
        <w:ind w:right="0"/>
        <w:jc w:val="left"/>
      </w:pPr>
      <w:r>
        <w:rPr/>
        <w:t>公司董事、高级管理人员报告期内被授予的股权激励情况</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五、公司员工情况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19</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364</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364</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128</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156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45</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364</w:t>
            </w:r>
          </w:p>
        </w:tc>
      </w:tr>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19</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198</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2"/>
                <w:sz w:val="18"/>
              </w:rPr>
              <w:t>116</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31</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10" w:firstLine="420"/>
        <w:jc w:val="both"/>
      </w:pPr>
      <w:r>
        <w:rPr/>
        <w:t>公司制定了《薪酬管理制度》、《异动管理制度》及《不相容岗位分离管理制度》等制度，遵循岗位价值贡献及不相 </w:t>
      </w:r>
      <w:r>
        <w:rPr>
          <w:spacing w:val="-2"/>
        </w:rPr>
        <w:t>容岗位相分离原则，实行薪酬动态管理，根据行业及地区劳动力供给及竞争状况、公司经营态式及物价指数变化等因素，阶</w:t>
      </w:r>
      <w:r>
        <w:rPr>
          <w:spacing w:val="-64"/>
        </w:rPr>
        <w:t> </w:t>
      </w:r>
      <w:r>
        <w:rPr>
          <w:spacing w:val="-64"/>
        </w:rPr>
      </w:r>
      <w:r>
        <w:rPr/>
        <w:t>段性适当调整员工薪酬和物价增长补贴，使得员工认可公司合理的薪酬水平。</w:t>
      </w:r>
    </w:p>
    <w:p>
      <w:pPr>
        <w:pStyle w:val="BodyText"/>
        <w:spacing w:line="232" w:lineRule="exact" w:before="22"/>
        <w:ind w:right="112" w:firstLine="420"/>
        <w:jc w:val="both"/>
      </w:pPr>
      <w:r>
        <w:rPr/>
        <w:t>公司按期足额为员工缴纳社会保险和住房公积金，定期组织员工进行身体健康体检，节假日发放福利费和物品等，建 立了一定的激励机制和福利机制。</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4"/>
          <w:szCs w:val="24"/>
        </w:rPr>
      </w:pPr>
    </w:p>
    <w:p>
      <w:pPr>
        <w:pStyle w:val="BodyText"/>
        <w:spacing w:line="232" w:lineRule="exact"/>
        <w:ind w:right="112" w:firstLine="420"/>
        <w:jc w:val="both"/>
      </w:pPr>
      <w:r>
        <w:rPr/>
        <w:t>公司按需求制订培训计划，采取内部培训与外部培训结合的方式进行培训，通过</w:t>
      </w:r>
      <w:r>
        <w:rPr>
          <w:rFonts w:ascii="Times New Roman" w:hAnsi="Times New Roman" w:cs="Times New Roman" w:eastAsia="Times New Roman" w:hint="default"/>
        </w:rPr>
        <w:t>“</w:t>
      </w:r>
      <w:r>
        <w:rPr/>
        <w:t>请进来，走出去</w:t>
      </w:r>
      <w:r>
        <w:rPr>
          <w:rFonts w:ascii="Times New Roman" w:hAnsi="Times New Roman" w:cs="Times New Roman" w:eastAsia="Times New Roman" w:hint="default"/>
        </w:rPr>
        <w:t>”</w:t>
      </w:r>
      <w:r>
        <w:rPr/>
        <w:t>为所有管理层和员 工提供学习和发展的机会。</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right="2382"/>
        <w:jc w:val="center"/>
        <w:rPr>
          <w:b w:val="0"/>
          <w:bCs w:val="0"/>
        </w:rPr>
      </w:pPr>
      <w:bookmarkStart w:name="_bookmark8" w:id="10"/>
      <w:bookmarkEnd w:id="10"/>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25"/>
          <w:szCs w:val="25"/>
        </w:rPr>
      </w:pPr>
    </w:p>
    <w:p>
      <w:pPr>
        <w:pStyle w:val="BodyText"/>
        <w:spacing w:line="232" w:lineRule="exact"/>
        <w:ind w:right="112" w:firstLine="427"/>
        <w:jc w:val="both"/>
      </w:pPr>
      <w:r>
        <w:rPr/>
        <w:t>报告期内，公司严格按照《公司法》、《证券法》和中国证监会、青海证监局、深圳证券交易所的有关法律法规的要 </w:t>
      </w:r>
      <w:r>
        <w:rPr>
          <w:spacing w:val="-2"/>
        </w:rPr>
        <w:t>求，不断健全公司治理结构，进一步强化内部控制管理、规范公司运作，提升公司治理水平，加强公司信息披露工作。报告</w:t>
      </w:r>
      <w:r>
        <w:rPr>
          <w:spacing w:val="-66"/>
        </w:rPr>
        <w:t> </w:t>
      </w:r>
      <w:r>
        <w:rPr>
          <w:spacing w:val="-66"/>
        </w:rPr>
      </w:r>
      <w:r>
        <w:rPr/>
        <w:t>期内，公司治理的实际情况基本与中国证监会发布的有关上市公司治理的规范性文件要求一致。</w:t>
      </w:r>
    </w:p>
    <w:p>
      <w:pPr>
        <w:spacing w:line="240" w:lineRule="auto" w:before="1"/>
        <w:rPr>
          <w:rFonts w:ascii="宋体" w:hAnsi="宋体" w:cs="宋体" w:eastAsia="宋体" w:hint="default"/>
          <w:sz w:val="17"/>
          <w:szCs w:val="17"/>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264" w:lineRule="auto" w:before="38"/>
        <w:ind w:right="2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5"/>
          <w:szCs w:val="25"/>
        </w:rPr>
      </w:pPr>
    </w:p>
    <w:p>
      <w:pPr>
        <w:pStyle w:val="BodyText"/>
        <w:spacing w:line="232" w:lineRule="exact"/>
        <w:ind w:right="145" w:firstLine="427"/>
        <w:jc w:val="both"/>
      </w:pPr>
      <w:r>
        <w:rPr/>
        <w:t>公司法人治理结构健全，在业务、人员、资产、机构、财务等方面与控股股东完全分开，具有独立完整的业务及自主 经营能力。</w:t>
      </w:r>
    </w:p>
    <w:p>
      <w:pPr>
        <w:pStyle w:val="BodyText"/>
        <w:spacing w:line="217" w:lineRule="exact"/>
        <w:ind w:left="540" w:right="0"/>
        <w:jc w:val="left"/>
      </w:pPr>
      <w:r>
        <w:rPr>
          <w:rFonts w:ascii="Times New Roman" w:hAnsi="Times New Roman" w:cs="Times New Roman" w:eastAsia="Times New Roman" w:hint="default"/>
        </w:rPr>
        <w:t>1</w:t>
      </w:r>
      <w:r>
        <w:rPr/>
        <w:t>、业务独立：公司具有独立完整的业务及自主经营能力，控股股东不存在直接或间接干预公司经营活动的情况。</w:t>
      </w:r>
    </w:p>
    <w:p>
      <w:pPr>
        <w:pStyle w:val="BodyText"/>
        <w:spacing w:line="233" w:lineRule="exact"/>
        <w:ind w:left="540" w:right="0"/>
        <w:jc w:val="left"/>
      </w:pPr>
      <w:r>
        <w:rPr>
          <w:rFonts w:ascii="Times New Roman" w:hAnsi="Times New Roman" w:cs="Times New Roman" w:eastAsia="Times New Roman" w:hint="default"/>
        </w:rPr>
        <w:t>2</w:t>
      </w:r>
      <w:r>
        <w:rPr/>
        <w:t>、人员独立：公司与控股股东在劳动、人事及工资管理等方面相互独立，有独立完善的人力管理体系。</w:t>
      </w:r>
    </w:p>
    <w:p>
      <w:pPr>
        <w:pStyle w:val="BodyText"/>
        <w:spacing w:line="236" w:lineRule="exact" w:before="13"/>
        <w:ind w:right="112" w:firstLine="427"/>
        <w:jc w:val="both"/>
      </w:pPr>
      <w:r>
        <w:rPr>
          <w:rFonts w:ascii="Times New Roman" w:hAnsi="Times New Roman" w:cs="Times New Roman" w:eastAsia="Times New Roman" w:hint="default"/>
          <w:spacing w:val="-2"/>
        </w:rPr>
        <w:t>3</w:t>
      </w:r>
      <w:r>
        <w:rPr>
          <w:spacing w:val="-2"/>
        </w:rPr>
        <w:t>、资产独立：公司具有独立完整的资产，公司的资产全部处于公司的控制之下，并为公司独立拥有和运营。公司不存</w:t>
      </w:r>
      <w:r>
        <w:rPr/>
        <w:t> 在资金、资产被控股股东占用的情形。</w:t>
      </w:r>
    </w:p>
    <w:p>
      <w:pPr>
        <w:pStyle w:val="BodyText"/>
        <w:spacing w:line="223" w:lineRule="auto"/>
        <w:ind w:right="112" w:firstLine="427"/>
        <w:jc w:val="both"/>
      </w:pPr>
      <w:r>
        <w:rPr>
          <w:rFonts w:ascii="Times New Roman" w:hAnsi="Times New Roman" w:cs="Times New Roman" w:eastAsia="Times New Roman" w:hint="default"/>
          <w:spacing w:val="-2"/>
        </w:rPr>
        <w:t>4</w:t>
      </w:r>
      <w:r>
        <w:rPr>
          <w:spacing w:val="-2"/>
        </w:rPr>
        <w:t>、机构独立：公司生产经营及办公机构与控股股东完全分开，设立了健全的组织机构体系，董事会、监事会及其他内</w:t>
      </w:r>
      <w:r>
        <w:rPr/>
        <w:t> 部机构独立运作。控股股东及其职能部门与公司及其职能部门之间不存在从属关系。</w:t>
      </w:r>
    </w:p>
    <w:p>
      <w:pPr>
        <w:pStyle w:val="BodyText"/>
        <w:spacing w:line="236" w:lineRule="exact" w:before="20"/>
        <w:ind w:right="112" w:firstLine="427"/>
        <w:jc w:val="both"/>
      </w:pPr>
      <w:r>
        <w:rPr>
          <w:rFonts w:ascii="Times New Roman" w:hAnsi="Times New Roman" w:cs="Times New Roman" w:eastAsia="Times New Roman" w:hint="default"/>
          <w:spacing w:val="-2"/>
        </w:rPr>
        <w:t>5</w:t>
      </w:r>
      <w:r>
        <w:rPr>
          <w:spacing w:val="-2"/>
        </w:rPr>
        <w:t>、财务独立：公司设有独立的财务部门，配备了充足的专职财务会计人员，并建立了独立的会计核算体系和财务管理</w:t>
      </w:r>
      <w:r>
        <w:rPr/>
        <w:t> 制度。不存在控股股东干预公司财务、会计活动的情况。</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276"/>
        <w:gridCol w:w="1239"/>
        <w:gridCol w:w="887"/>
        <w:gridCol w:w="1594"/>
        <w:gridCol w:w="1594"/>
        <w:gridCol w:w="3049"/>
      </w:tblGrid>
      <w:tr>
        <w:trPr>
          <w:trHeight w:val="55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66" w:right="77" w:hanging="89"/>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9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21"/>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 </w:t>
            </w:r>
            <w:r>
              <w:rPr>
                <w:rFonts w:ascii="宋体" w:hAnsi="宋体" w:cs="宋体" w:eastAsia="宋体" w:hint="default"/>
                <w:spacing w:val="-11"/>
                <w:sz w:val="18"/>
                <w:szCs w:val="18"/>
              </w:rPr>
              <w:t>议公告》（</w:t>
            </w:r>
            <w:r>
              <w:rPr>
                <w:rFonts w:ascii="Times New Roman" w:hAnsi="Times New Roman" w:cs="Times New Roman" w:eastAsia="Times New Roman" w:hint="default"/>
                <w:spacing w:val="-11"/>
                <w:sz w:val="18"/>
                <w:szCs w:val="18"/>
              </w:rPr>
              <w:t>2017-003</w:t>
            </w:r>
            <w:r>
              <w:rPr>
                <w:rFonts w:ascii="宋体" w:hAnsi="宋体" w:cs="宋体" w:eastAsia="宋体" w:hint="default"/>
                <w:spacing w:val="-11"/>
                <w:sz w:val="18"/>
                <w:szCs w:val="18"/>
              </w:rPr>
              <w:t>），刊登于《证券时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3"/>
                <w:sz w:val="18"/>
                <w:szCs w:val="18"/>
              </w:rPr>
              <w:t>报》、《证券日报》和巨潮资讯网</w:t>
            </w:r>
          </w:p>
        </w:tc>
      </w:tr>
      <w:tr>
        <w:trPr>
          <w:trHeight w:val="79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p>
            <w:pPr>
              <w:pStyle w:val="TableParagraph"/>
              <w:spacing w:line="232" w:lineRule="exact" w:before="16"/>
              <w:ind w:left="23" w:right="21"/>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2017-036</w:t>
            </w:r>
            <w:r>
              <w:rPr>
                <w:rFonts w:ascii="宋体" w:hAnsi="宋体" w:cs="宋体" w:eastAsia="宋体" w:hint="default"/>
                <w:spacing w:val="-18"/>
                <w:sz w:val="18"/>
                <w:szCs w:val="18"/>
              </w:rPr>
              <w:t>），刊登于《证券时报》、《证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券日报》和巨潮资讯网</w:t>
            </w:r>
          </w:p>
        </w:tc>
      </w:tr>
      <w:tr>
        <w:trPr>
          <w:trHeight w:val="79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left="23" w:right="21"/>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 </w:t>
            </w:r>
            <w:r>
              <w:rPr>
                <w:rFonts w:ascii="宋体" w:hAnsi="宋体" w:cs="宋体" w:eastAsia="宋体" w:hint="default"/>
                <w:spacing w:val="-11"/>
                <w:sz w:val="18"/>
                <w:szCs w:val="18"/>
              </w:rPr>
              <w:t>议公告》（</w:t>
            </w:r>
            <w:r>
              <w:rPr>
                <w:rFonts w:ascii="Times New Roman" w:hAnsi="Times New Roman" w:cs="Times New Roman" w:eastAsia="Times New Roman" w:hint="default"/>
                <w:spacing w:val="-11"/>
                <w:sz w:val="18"/>
                <w:szCs w:val="18"/>
              </w:rPr>
              <w:t>2017-069</w:t>
            </w:r>
            <w:r>
              <w:rPr>
                <w:rFonts w:ascii="宋体" w:hAnsi="宋体" w:cs="宋体" w:eastAsia="宋体" w:hint="default"/>
                <w:spacing w:val="-11"/>
                <w:sz w:val="18"/>
                <w:szCs w:val="18"/>
              </w:rPr>
              <w:t>），刊登于《证券时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3"/>
                <w:sz w:val="18"/>
                <w:szCs w:val="18"/>
              </w:rPr>
              <w:t>报》、《证券日报》和巨潮资讯网</w:t>
            </w:r>
          </w:p>
        </w:tc>
      </w:tr>
      <w:tr>
        <w:trPr>
          <w:trHeight w:val="79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23" w:right="21"/>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 </w:t>
            </w:r>
            <w:r>
              <w:rPr>
                <w:rFonts w:ascii="宋体" w:hAnsi="宋体" w:cs="宋体" w:eastAsia="宋体" w:hint="default"/>
                <w:spacing w:val="-11"/>
                <w:sz w:val="18"/>
                <w:szCs w:val="18"/>
              </w:rPr>
              <w:t>议公告》（</w:t>
            </w:r>
            <w:r>
              <w:rPr>
                <w:rFonts w:ascii="Times New Roman" w:hAnsi="Times New Roman" w:cs="Times New Roman" w:eastAsia="Times New Roman" w:hint="default"/>
                <w:spacing w:val="-11"/>
                <w:sz w:val="18"/>
                <w:szCs w:val="18"/>
              </w:rPr>
              <w:t>2017-159</w:t>
            </w:r>
            <w:r>
              <w:rPr>
                <w:rFonts w:ascii="宋体" w:hAnsi="宋体" w:cs="宋体" w:eastAsia="宋体" w:hint="default"/>
                <w:spacing w:val="-11"/>
                <w:sz w:val="18"/>
                <w:szCs w:val="18"/>
              </w:rPr>
              <w:t>），刊登于《证券时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3"/>
                <w:sz w:val="18"/>
                <w:szCs w:val="18"/>
              </w:rPr>
              <w:t>报》、《证券日报》和巨潮资讯网</w:t>
            </w:r>
          </w:p>
        </w:tc>
      </w:tr>
    </w:tbl>
    <w:p>
      <w:pPr>
        <w:spacing w:after="0" w:line="232" w:lineRule="exact"/>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32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1"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2"/>
        <w:ind w:right="0"/>
        <w:jc w:val="left"/>
      </w:pPr>
      <w:r>
        <w:rPr/>
        <w:t>连续两次未亲自出席董事会的说明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独立董事对公司有关事项是否提出异议</w:t>
      </w:r>
    </w:p>
    <w:p>
      <w:pPr>
        <w:pStyle w:val="BodyText"/>
        <w:spacing w:line="264" w:lineRule="auto" w:before="38"/>
        <w:ind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独立董事对公司有关建议是否被采纳</w:t>
      </w:r>
    </w:p>
    <w:p>
      <w:pPr>
        <w:pStyle w:val="BodyText"/>
        <w:spacing w:line="264" w:lineRule="auto" w:before="38"/>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spacing w:line="240" w:lineRule="auto" w:before="9"/>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3083"/>
        <w:gridCol w:w="4253"/>
        <w:gridCol w:w="851"/>
      </w:tblGrid>
      <w:tr>
        <w:trPr>
          <w:trHeight w:val="263"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发表时间</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0" w:right="0"/>
              <w:jc w:val="left"/>
              <w:rPr>
                <w:rFonts w:ascii="宋体" w:hAnsi="宋体" w:cs="宋体" w:eastAsia="宋体" w:hint="default"/>
                <w:sz w:val="18"/>
                <w:szCs w:val="18"/>
              </w:rPr>
            </w:pPr>
            <w:r>
              <w:rPr>
                <w:rFonts w:ascii="宋体" w:hAnsi="宋体" w:cs="宋体" w:eastAsia="宋体" w:hint="default"/>
                <w:sz w:val="18"/>
                <w:szCs w:val="18"/>
              </w:rPr>
              <w:t>意见类型</w:t>
            </w:r>
          </w:p>
        </w:tc>
      </w:tr>
      <w:tr>
        <w:trPr>
          <w:trHeight w:val="49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5" w:right="2"/>
              <w:jc w:val="left"/>
              <w:rPr>
                <w:rFonts w:ascii="宋体" w:hAnsi="宋体" w:cs="宋体" w:eastAsia="宋体" w:hint="default"/>
                <w:sz w:val="18"/>
                <w:szCs w:val="18"/>
              </w:rPr>
            </w:pPr>
            <w:r>
              <w:rPr>
                <w:rFonts w:ascii="宋体" w:hAnsi="宋体" w:cs="宋体" w:eastAsia="宋体" w:hint="default"/>
                <w:spacing w:val="3"/>
                <w:sz w:val="18"/>
                <w:szCs w:val="18"/>
              </w:rPr>
              <w:t>关于全资子公司使用自有资金购买银行理财产品的议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96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5" w:right="1"/>
              <w:jc w:val="both"/>
              <w:rPr>
                <w:rFonts w:ascii="宋体" w:hAnsi="宋体" w:cs="宋体" w:eastAsia="宋体" w:hint="default"/>
                <w:sz w:val="18"/>
                <w:szCs w:val="18"/>
              </w:rPr>
            </w:pPr>
            <w:r>
              <w:rPr>
                <w:rFonts w:ascii="宋体" w:hAnsi="宋体" w:cs="宋体" w:eastAsia="宋体" w:hint="default"/>
                <w:spacing w:val="3"/>
                <w:sz w:val="18"/>
                <w:szCs w:val="18"/>
              </w:rPr>
              <w:t>公司控股股东及其关联方占用公司资金及公司对外担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保情况、公司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年度计提资产减值准备、公司</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pacing w:val="-4"/>
                <w:sz w:val="18"/>
                <w:szCs w:val="18"/>
              </w:rPr>
              <w:t>年度利润分配预案、公司</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年度内部控制自我评价报</w:t>
            </w:r>
            <w:r>
              <w:rPr>
                <w:rFonts w:ascii="宋体" w:hAnsi="宋体" w:cs="宋体" w:eastAsia="宋体" w:hint="default"/>
                <w:spacing w:val="-75"/>
                <w:sz w:val="18"/>
                <w:szCs w:val="18"/>
              </w:rPr>
              <w:t> </w:t>
            </w:r>
            <w:r>
              <w:rPr>
                <w:rFonts w:ascii="宋体" w:hAnsi="宋体" w:cs="宋体" w:eastAsia="宋体" w:hint="default"/>
                <w:sz w:val="18"/>
                <w:szCs w:val="18"/>
              </w:rPr>
              <w:t>告、募集资金</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年度存放与使用情况的专项报告</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6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0"/>
              <w:jc w:val="left"/>
              <w:rPr>
                <w:rFonts w:ascii="宋体" w:hAnsi="宋体" w:cs="宋体" w:eastAsia="宋体" w:hint="default"/>
                <w:sz w:val="18"/>
                <w:szCs w:val="18"/>
              </w:rPr>
            </w:pPr>
            <w:r>
              <w:rPr>
                <w:rFonts w:ascii="宋体" w:hAnsi="宋体" w:cs="宋体" w:eastAsia="宋体" w:hint="default"/>
                <w:sz w:val="18"/>
                <w:szCs w:val="18"/>
              </w:rPr>
              <w:t>关于员工持股计划（草案）及摘要的议案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96"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5" w:right="2"/>
              <w:jc w:val="left"/>
              <w:rPr>
                <w:rFonts w:ascii="宋体" w:hAnsi="宋体" w:cs="宋体" w:eastAsia="宋体" w:hint="default"/>
                <w:sz w:val="18"/>
                <w:szCs w:val="18"/>
              </w:rPr>
            </w:pPr>
            <w:r>
              <w:rPr>
                <w:rFonts w:ascii="宋体" w:hAnsi="宋体" w:cs="宋体" w:eastAsia="宋体" w:hint="default"/>
                <w:spacing w:val="3"/>
                <w:sz w:val="18"/>
                <w:szCs w:val="18"/>
              </w:rPr>
              <w:t>关于转让控股子公司河南省焦作金箭明胶有限责任公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6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年第五次临时会议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 w:right="0"/>
              <w:jc w:val="left"/>
              <w:rPr>
                <w:rFonts w:ascii="宋体" w:hAnsi="宋体" w:cs="宋体" w:eastAsia="宋体" w:hint="default"/>
                <w:sz w:val="18"/>
                <w:szCs w:val="18"/>
              </w:rPr>
            </w:pPr>
            <w:r>
              <w:rPr>
                <w:rFonts w:ascii="宋体" w:hAnsi="宋体" w:cs="宋体" w:eastAsia="宋体" w:hint="default"/>
                <w:sz w:val="18"/>
                <w:szCs w:val="18"/>
              </w:rPr>
              <w:t>关于变更部分募集资金投资项目实施方式的议案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9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年第九次临时会议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5" w:right="2"/>
              <w:jc w:val="left"/>
              <w:rPr>
                <w:rFonts w:ascii="宋体" w:hAnsi="宋体" w:cs="宋体" w:eastAsia="宋体" w:hint="default"/>
                <w:sz w:val="18"/>
                <w:szCs w:val="18"/>
              </w:rPr>
            </w:pPr>
            <w:r>
              <w:rPr>
                <w:rFonts w:ascii="宋体" w:hAnsi="宋体" w:cs="宋体" w:eastAsia="宋体" w:hint="default"/>
                <w:spacing w:val="3"/>
                <w:sz w:val="18"/>
                <w:szCs w:val="18"/>
              </w:rPr>
              <w:t>关于公司继续使用部分闲置募集资金暂时补充流动资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9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年半年度对外担保及关联方资金占用情况</w:t>
            </w:r>
          </w:p>
          <w:p>
            <w:pPr>
              <w:pStyle w:val="TableParagraph"/>
              <w:spacing w:line="241" w:lineRule="exact"/>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年半年度募集资金存放与使用情况</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2" w:lineRule="exact"/>
              <w:ind w:left="-108" w:right="0"/>
              <w:jc w:val="lef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78"/>
                <w:position w:val="12"/>
                <w:sz w:val="18"/>
                <w:szCs w:val="18"/>
              </w:rPr>
              <w:t> </w:t>
            </w:r>
            <w:r>
              <w:rPr>
                <w:rFonts w:ascii="宋体" w:hAnsi="宋体" w:cs="宋体" w:eastAsia="宋体" w:hint="default"/>
                <w:sz w:val="18"/>
                <w:szCs w:val="18"/>
              </w:rPr>
              <w:t>同意</w:t>
            </w:r>
          </w:p>
        </w:tc>
      </w:tr>
      <w:tr>
        <w:trPr>
          <w:trHeight w:val="263"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年第十一次临时会议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 w:right="0"/>
              <w:jc w:val="left"/>
              <w:rPr>
                <w:rFonts w:ascii="宋体" w:hAnsi="宋体" w:cs="宋体" w:eastAsia="宋体" w:hint="default"/>
                <w:sz w:val="18"/>
                <w:szCs w:val="18"/>
              </w:rPr>
            </w:pPr>
            <w:r>
              <w:rPr>
                <w:rFonts w:ascii="宋体" w:hAnsi="宋体" w:cs="宋体" w:eastAsia="宋体" w:hint="default"/>
                <w:sz w:val="18"/>
                <w:szCs w:val="18"/>
              </w:rPr>
              <w:t>关于延长</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年员工持股计划股票购买期的议案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63"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年第十二次临时会议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 w:right="0"/>
              <w:jc w:val="left"/>
              <w:rPr>
                <w:rFonts w:ascii="宋体" w:hAnsi="宋体" w:cs="宋体" w:eastAsia="宋体" w:hint="default"/>
                <w:sz w:val="18"/>
                <w:szCs w:val="18"/>
              </w:rPr>
            </w:pPr>
            <w:r>
              <w:rPr>
                <w:rFonts w:ascii="宋体" w:hAnsi="宋体" w:cs="宋体" w:eastAsia="宋体" w:hint="default"/>
                <w:sz w:val="18"/>
                <w:szCs w:val="18"/>
              </w:rPr>
              <w:t>关于公司对外提供担保的议案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6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年第十三次临时会议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 w:right="0"/>
              <w:jc w:val="left"/>
              <w:rPr>
                <w:rFonts w:ascii="宋体" w:hAnsi="宋体" w:cs="宋体" w:eastAsia="宋体" w:hint="default"/>
                <w:sz w:val="18"/>
                <w:szCs w:val="18"/>
              </w:rPr>
            </w:pPr>
            <w:r>
              <w:rPr>
                <w:rFonts w:ascii="宋体" w:hAnsi="宋体" w:cs="宋体" w:eastAsia="宋体" w:hint="default"/>
                <w:sz w:val="18"/>
                <w:szCs w:val="18"/>
              </w:rPr>
              <w:t>重大资产出售暨关联交易事项及相关议案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730"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年第十七次临时会议</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5" w:right="2"/>
              <w:jc w:val="both"/>
              <w:rPr>
                <w:rFonts w:ascii="宋体" w:hAnsi="宋体" w:cs="宋体" w:eastAsia="宋体" w:hint="default"/>
                <w:sz w:val="18"/>
                <w:szCs w:val="18"/>
              </w:rPr>
            </w:pPr>
            <w:r>
              <w:rPr>
                <w:rFonts w:ascii="宋体" w:hAnsi="宋体" w:cs="宋体" w:eastAsia="宋体" w:hint="default"/>
                <w:spacing w:val="3"/>
                <w:sz w:val="18"/>
                <w:szCs w:val="18"/>
              </w:rPr>
              <w:t>关于公司使用部分暂时闲置募集资金购买银行保本型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理财产品的议案、关于公司使用部分闲置自有资金购买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银行保本型理财产品的议案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同意</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19"/>
          <w:szCs w:val="19"/>
        </w:rPr>
      </w:pPr>
    </w:p>
    <w:p>
      <w:pPr>
        <w:pStyle w:val="Heading2"/>
        <w:spacing w:line="240" w:lineRule="auto" w:before="26"/>
        <w:ind w:left="252" w:right="310"/>
        <w:jc w:val="left"/>
        <w:rPr>
          <w:b w:val="0"/>
          <w:bCs w:val="0"/>
        </w:rPr>
      </w:pPr>
      <w:r>
        <w:rPr/>
        <w:t>六、董事会下设专门委员会在报告期内履行职责情况</w:t>
      </w:r>
      <w:r>
        <w:rPr>
          <w:b w:val="0"/>
          <w:bCs w:val="0"/>
        </w:rPr>
      </w:r>
    </w:p>
    <w:p>
      <w:pPr>
        <w:pStyle w:val="BodyText"/>
        <w:spacing w:line="350" w:lineRule="atLeast" w:before="193"/>
        <w:ind w:left="816" w:right="310"/>
        <w:jc w:val="left"/>
      </w:pPr>
      <w:r>
        <w:rPr/>
        <w:t>1、发展战略委员会 董事会发展战略委员会按照《公司章程》、《董事会发展战略委员会工作细则》的有关规定，通过临时会议及电话</w:t>
      </w:r>
    </w:p>
    <w:p>
      <w:pPr>
        <w:pStyle w:val="BodyText"/>
        <w:spacing w:line="232" w:lineRule="exact" w:before="24"/>
        <w:ind w:left="252" w:right="0"/>
        <w:jc w:val="left"/>
      </w:pPr>
      <w:r>
        <w:rPr>
          <w:spacing w:val="-2"/>
        </w:rPr>
        <w:t>沟通的形式，各委员对公司员工持股计划方案、重大资产出售暨关联交易方案进行了讨论，并建议董事会及时决策、迅速开</w:t>
      </w:r>
      <w:r>
        <w:rPr>
          <w:spacing w:val="-66"/>
        </w:rPr>
        <w:t> </w:t>
      </w:r>
      <w:r>
        <w:rPr>
          <w:spacing w:val="-66"/>
        </w:rPr>
      </w:r>
      <w:r>
        <w:rPr/>
        <w:t>展，相关事项已在2017年度顺利完成。</w:t>
      </w:r>
    </w:p>
    <w:p>
      <w:pPr>
        <w:pStyle w:val="BodyText"/>
        <w:spacing w:line="352" w:lineRule="exact" w:before="27"/>
        <w:ind w:left="816" w:right="310"/>
        <w:jc w:val="left"/>
      </w:pPr>
      <w:r>
        <w:rPr/>
        <w:t>2、审计委员会 董事会审计委员会按照《公司章程》、《董事会审计委员会工作细则》的有关规定，就公司2016年度财务、内控审</w:t>
      </w:r>
    </w:p>
    <w:p>
      <w:pPr>
        <w:pStyle w:val="BodyText"/>
        <w:spacing w:line="186" w:lineRule="exact"/>
        <w:ind w:left="252" w:right="0"/>
        <w:jc w:val="left"/>
      </w:pPr>
      <w:r>
        <w:rPr/>
        <w:t>计工作和财务部门、年审会计师进行了充分沟通，查阅相关报告，并与年审会计师就审计计划、审计过程中的风险和控制交</w:t>
      </w:r>
    </w:p>
    <w:p>
      <w:pPr>
        <w:pStyle w:val="BodyText"/>
        <w:spacing w:line="240" w:lineRule="auto"/>
        <w:ind w:left="252" w:right="0"/>
        <w:jc w:val="left"/>
      </w:pPr>
      <w:r>
        <w:rPr>
          <w:spacing w:val="-2"/>
        </w:rPr>
        <w:t>换意见，年审会计师出具初步审计意见后审计委员会审阅了公司财务会计报表，认为公司财务会计报表真实、准确、完整的</w:t>
      </w:r>
      <w:r>
        <w:rPr>
          <w:spacing w:val="-66"/>
        </w:rPr>
        <w:t> </w:t>
      </w:r>
      <w:r>
        <w:rPr>
          <w:spacing w:val="-66"/>
        </w:rPr>
      </w:r>
      <w:r>
        <w:rPr/>
        <w:t>反映了公司2016年度整体情况。同时，审计委员会对续聘审计机构发表了专业意见。</w:t>
      </w:r>
    </w:p>
    <w:p>
      <w:pPr>
        <w:pStyle w:val="BodyText"/>
        <w:spacing w:line="350" w:lineRule="atLeast" w:before="3"/>
        <w:ind w:left="816" w:right="310"/>
        <w:jc w:val="left"/>
      </w:pPr>
      <w:r>
        <w:rPr/>
        <w:t>3、提名委员会 董事会提名委员会按照《公司章程》、《董事会提名委员会工作细则》的有关规定，鉴于公司一名独立董事辞职，</w:t>
      </w:r>
    </w:p>
    <w:p>
      <w:pPr>
        <w:pStyle w:val="BodyText"/>
        <w:spacing w:line="360" w:lineRule="auto"/>
        <w:ind w:left="816" w:right="3754" w:hanging="564"/>
        <w:jc w:val="left"/>
      </w:pPr>
      <w:r>
        <w:rPr/>
        <w:t>就独立董事候选人的安排，提名委员会就选择标准和程序提出了意见和建议。 4、薪酬与考核委员会</w:t>
      </w:r>
    </w:p>
    <w:p>
      <w:pPr>
        <w:pStyle w:val="BodyText"/>
        <w:spacing w:line="232" w:lineRule="exact" w:before="54"/>
        <w:ind w:left="252" w:right="310" w:firstLine="564"/>
        <w:jc w:val="left"/>
      </w:pPr>
      <w:r>
        <w:rPr/>
        <w:t>董事会薪酬与考核委员会按照《公司章程》、《董事会薪酬与考核委员会工作细则》的有关规定，主要对公司本年 度实施的第一期员工持股计划参与对象包括高级管理人员、核心员工的确认提出了建议。</w:t>
      </w:r>
    </w:p>
    <w:p>
      <w:pPr>
        <w:spacing w:line="240" w:lineRule="auto" w:before="7"/>
        <w:rPr>
          <w:rFonts w:ascii="宋体" w:hAnsi="宋体" w:cs="宋体" w:eastAsia="宋体" w:hint="default"/>
          <w:sz w:val="20"/>
          <w:szCs w:val="20"/>
        </w:rPr>
      </w:pPr>
    </w:p>
    <w:p>
      <w:pPr>
        <w:pStyle w:val="Heading2"/>
        <w:spacing w:line="240" w:lineRule="auto"/>
        <w:ind w:left="252" w:right="310"/>
        <w:jc w:val="left"/>
        <w:rPr>
          <w:b w:val="0"/>
          <w:bCs w:val="0"/>
        </w:rPr>
      </w:pPr>
      <w:r>
        <w:rPr/>
        <w:t>七、监事会工作情况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52" w:right="310"/>
        <w:jc w:val="left"/>
      </w:pPr>
      <w:r>
        <w:rPr/>
        <w:t>监事会在报告期内的监督活动中发现公司是否存在风险</w:t>
      </w:r>
    </w:p>
    <w:p>
      <w:pPr>
        <w:pStyle w:val="BodyText"/>
        <w:spacing w:line="261" w:lineRule="auto" w:before="38"/>
        <w:ind w:left="252" w:right="6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监事会对报告期内的监督事项无异议。</w:t>
      </w:r>
    </w:p>
    <w:p>
      <w:pPr>
        <w:spacing w:line="240" w:lineRule="auto" w:before="12"/>
        <w:rPr>
          <w:rFonts w:ascii="宋体" w:hAnsi="宋体" w:cs="宋体" w:eastAsia="宋体" w:hint="default"/>
          <w:sz w:val="20"/>
          <w:szCs w:val="20"/>
        </w:rPr>
      </w:pPr>
    </w:p>
    <w:p>
      <w:pPr>
        <w:pStyle w:val="Heading2"/>
        <w:spacing w:line="240" w:lineRule="auto"/>
        <w:ind w:left="252" w:right="31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5"/>
          <w:szCs w:val="25"/>
        </w:rPr>
      </w:pPr>
    </w:p>
    <w:p>
      <w:pPr>
        <w:pStyle w:val="BodyText"/>
        <w:spacing w:line="232" w:lineRule="exact"/>
        <w:ind w:left="252" w:right="267" w:firstLine="427"/>
        <w:jc w:val="left"/>
      </w:pPr>
      <w:r>
        <w:rPr/>
        <w:t>公司高级管理人员的考评按照公司有关规定执行，绩效评价由公司人力资源部门进行日常考核与评价，年末由公司董 事会下设的薪酬与考核委员会进行综合评定，报董事会批准。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Heading2"/>
        <w:spacing w:line="240" w:lineRule="auto"/>
        <w:ind w:left="252" w:right="310"/>
        <w:jc w:val="left"/>
        <w:rPr>
          <w:b w:val="0"/>
          <w:bCs w:val="0"/>
        </w:rPr>
      </w:pPr>
      <w:r>
        <w:rPr/>
        <w:t>九、内部控制情况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252" w:right="31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52" w:right="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3"/>
        <w:rPr>
          <w:rFonts w:ascii="宋体" w:hAnsi="宋体" w:cs="宋体" w:eastAsia="宋体" w:hint="default"/>
          <w:sz w:val="21"/>
          <w:szCs w:val="21"/>
        </w:rPr>
      </w:pPr>
    </w:p>
    <w:p>
      <w:pPr>
        <w:pStyle w:val="Heading3"/>
        <w:spacing w:line="240" w:lineRule="auto"/>
        <w:ind w:left="252" w:right="31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4"/>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2694"/>
        <w:gridCol w:w="3828"/>
        <w:gridCol w:w="3402"/>
      </w:tblGrid>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www.cninfo.com.cn</w:t>
              </w:r>
            </w:hyperlink>
          </w:p>
        </w:tc>
      </w:tr>
      <w:tr>
        <w:trPr>
          <w:trHeight w:val="557"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4" w:right="13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7"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4" w:right="13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63.82%</w:t>
            </w:r>
          </w:p>
        </w:tc>
      </w:tr>
      <w:tr>
        <w:trPr>
          <w:trHeight w:val="323" w:hRule="exact"/>
        </w:trPr>
        <w:tc>
          <w:tcPr>
            <w:tcW w:w="99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0"/>
              <w:jc w:val="left"/>
              <w:rPr>
                <w:rFonts w:ascii="宋体" w:hAnsi="宋体" w:cs="宋体" w:eastAsia="宋体" w:hint="default"/>
                <w:sz w:val="18"/>
                <w:szCs w:val="18"/>
              </w:rPr>
            </w:pPr>
            <w:r>
              <w:rPr>
                <w:rFonts w:ascii="宋体" w:hAnsi="宋体" w:cs="宋体" w:eastAsia="宋体" w:hint="default"/>
                <w:sz w:val="18"/>
                <w:szCs w:val="18"/>
              </w:rPr>
              <w:t>①有下列情形之一的，即可确认为财务报告重大 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公司董事、监事和高级管理人员的舞弊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21"/>
              <w:jc w:val="left"/>
              <w:rPr>
                <w:rFonts w:ascii="宋体" w:hAnsi="宋体" w:cs="宋体" w:eastAsia="宋体" w:hint="default"/>
                <w:sz w:val="18"/>
                <w:szCs w:val="18"/>
              </w:rPr>
            </w:pPr>
            <w:r>
              <w:rPr>
                <w:rFonts w:ascii="宋体" w:hAnsi="宋体" w:cs="宋体" w:eastAsia="宋体" w:hint="default"/>
                <w:sz w:val="18"/>
                <w:szCs w:val="18"/>
              </w:rPr>
              <w:t>非财务报告内部控制是指针对除财务报告 </w:t>
            </w:r>
            <w:r>
              <w:rPr>
                <w:rFonts w:ascii="宋体" w:hAnsi="宋体" w:cs="宋体" w:eastAsia="宋体" w:hint="default"/>
                <w:spacing w:val="-4"/>
                <w:sz w:val="18"/>
                <w:szCs w:val="18"/>
              </w:rPr>
              <w:t>目标之外的其他目标的内部控制。一般包括</w:t>
            </w:r>
          </w:p>
        </w:tc>
      </w:tr>
    </w:tbl>
    <w:p>
      <w:pPr>
        <w:spacing w:after="0" w:line="232" w:lineRule="exact"/>
        <w:jc w:val="left"/>
        <w:rPr>
          <w:rFonts w:ascii="宋体" w:hAnsi="宋体" w:cs="宋体" w:eastAsia="宋体" w:hint="default"/>
          <w:sz w:val="18"/>
          <w:szCs w:val="18"/>
        </w:rPr>
        <w:sectPr>
          <w:footerReference w:type="default" r:id="rId30"/>
          <w:pgSz w:w="11910" w:h="16840"/>
          <w:pgMar w:footer="978" w:header="878" w:top="1100" w:bottom="1160" w:left="880" w:right="880"/>
          <w:pgNumType w:start="60"/>
        </w:sectPr>
      </w:pPr>
    </w:p>
    <w:p>
      <w:pPr>
        <w:spacing w:line="240" w:lineRule="auto" w:before="11"/>
        <w:rPr>
          <w:rFonts w:ascii="Times New Roman" w:hAnsi="Times New Roman" w:cs="Times New Roman" w:eastAsia="Times New Roman" w:hint="default"/>
          <w:sz w:val="27"/>
          <w:szCs w:val="27"/>
        </w:rPr>
      </w:pPr>
      <w:r>
        <w:rPr/>
        <w:pict>
          <v:shape style="position:absolute;margin-left:369.720001pt;margin-top:72.400024pt;width:175.95pt;height:375.6pt;mso-position-horizontal-relative:page;mso-position-vertical-relative:page;z-index:-101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pict>
          <v:group style="position:absolute;margin-left:375.799988pt;margin-top:72.400024pt;width:172.25pt;height:602pt;mso-position-horizontal-relative:page;mso-position-vertical-relative:page;z-index:-1013056" coordorigin="7516,1448" coordsize="3445,12040">
            <v:group style="position:absolute;left:7516;top:1448;width:3397;height:7515" coordorigin="7516,1448" coordsize="3397,7515">
              <v:shape style="position:absolute;left:7516;top:1448;width:3397;height:7515" coordorigin="7516,1448" coordsize="3397,7515" path="m7516,1448l10913,1448,10913,8963,7516,8963,7516,1448xe" filled="true" fillcolor="#ffffff" stroked="false">
                <v:path arrowok="t"/>
                <v:fill type="solid"/>
              </v:shape>
            </v:group>
            <v:group style="position:absolute;left:7516;top:8968;width:3397;height:4520" coordorigin="7516,8968" coordsize="3397,4520">
              <v:shape style="position:absolute;left:7516;top:8968;width:3397;height:4520" coordorigin="7516,8968" coordsize="3397,4520" path="m7516,8968l10913,8968,10913,13488,7516,13488,7516,8968xe" filled="true" fillcolor="#ffffff" stroked="false">
                <v:path arrowok="t"/>
                <v:fill type="solid"/>
              </v:shape>
              <v:shape style="position:absolute;left:10781;top:28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781;top:6847;width:180;height:64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694"/>
        <w:gridCol w:w="3828"/>
        <w:gridCol w:w="3402"/>
      </w:tblGrid>
      <w:tr>
        <w:trPr>
          <w:trHeight w:val="244" w:hRule="exact"/>
        </w:trPr>
        <w:tc>
          <w:tcPr>
            <w:tcW w:w="2694" w:type="dxa"/>
            <w:vMerge w:val="restart"/>
            <w:tcBorders>
              <w:top w:val="single" w:sz="4" w:space="0" w:color="000000"/>
              <w:left w:val="single" w:sz="4" w:space="0" w:color="000000"/>
              <w:right w:val="single" w:sz="4" w:space="0" w:color="000000"/>
            </w:tcBorders>
            <w:shd w:val="clear" w:color="auto" w:fill="D2D2D2"/>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行为；</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对已经公告的财务报告出现的重大差错</w:t>
            </w: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战略目标、资产安全目标、经营目标、合规</w:t>
            </w:r>
          </w:p>
        </w:tc>
      </w:tr>
      <w:tr>
        <w:trPr>
          <w:trHeight w:val="233"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进行错报更正；</w:t>
            </w:r>
            <w:r>
              <w:rPr>
                <w:rFonts w:ascii="Times New Roman" w:hAnsi="Times New Roman" w:cs="Times New Roman" w:eastAsia="Times New Roman" w:hint="default"/>
                <w:spacing w:val="-6"/>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公司按规定期限报送已签发的</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目标等</w:t>
            </w:r>
            <w:r>
              <w:rPr>
                <w:rFonts w:ascii="宋体" w:hAnsi="宋体" w:cs="宋体" w:eastAsia="宋体" w:hint="default"/>
                <w:spacing w:val="-75"/>
                <w:sz w:val="18"/>
                <w:szCs w:val="18"/>
              </w:rPr>
              <w:t>。</w:t>
            </w:r>
            <w:r>
              <w:rPr>
                <w:rFonts w:ascii="宋体" w:hAnsi="宋体" w:cs="宋体" w:eastAsia="宋体" w:hint="default"/>
                <w:sz w:val="18"/>
                <w:szCs w:val="18"/>
              </w:rPr>
              <w:t>非财务报告评价应当作为公司内部</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财务报告后，对财务报告重新报送以更正财务报</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控制评价的重点</w:t>
            </w:r>
            <w:r>
              <w:rPr>
                <w:rFonts w:ascii="宋体" w:hAnsi="宋体" w:cs="宋体" w:eastAsia="宋体" w:hint="default"/>
                <w:spacing w:val="-75"/>
                <w:sz w:val="18"/>
                <w:szCs w:val="18"/>
              </w:rPr>
              <w:t>。</w:t>
            </w:r>
            <w:r>
              <w:rPr>
                <w:rFonts w:ascii="宋体" w:hAnsi="宋体" w:cs="宋体" w:eastAsia="宋体" w:hint="default"/>
                <w:sz w:val="18"/>
                <w:szCs w:val="18"/>
              </w:rPr>
              <w:t>公司非财务报告缺陷认定</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告中的重大错报。</w:t>
            </w:r>
            <w:r>
              <w:rPr>
                <w:rFonts w:ascii="Times New Roman" w:hAnsi="Times New Roman" w:cs="Times New Roman" w:eastAsia="Times New Roman" w:hint="default"/>
                <w:spacing w:val="-6"/>
                <w:sz w:val="18"/>
                <w:szCs w:val="18"/>
              </w:rPr>
              <w:t>b2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由于国家规定的会计准则和</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主要依据缺陷涉及业务性质的严重程度</w:t>
            </w:r>
            <w:r>
              <w:rPr>
                <w:rFonts w:ascii="宋体" w:hAnsi="宋体" w:cs="宋体" w:eastAsia="宋体" w:hint="default"/>
                <w:spacing w:val="-75"/>
                <w:sz w:val="18"/>
                <w:szCs w:val="18"/>
              </w:rPr>
              <w:t>、</w:t>
            </w:r>
            <w:r>
              <w:rPr>
                <w:rFonts w:ascii="宋体" w:hAnsi="宋体" w:cs="宋体" w:eastAsia="宋体" w:hint="default"/>
                <w:sz w:val="18"/>
                <w:szCs w:val="18"/>
              </w:rPr>
              <w:t>直</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制度变化以及公司按规定由于经济环境、客观情</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接或潜在负面影响的性质</w:t>
            </w:r>
            <w:r>
              <w:rPr>
                <w:rFonts w:ascii="宋体" w:hAnsi="宋体" w:cs="宋体" w:eastAsia="宋体" w:hint="default"/>
                <w:spacing w:val="-75"/>
                <w:sz w:val="18"/>
                <w:szCs w:val="18"/>
              </w:rPr>
              <w:t>、</w:t>
            </w:r>
            <w:r>
              <w:rPr>
                <w:rFonts w:ascii="宋体" w:hAnsi="宋体" w:cs="宋体" w:eastAsia="宋体" w:hint="default"/>
                <w:sz w:val="18"/>
                <w:szCs w:val="18"/>
              </w:rPr>
              <w:t>影响的范围等因</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况的改变而进行会计政策调整，需要对以前报告</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素来确定</w:t>
            </w:r>
            <w:r>
              <w:rPr>
                <w:rFonts w:ascii="宋体" w:hAnsi="宋体" w:cs="宋体" w:eastAsia="宋体" w:hint="default"/>
                <w:spacing w:val="-11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以下情形之一的</w:t>
            </w:r>
            <w:r>
              <w:rPr>
                <w:rFonts w:ascii="宋体" w:hAnsi="宋体" w:cs="宋体" w:eastAsia="宋体" w:hint="default"/>
                <w:spacing w:val="-25"/>
                <w:sz w:val="18"/>
                <w:szCs w:val="18"/>
              </w:rPr>
              <w:t>，</w:t>
            </w:r>
            <w:r>
              <w:rPr>
                <w:rFonts w:ascii="宋体" w:hAnsi="宋体" w:cs="宋体" w:eastAsia="宋体" w:hint="default"/>
                <w:sz w:val="18"/>
                <w:szCs w:val="18"/>
              </w:rPr>
              <w:t>即可确认</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年度的财务报告进行追溯调整的，不属于此类情</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为非财务报告内部控制可能存在重大缺陷</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注册会计师发现当期财务报告存在重大错</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 </w:t>
            </w:r>
            <w:r>
              <w:rPr>
                <w:rFonts w:ascii="宋体" w:hAnsi="宋体" w:cs="宋体" w:eastAsia="宋体" w:hint="default"/>
                <w:sz w:val="18"/>
                <w:szCs w:val="18"/>
              </w:rPr>
              <w:t>严重违反国家法律、法规；</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媒体负面新</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报，而内部控制在运行过程中未能发现该错报；</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闻频现，在全国范围内流传，在较长时间内</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审计委员会和审计部对内部控制的监督无效；</w:t>
            </w:r>
            <w:r>
              <w:rPr>
                <w:rFonts w:ascii="Times New Roman" w:hAnsi="Times New Roman" w:cs="Times New Roman" w:eastAsia="Times New Roman" w:hint="default"/>
                <w:spacing w:val="-3"/>
                <w:sz w:val="18"/>
                <w:szCs w:val="18"/>
              </w:rPr>
              <w:t>e</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无法消除；</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公司重大事项的决策未履行相</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风险评估职能无效。②有下列情形之一的，即可</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应的决策程序，导致决策失败；</w:t>
            </w:r>
            <w:r>
              <w:rPr>
                <w:rFonts w:ascii="Times New Roman" w:hAnsi="Times New Roman" w:cs="Times New Roman" w:eastAsia="Times New Roman" w:hint="default"/>
                <w:spacing w:val="-3"/>
                <w:sz w:val="18"/>
                <w:szCs w:val="18"/>
              </w:rPr>
              <w:t>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信息披露</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确认为财务报告重要缺陷：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未按照公认的《会</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内部控制失效</w:t>
            </w:r>
            <w:r>
              <w:rPr>
                <w:rFonts w:ascii="宋体" w:hAnsi="宋体" w:cs="宋体" w:eastAsia="宋体" w:hint="default"/>
                <w:spacing w:val="-75"/>
                <w:sz w:val="18"/>
                <w:szCs w:val="18"/>
              </w:rPr>
              <w:t>，</w:t>
            </w:r>
            <w:r>
              <w:rPr>
                <w:rFonts w:ascii="宋体" w:hAnsi="宋体" w:cs="宋体" w:eastAsia="宋体" w:hint="default"/>
                <w:sz w:val="18"/>
                <w:szCs w:val="18"/>
              </w:rPr>
              <w:t>导致公司被监管部门公开谴</w:t>
            </w:r>
          </w:p>
        </w:tc>
      </w:tr>
      <w:tr>
        <w:trPr>
          <w:trHeight w:val="233"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计准则》选择和应用会计政策；</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未建立反舞弊</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责；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中高级管理人员纷纷流失，造成经</w:t>
            </w:r>
          </w:p>
        </w:tc>
      </w:tr>
      <w:tr>
        <w:trPr>
          <w:trHeight w:val="233"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程序和控制措施</w:t>
            </w:r>
            <w:r>
              <w:rPr>
                <w:rFonts w:ascii="宋体" w:hAnsi="宋体" w:cs="宋体" w:eastAsia="宋体" w:hint="default"/>
                <w:spacing w:val="-77"/>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z w:val="18"/>
                <w:szCs w:val="18"/>
              </w:rPr>
              <w:t> </w:t>
            </w:r>
            <w:r>
              <w:rPr>
                <w:rFonts w:ascii="宋体" w:hAnsi="宋体" w:cs="宋体" w:eastAsia="宋体" w:hint="default"/>
                <w:sz w:val="18"/>
                <w:szCs w:val="18"/>
              </w:rPr>
              <w:t>对于期末财务报告过程</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营活动难以正常进行；</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内部控制评价的重</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务报告流程控制以下存在一项或多项缺陷且不</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大缺陷未得到整改</w:t>
            </w:r>
            <w:r>
              <w:rPr>
                <w:rFonts w:ascii="宋体" w:hAnsi="宋体" w:cs="宋体" w:eastAsia="宋体" w:hint="default"/>
                <w:spacing w:val="-75"/>
                <w:sz w:val="18"/>
                <w:szCs w:val="18"/>
              </w:rPr>
              <w:t>；</w:t>
            </w:r>
            <w:r>
              <w:rPr>
                <w:rFonts w:ascii="宋体" w:hAnsi="宋体" w:cs="宋体" w:eastAsia="宋体" w:hint="default"/>
                <w:sz w:val="18"/>
                <w:szCs w:val="18"/>
              </w:rPr>
              <w:t>外部审计发现的重大缺</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能合理保证编制过程的财务报表达到真实、准</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陷，在与管理层、审计委员会沟通后，公司</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确、完整的，则确认为重要缺陷：期末结账、纳</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没有及时整改，即可确认为重大缺陷。</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重</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入合并报表的范围、内部往来、审核按权益法核</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要业务缺乏制度控制或制度系统性失效</w:t>
            </w:r>
            <w:r>
              <w:rPr>
                <w:rFonts w:ascii="宋体" w:hAnsi="宋体" w:cs="宋体" w:eastAsia="宋体" w:hint="default"/>
                <w:spacing w:val="-75"/>
                <w:sz w:val="18"/>
                <w:szCs w:val="18"/>
              </w:rPr>
              <w:t>，</w:t>
            </w:r>
            <w:r>
              <w:rPr>
                <w:rFonts w:ascii="宋体" w:hAnsi="宋体" w:cs="宋体" w:eastAsia="宋体" w:hint="default"/>
                <w:sz w:val="18"/>
                <w:szCs w:val="18"/>
              </w:rPr>
              <w:t>且</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算的对外投资相关的账务处理、交叉审核合并会</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缺乏有效的补偿性控制</w:t>
            </w:r>
            <w:r>
              <w:rPr>
                <w:rFonts w:ascii="宋体" w:hAnsi="宋体" w:cs="宋体" w:eastAsia="宋体" w:hint="default"/>
                <w:spacing w:val="-12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9"/>
                <w:sz w:val="18"/>
                <w:szCs w:val="18"/>
              </w:rPr>
              <w:t>）</w:t>
            </w:r>
            <w:r>
              <w:rPr>
                <w:rFonts w:ascii="宋体" w:hAnsi="宋体" w:cs="宋体" w:eastAsia="宋体" w:hint="default"/>
                <w:sz w:val="18"/>
                <w:szCs w:val="18"/>
              </w:rPr>
              <w:t>以下情形之一</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计报表的抵消分录、交叉审核会计报表附注的编</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75"/>
                <w:sz w:val="18"/>
                <w:szCs w:val="18"/>
              </w:rPr>
              <w:t>，</w:t>
            </w:r>
            <w:r>
              <w:rPr>
                <w:rFonts w:ascii="宋体" w:hAnsi="宋体" w:cs="宋体" w:eastAsia="宋体" w:hint="default"/>
                <w:sz w:val="18"/>
                <w:szCs w:val="18"/>
              </w:rPr>
              <w:t>即可认定为非财务报告内部控制可能存</w:t>
            </w:r>
          </w:p>
        </w:tc>
      </w:tr>
      <w:tr>
        <w:trPr>
          <w:trHeight w:val="238"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制、分析性复核会计报表。</w:t>
            </w:r>
            <w:r>
              <w:rPr>
                <w:rFonts w:ascii="Times New Roman" w:hAnsi="Times New Roman" w:cs="Times New Roman" w:eastAsia="Times New Roman" w:hint="default"/>
                <w:spacing w:val="-4"/>
                <w:sz w:val="18"/>
                <w:szCs w:val="18"/>
              </w:rPr>
              <w:t>c2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财务报表中信息系</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在重要缺陷：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决策程序出现一般性失误；</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统控制与财务报告内部控制直接相关的信息系</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重要业务缺乏制度控制或制度系统存在</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统应用控制，如果在明细账向总账过程处理时，</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缺陷；</w:t>
            </w:r>
            <w:r>
              <w:rPr>
                <w:rFonts w:ascii="Times New Roman" w:hAnsi="Times New Roman" w:cs="Times New Roman" w:eastAsia="Times New Roman" w:hint="default"/>
                <w:sz w:val="18"/>
                <w:szCs w:val="18"/>
              </w:rPr>
              <w:t>c </w:t>
            </w:r>
            <w:r>
              <w:rPr>
                <w:rFonts w:ascii="宋体" w:hAnsi="宋体" w:cs="宋体" w:eastAsia="宋体" w:hint="default"/>
                <w:sz w:val="18"/>
                <w:szCs w:val="18"/>
              </w:rPr>
              <w:t>关键岗位员工流失严重；</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内部控</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出现以下环节缺陷，导致不能合理地保证公认的</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制评价结果特别是重要缺陷未得到的整改</w:t>
            </w:r>
          </w:p>
        </w:tc>
      </w:tr>
      <w:tr>
        <w:trPr>
          <w:trHeight w:val="237"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会计准则编制财务报表，可以确认为重要缺陷：</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z w:val="18"/>
                <w:szCs w:val="18"/>
              </w:rPr>
              <w:t> </w:t>
            </w:r>
            <w:r>
              <w:rPr>
                <w:rFonts w:ascii="宋体" w:hAnsi="宋体" w:cs="宋体" w:eastAsia="宋体" w:hint="default"/>
                <w:sz w:val="18"/>
                <w:szCs w:val="18"/>
              </w:rPr>
              <w:t>其他对公司产生负面影响的情形</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不</w:t>
            </w:r>
          </w:p>
        </w:tc>
      </w:tr>
      <w:tr>
        <w:trPr>
          <w:trHeight w:val="229"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交易总数过入总账，确保交易记录全部在总账；</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构成重大缺陷和重要缺陷的内部控制缺陷</w:t>
            </w:r>
          </w:p>
        </w:tc>
      </w:tr>
      <w:tr>
        <w:trPr>
          <w:trHeight w:val="233"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初始、授权、记录和处理总账中的明细（或日记</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认定为一般缺陷。</w:t>
            </w: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账）分录；期末关账后，常规（重复）发生和非</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常规（非重复）发生报表调整涉及的初始、授权</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记录和处理等控制信息系统总体。③不构成重大</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694" w:type="dxa"/>
            <w:vMerge/>
            <w:tcBorders>
              <w:left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缺陷和重要缺陷的内部控制缺陷，认定为财务报</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告一般缺陷。</w:t>
            </w:r>
          </w:p>
        </w:tc>
        <w:tc>
          <w:tcPr>
            <w:tcW w:w="3402" w:type="dxa"/>
            <w:tcBorders>
              <w:top w:val="nil" w:sz="6" w:space="0" w:color="auto"/>
              <w:left w:val="single" w:sz="4" w:space="0" w:color="000000"/>
              <w:bottom w:val="single" w:sz="4" w:space="0" w:color="000000"/>
              <w:right w:val="single" w:sz="4" w:space="0" w:color="000000"/>
            </w:tcBorders>
          </w:tcPr>
          <w:p>
            <w:pPr/>
          </w:p>
        </w:tc>
      </w:tr>
      <w:tr>
        <w:trPr>
          <w:trHeight w:val="280"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公司以上年度经过审计的资产总额作为衡量指</w:t>
            </w:r>
          </w:p>
        </w:tc>
        <w:tc>
          <w:tcPr>
            <w:tcW w:w="340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标，确定公司财务报告缺陷的定量标准。①到下</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列标准之一的，即可确认财务报告各项缺陷：重</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大缺陷</w:t>
            </w:r>
            <w:r>
              <w:rPr>
                <w:rFonts w:ascii="宋体" w:hAnsi="宋体" w:cs="宋体" w:eastAsia="宋体" w:hint="default"/>
                <w:spacing w:val="-89"/>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pacing w:val="-3"/>
                <w:w w:val="99"/>
                <w:sz w:val="18"/>
                <w:szCs w:val="18"/>
              </w:rPr>
              <w: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重要缺陷</w:t>
            </w:r>
            <w:r>
              <w:rPr>
                <w:rFonts w:ascii="宋体" w:hAnsi="宋体" w:cs="宋体" w:eastAsia="宋体" w:hint="default"/>
                <w:spacing w:val="-89"/>
                <w:sz w:val="18"/>
                <w:szCs w:val="18"/>
              </w:rPr>
              <w:t>，</w:t>
            </w:r>
            <w:r>
              <w:rPr>
                <w:rFonts w:ascii="宋体" w:hAnsi="宋体" w:cs="宋体" w:eastAsia="宋体" w:hint="default"/>
                <w:sz w:val="18"/>
                <w:szCs w:val="18"/>
              </w:rPr>
              <w:t>错报</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单项缺陷：</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影响水平达到或超过公司</w:t>
            </w:r>
          </w:p>
        </w:tc>
        <w:tc>
          <w:tcPr>
            <w:tcW w:w="3402" w:type="dxa"/>
            <w:tcBorders>
              <w:top w:val="nil" w:sz="6" w:space="0" w:color="auto"/>
              <w:left w:val="single" w:sz="4" w:space="0" w:color="000000"/>
              <w:bottom w:val="nil" w:sz="6" w:space="0" w:color="auto"/>
              <w:right w:val="single" w:sz="4" w:space="0" w:color="000000"/>
            </w:tcBorders>
          </w:tcPr>
          <w:p>
            <w:pPr/>
          </w:p>
        </w:tc>
      </w:tr>
      <w:tr>
        <w:trPr>
          <w:trHeight w:val="1634"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合并报表资产总额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，直接认定为重大缺陷；</w:t>
            </w:r>
          </w:p>
          <w:p>
            <w:pPr>
              <w:pStyle w:val="TableParagraph"/>
              <w:spacing w:line="228" w:lineRule="auto" w:before="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a2 </w:t>
            </w:r>
            <w:r>
              <w:rPr>
                <w:rFonts w:ascii="宋体" w:hAnsi="宋体" w:cs="宋体" w:eastAsia="宋体" w:hint="default"/>
                <w:sz w:val="18"/>
                <w:szCs w:val="18"/>
              </w:rPr>
              <w:t>影响水平低于公司合并报表资产总额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 高于公司合并报表资产总额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，直接认定为重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要缺陷；</w:t>
            </w:r>
            <w:r>
              <w:rPr>
                <w:rFonts w:ascii="Times New Roman" w:hAnsi="Times New Roman" w:cs="Times New Roman" w:eastAsia="Times New Roman" w:hint="default"/>
                <w:spacing w:val="-8"/>
                <w:sz w:val="18"/>
                <w:szCs w:val="18"/>
              </w:rPr>
              <w:t>a3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影响水平小于或等于公司合并报表资 产总额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，直接认定为一般缺陷。</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影响到同 一个重要会计科目或披露事项的多个重要缺陷 汇总：</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考虑补偿性控制措施和实际偏差率后，</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32" w:lineRule="exact" w:before="109"/>
              <w:ind w:left="23" w:right="21"/>
              <w:jc w:val="left"/>
              <w:rPr>
                <w:rFonts w:ascii="宋体" w:hAnsi="宋体" w:cs="宋体" w:eastAsia="宋体" w:hint="default"/>
                <w:sz w:val="18"/>
                <w:szCs w:val="18"/>
              </w:rPr>
            </w:pPr>
            <w:r>
              <w:rPr>
                <w:rFonts w:ascii="宋体" w:hAnsi="宋体" w:cs="宋体" w:eastAsia="宋体" w:hint="default"/>
                <w:spacing w:val="-4"/>
                <w:sz w:val="18"/>
                <w:szCs w:val="18"/>
              </w:rPr>
              <w:t>①重大缺陷：该缺陷的存在将导致的直接财</w:t>
            </w:r>
            <w:r>
              <w:rPr>
                <w:rFonts w:ascii="宋体" w:hAnsi="宋体" w:cs="宋体" w:eastAsia="宋体" w:hint="default"/>
                <w:sz w:val="18"/>
                <w:szCs w:val="18"/>
              </w:rPr>
              <w:t> 产损失金额超过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万元；②重要缺陷： 该缺陷的存在将导致的直接财产损失金额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③一般缺陷</w:t>
            </w:r>
            <w:r>
              <w:rPr>
                <w:rFonts w:ascii="宋体" w:hAnsi="宋体" w:cs="宋体" w:eastAsia="宋体" w:hint="default"/>
                <w:spacing w:val="-75"/>
                <w:sz w:val="18"/>
                <w:szCs w:val="18"/>
              </w:rPr>
              <w:t>：</w:t>
            </w:r>
            <w:r>
              <w:rPr>
                <w:rFonts w:ascii="宋体" w:hAnsi="宋体" w:cs="宋体" w:eastAsia="宋体" w:hint="default"/>
                <w:sz w:val="18"/>
                <w:szCs w:val="18"/>
              </w:rPr>
              <w:t>该缺陷的存在将导致的直接财</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产损失金额不超过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229"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该缺陷总体影响水平达到或超过公司合并报表</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，直接认定为重大缺陷；</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考虑补</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偿性控制措施和实际偏差率后，该缺陷总体影响</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水平低于公司合并报表资产总额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，但高于公</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司合并报表资产总额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，直接认定为重要缺</w:t>
            </w:r>
          </w:p>
        </w:tc>
        <w:tc>
          <w:tcPr>
            <w:tcW w:w="3402"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陷。</w:t>
            </w:r>
          </w:p>
        </w:tc>
        <w:tc>
          <w:tcPr>
            <w:tcW w:w="3402"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880" w:right="840"/>
        </w:sectPr>
      </w:pPr>
    </w:p>
    <w:p>
      <w:pPr>
        <w:spacing w:line="240" w:lineRule="auto" w:before="3"/>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5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82"/>
              <w:jc w:val="left"/>
              <w:rPr>
                <w:rFonts w:ascii="宋体" w:hAnsi="宋体" w:cs="宋体" w:eastAsia="宋体" w:hint="default"/>
                <w:sz w:val="18"/>
                <w:szCs w:val="18"/>
              </w:rPr>
            </w:pPr>
            <w:r>
              <w:rPr>
                <w:rFonts w:ascii="宋体" w:hAnsi="宋体" w:cs="宋体" w:eastAsia="宋体" w:hint="default"/>
                <w:sz w:val="18"/>
                <w:szCs w:val="18"/>
              </w:rPr>
              <w:t>我们认为，神州易桥信息服务股份有限公司于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2">
              <w:r>
                <w:rPr>
                  <w:rFonts w:ascii="Times New Roman" w:hAnsi="Times New Roman" w:cs="Times New Roman" w:eastAsia="Times New Roman" w:hint="default"/>
                  <w:sz w:val="18"/>
                  <w:szCs w:val="18"/>
                </w:rPr>
                <w:t>www.cninfo.com.cn</w:t>
              </w:r>
            </w:hyperlink>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2"/>
        <w:ind w:right="0"/>
        <w:jc w:val="left"/>
      </w:pPr>
      <w:r>
        <w:rPr/>
        <w:t>会计师事务所是否出具非标准意见的内部控制审计报告</w:t>
      </w:r>
    </w:p>
    <w:p>
      <w:pPr>
        <w:pStyle w:val="BodyText"/>
        <w:spacing w:line="264" w:lineRule="auto" w:before="38"/>
        <w:ind w:right="3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会计师事务所出具的内部控制审计报告与董事会的自我评价报告意见是否一致</w:t>
      </w:r>
    </w:p>
    <w:p>
      <w:pPr>
        <w:pStyle w:val="BodyText"/>
        <w:spacing w:line="240" w:lineRule="auto" w:before="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left="3086" w:right="0"/>
        <w:jc w:val="left"/>
        <w:rPr>
          <w:b w:val="0"/>
          <w:bCs w:val="0"/>
        </w:rPr>
      </w:pPr>
      <w:bookmarkStart w:name="_bookmark9" w:id="11"/>
      <w:bookmarkEnd w:id="11"/>
      <w:r>
        <w:rPr>
          <w:b w:val="0"/>
          <w:bCs w:val="0"/>
        </w:rPr>
      </w:r>
      <w:r>
        <w:rPr/>
        <w:t>第十节</w:t>
      </w:r>
      <w:r>
        <w:rPr>
          <w:spacing w:val="-10"/>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9"/>
          <w:szCs w:val="39"/>
        </w:rPr>
      </w:pPr>
    </w:p>
    <w:p>
      <w:pPr>
        <w:pStyle w:val="BodyText"/>
        <w:spacing w:line="278" w:lineRule="auto"/>
        <w:ind w:right="1094"/>
        <w:jc w:val="left"/>
      </w:pPr>
      <w:r>
        <w:rPr/>
        <w:t>公司是否存在公开发行并在证券交易所上市，且在年度报告批准报出日未到期或到期未能全额兑付的公司债券 否</w:t>
      </w:r>
    </w:p>
    <w:p>
      <w:pPr>
        <w:spacing w:after="0" w:line="278"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right="2382"/>
        <w:jc w:val="center"/>
        <w:rPr>
          <w:b w:val="0"/>
          <w:bCs w:val="0"/>
        </w:rPr>
      </w:pPr>
      <w:bookmarkStart w:name="_bookmark10" w:id="12"/>
      <w:bookmarkEnd w:id="12"/>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[2018]63050003</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bl>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8" w:footer="978" w:top="1100" w:bottom="1160" w:left="1020" w:right="1020"/>
        </w:sectPr>
      </w:pPr>
    </w:p>
    <w:p>
      <w:pPr>
        <w:spacing w:line="240" w:lineRule="auto" w:before="0"/>
        <w:rPr>
          <w:rFonts w:ascii="宋体" w:hAnsi="宋体" w:cs="宋体" w:eastAsia="宋体" w:hint="default"/>
          <w:b/>
          <w:bCs/>
          <w:sz w:val="18"/>
          <w:szCs w:val="18"/>
        </w:rPr>
      </w:pPr>
    </w:p>
    <w:p>
      <w:pPr>
        <w:spacing w:line="362" w:lineRule="auto" w:before="161"/>
        <w:ind w:left="592" w:right="0" w:hanging="480"/>
        <w:jc w:val="left"/>
        <w:rPr>
          <w:rFonts w:ascii="宋体" w:hAnsi="宋体" w:cs="宋体" w:eastAsia="宋体" w:hint="default"/>
          <w:sz w:val="18"/>
          <w:szCs w:val="18"/>
        </w:rPr>
      </w:pPr>
      <w:r>
        <w:rPr>
          <w:rFonts w:ascii="宋体" w:hAnsi="宋体" w:cs="宋体" w:eastAsia="宋体" w:hint="default"/>
          <w:b/>
          <w:bCs/>
          <w:w w:val="95"/>
          <w:sz w:val="18"/>
          <w:szCs w:val="18"/>
        </w:rPr>
        <w:t>神州易桥信息服务股份有限公司全体股东：</w:t>
      </w:r>
      <w:r>
        <w:rPr>
          <w:rFonts w:ascii="宋体" w:hAnsi="宋体" w:cs="宋体" w:eastAsia="宋体" w:hint="default"/>
          <w:b/>
          <w:bCs/>
          <w:spacing w:val="82"/>
          <w:w w:val="95"/>
          <w:sz w:val="18"/>
          <w:szCs w:val="18"/>
        </w:rPr>
        <w:t> </w:t>
      </w:r>
      <w:r>
        <w:rPr>
          <w:rFonts w:ascii="宋体" w:hAnsi="宋体" w:cs="宋体" w:eastAsia="宋体" w:hint="default"/>
          <w:b/>
          <w:bCs/>
          <w:spacing w:val="82"/>
          <w:w w:val="95"/>
          <w:sz w:val="18"/>
          <w:szCs w:val="18"/>
        </w:rPr>
      </w:r>
      <w:r>
        <w:rPr>
          <w:rFonts w:ascii="宋体" w:hAnsi="宋体" w:cs="宋体" w:eastAsia="宋体" w:hint="default"/>
          <w:sz w:val="18"/>
          <w:szCs w:val="18"/>
        </w:rPr>
        <w:t>一、审计意见</w:t>
      </w:r>
    </w:p>
    <w:p>
      <w:pPr>
        <w:pStyle w:val="BodyText"/>
        <w:spacing w:line="240" w:lineRule="auto" w:before="44"/>
        <w:ind w:right="0"/>
        <w:jc w:val="left"/>
      </w:pPr>
      <w:r>
        <w:rPr/>
        <w:br w:type="column"/>
      </w:r>
      <w:r>
        <w:rPr/>
        <w:t>审计报告正文</w:t>
      </w:r>
    </w:p>
    <w:p>
      <w:pPr>
        <w:spacing w:after="0" w:line="240" w:lineRule="auto"/>
        <w:jc w:val="left"/>
        <w:sectPr>
          <w:type w:val="continuous"/>
          <w:pgSz w:w="11910" w:h="16840"/>
          <w:pgMar w:top="1060" w:bottom="1160" w:left="1020" w:right="1020"/>
          <w:cols w:num="2" w:equalWidth="0">
            <w:col w:w="3545" w:space="734"/>
            <w:col w:w="5591"/>
          </w:cols>
        </w:sectPr>
      </w:pPr>
    </w:p>
    <w:p>
      <w:pPr>
        <w:pStyle w:val="BodyText"/>
        <w:spacing w:line="357" w:lineRule="auto" w:before="140"/>
        <w:ind w:right="110" w:firstLine="480"/>
        <w:jc w:val="both"/>
      </w:pPr>
      <w:r>
        <w:rPr>
          <w:spacing w:val="-1"/>
        </w:rPr>
        <w:t>我们审计了神州易桥信息服务股份有限公司（以下简称“神州易桥公司”）财务报表，包括2017年12月31日的合并及</w:t>
      </w:r>
      <w:r>
        <w:rPr/>
        <w:t> </w:t>
      </w:r>
      <w:r>
        <w:rPr>
          <w:spacing w:val="-2"/>
        </w:rPr>
        <w:t>公司资产负债表，2017年度的合并及公司利润表、合并及公司现金流量表、合并及公司股东权益变动表以及相关财务报表附</w:t>
      </w:r>
      <w:r>
        <w:rPr>
          <w:spacing w:val="-61"/>
        </w:rPr>
        <w:t> </w:t>
      </w:r>
      <w:r>
        <w:rPr>
          <w:spacing w:val="-61"/>
        </w:rPr>
      </w:r>
      <w:r>
        <w:rPr/>
        <w:t>注。</w:t>
      </w:r>
    </w:p>
    <w:p>
      <w:pPr>
        <w:pStyle w:val="BodyText"/>
        <w:spacing w:line="357" w:lineRule="auto" w:before="146"/>
        <w:ind w:right="112" w:firstLine="480"/>
        <w:jc w:val="both"/>
      </w:pPr>
      <w:r>
        <w:rPr>
          <w:spacing w:val="-1"/>
        </w:rPr>
        <w:t>我们认为，后附的财务报表在所有重大方面按照企业会计准则的规定编制，公允反映了神州易桥公司2017年12月31日</w:t>
      </w:r>
      <w:r>
        <w:rPr/>
        <w:t> 合并及公司的财务状况以及2017年度合并及公司的经营成果和现金流量。</w:t>
      </w:r>
    </w:p>
    <w:p>
      <w:pPr>
        <w:pStyle w:val="BodyText"/>
        <w:spacing w:line="240" w:lineRule="auto" w:before="146"/>
        <w:ind w:left="592" w:right="0"/>
        <w:jc w:val="left"/>
      </w:pPr>
      <w:r>
        <w:rPr/>
        <w:t>二、形成审计意见的基础</w:t>
      </w:r>
    </w:p>
    <w:p>
      <w:pPr>
        <w:spacing w:line="240" w:lineRule="auto" w:before="12"/>
        <w:rPr>
          <w:rFonts w:ascii="宋体" w:hAnsi="宋体" w:cs="宋体" w:eastAsia="宋体" w:hint="default"/>
          <w:sz w:val="17"/>
          <w:szCs w:val="17"/>
        </w:rPr>
      </w:pPr>
    </w:p>
    <w:p>
      <w:pPr>
        <w:pStyle w:val="BodyText"/>
        <w:spacing w:line="357" w:lineRule="auto"/>
        <w:ind w:right="110" w:firstLine="480"/>
        <w:jc w:val="both"/>
      </w:pPr>
      <w:r>
        <w:rPr>
          <w:spacing w:val="-1"/>
        </w:rPr>
        <w:t>我们按照中国注册会计师审计准则的规定执行了审计工作。审计报告的“注册会计师对财务报表审计的责任”部分进</w:t>
      </w:r>
      <w:r>
        <w:rPr/>
        <w:t> </w:t>
      </w:r>
      <w:r>
        <w:rPr>
          <w:spacing w:val="-2"/>
        </w:rPr>
        <w:t>一步阐述了我们在这些准则下的责任。按照中国注册会计师职业道德守则，我们独立于神州易桥公司，并履行了职业道德方</w:t>
      </w:r>
      <w:r>
        <w:rPr>
          <w:spacing w:val="-63"/>
        </w:rPr>
        <w:t> </w:t>
      </w:r>
      <w:r>
        <w:rPr>
          <w:spacing w:val="-63"/>
        </w:rPr>
      </w:r>
      <w:r>
        <w:rPr/>
        <w:t>面的其他责任。我们相信，我们获取的审计证据是充分、适当的，为发表审计意见提供了基础。</w:t>
      </w:r>
    </w:p>
    <w:p>
      <w:pPr>
        <w:pStyle w:val="BodyText"/>
        <w:spacing w:line="240" w:lineRule="auto" w:before="144"/>
        <w:ind w:left="592" w:right="0"/>
        <w:jc w:val="left"/>
      </w:pPr>
      <w:r>
        <w:rPr/>
        <w:t>三、关键审计事项</w:t>
      </w:r>
    </w:p>
    <w:p>
      <w:pPr>
        <w:spacing w:line="240" w:lineRule="auto" w:before="12"/>
        <w:rPr>
          <w:rFonts w:ascii="宋体" w:hAnsi="宋体" w:cs="宋体" w:eastAsia="宋体" w:hint="default"/>
          <w:sz w:val="17"/>
          <w:szCs w:val="17"/>
        </w:rPr>
      </w:pPr>
    </w:p>
    <w:p>
      <w:pPr>
        <w:pStyle w:val="BodyText"/>
        <w:spacing w:line="357" w:lineRule="auto"/>
        <w:ind w:right="112" w:firstLine="480"/>
        <w:jc w:val="both"/>
      </w:pPr>
      <w:r>
        <w:rPr>
          <w:spacing w:val="-1"/>
        </w:rPr>
        <w:t>关键审计事项是我们根据职业判断，认为对本期财务报表审计最为重要的事项。这些事项的应对以对财务报表整体进</w:t>
      </w:r>
      <w:r>
        <w:rPr/>
        <w:t>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BodyText"/>
        <w:spacing w:line="480" w:lineRule="auto" w:before="146"/>
        <w:ind w:left="592" w:right="7994"/>
        <w:jc w:val="left"/>
      </w:pPr>
      <w:r>
        <w:rPr/>
        <w:t>（一）收入确认 1、事项描述</w:t>
      </w:r>
    </w:p>
    <w:p>
      <w:pPr>
        <w:pStyle w:val="BodyText"/>
        <w:spacing w:line="357" w:lineRule="auto" w:before="55"/>
        <w:ind w:right="112" w:firstLine="480"/>
        <w:jc w:val="both"/>
      </w:pPr>
      <w:r>
        <w:rPr/>
        <w:t>神州易桥公司主要从事互联网服务业、药用及食用明胶的生产和销售。2017年度实现营业收入51,593.45万元，其中 </w:t>
      </w:r>
      <w:r>
        <w:rPr>
          <w:spacing w:val="-1"/>
        </w:rPr>
        <w:t>31,808.80万元来源于互联网服务业，占2017年度收入的61.65</w:t>
      </w:r>
      <w:r>
        <w:rPr>
          <w:spacing w:val="-34"/>
        </w:rPr>
        <w:t> </w:t>
      </w:r>
      <w:r>
        <w:rPr>
          <w:spacing w:val="-1"/>
        </w:rPr>
        <w:t>%。神州易桥公司互联网服务依据服务协议提交或形成工作成</w:t>
      </w:r>
      <w:r>
        <w:rPr>
          <w:spacing w:val="-86"/>
        </w:rPr>
        <w:t> </w:t>
      </w:r>
      <w:r>
        <w:rPr>
          <w:spacing w:val="-86"/>
        </w:rPr>
      </w:r>
      <w:r>
        <w:rPr>
          <w:spacing w:val="-2"/>
        </w:rPr>
        <w:t>果时确认收入；药用及食用明胶在与商品所有权有关的风险和报酬转移给客户时确认收入的实现。因收入是神州易桥公司关</w:t>
      </w:r>
      <w:r>
        <w:rPr>
          <w:spacing w:val="-64"/>
        </w:rPr>
        <w:t> </w:t>
      </w:r>
      <w:r>
        <w:rPr>
          <w:spacing w:val="-64"/>
        </w:rPr>
      </w:r>
      <w:r>
        <w:rPr/>
        <w:t>键业绩指标，我们将收入识别为关键审计事项。</w:t>
      </w:r>
    </w:p>
    <w:p>
      <w:pPr>
        <w:pStyle w:val="BodyText"/>
        <w:spacing w:line="240" w:lineRule="auto" w:before="146"/>
        <w:ind w:left="592" w:right="0"/>
        <w:jc w:val="left"/>
      </w:pPr>
      <w:r>
        <w:rPr/>
        <w:t>2、审计应对</w:t>
      </w:r>
    </w:p>
    <w:p>
      <w:pPr>
        <w:spacing w:line="240" w:lineRule="auto" w:before="10"/>
        <w:rPr>
          <w:rFonts w:ascii="宋体" w:hAnsi="宋体" w:cs="宋体" w:eastAsia="宋体" w:hint="default"/>
          <w:sz w:val="17"/>
          <w:szCs w:val="17"/>
        </w:rPr>
      </w:pPr>
    </w:p>
    <w:p>
      <w:pPr>
        <w:pStyle w:val="BodyText"/>
        <w:spacing w:line="240" w:lineRule="auto"/>
        <w:ind w:left="592" w:right="0"/>
        <w:jc w:val="left"/>
      </w:pPr>
      <w:r>
        <w:rPr/>
        <w:t>（1）了解和评价与收入确认相关的关键内部控制的设计和运行的有效性。</w:t>
      </w:r>
    </w:p>
    <w:p>
      <w:pPr>
        <w:spacing w:after="0" w:line="240" w:lineRule="auto"/>
        <w:jc w:val="left"/>
        <w:sectPr>
          <w:type w:val="continuous"/>
          <w:pgSz w:w="11910" w:h="16840"/>
          <w:pgMar w:top="1060" w:bottom="1160" w:left="1020" w:right="1020"/>
        </w:sectPr>
      </w:pPr>
    </w:p>
    <w:p>
      <w:pPr>
        <w:spacing w:line="240" w:lineRule="auto" w:before="12"/>
        <w:rPr>
          <w:rFonts w:ascii="宋体" w:hAnsi="宋体" w:cs="宋体" w:eastAsia="宋体" w:hint="default"/>
          <w:sz w:val="18"/>
          <w:szCs w:val="18"/>
        </w:rPr>
      </w:pPr>
    </w:p>
    <w:p>
      <w:pPr>
        <w:pStyle w:val="BodyText"/>
        <w:spacing w:line="240" w:lineRule="auto" w:before="44"/>
        <w:ind w:left="592" w:right="94"/>
        <w:jc w:val="left"/>
      </w:pPr>
      <w:r>
        <w:rPr/>
        <w:t>（2）对本年度记录的交易选取样本，核对服务合同或协议、检查服务提供完毕的证据，以评价收入确认的真实性。</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（3）选择交易金额较大的客户执行函证程序。</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（4）执行截止性测试程序，检查资产负债表日前后的交易是否被记录于恰当的会计期间。</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（5）检查与收入确认相关的信息在财务报表中的列报与披露是否充分、适当。</w:t>
      </w:r>
    </w:p>
    <w:p>
      <w:pPr>
        <w:spacing w:line="240" w:lineRule="auto" w:before="12"/>
        <w:rPr>
          <w:rFonts w:ascii="宋体" w:hAnsi="宋体" w:cs="宋体" w:eastAsia="宋体" w:hint="default"/>
          <w:sz w:val="17"/>
          <w:szCs w:val="17"/>
        </w:rPr>
      </w:pPr>
    </w:p>
    <w:p>
      <w:pPr>
        <w:pStyle w:val="BodyText"/>
        <w:spacing w:line="480" w:lineRule="auto"/>
        <w:ind w:left="592" w:right="7834"/>
        <w:jc w:val="left"/>
      </w:pPr>
      <w:r>
        <w:rPr/>
        <w:t>（二）商誉的减值 1、事项描述</w:t>
      </w:r>
    </w:p>
    <w:p>
      <w:pPr>
        <w:pStyle w:val="BodyText"/>
        <w:spacing w:line="360" w:lineRule="auto" w:before="52"/>
        <w:ind w:right="94" w:firstLine="480"/>
        <w:jc w:val="left"/>
      </w:pPr>
      <w:r>
        <w:rPr>
          <w:spacing w:val="-1"/>
        </w:rPr>
        <w:t>截至财务报告日，神州易桥公司的商誉账面价值为165,229.32万元，占资产总额的43.05%，是神州易桥公司合并资产</w:t>
      </w:r>
      <w:r>
        <w:rPr/>
        <w:t> 中重要的组成部分。</w:t>
      </w:r>
    </w:p>
    <w:p>
      <w:pPr>
        <w:pStyle w:val="BodyText"/>
        <w:spacing w:line="357" w:lineRule="auto" w:before="142"/>
        <w:ind w:right="132" w:firstLine="480"/>
        <w:jc w:val="both"/>
      </w:pPr>
      <w:r>
        <w:rPr>
          <w:spacing w:val="-1"/>
        </w:rPr>
        <w:t>合并财务报表中商誉可能存在无法通过使用各相关资产及资产组（即独立产生现金流入的可认定最小资产组合）所产</w:t>
      </w:r>
      <w:r>
        <w:rPr/>
        <w:t> </w:t>
      </w:r>
      <w:r>
        <w:rPr>
          <w:spacing w:val="-2"/>
        </w:rPr>
        <w:t>生的预计未来现金流量以全部收回的风险。为评估商誉的可收回金额，管理层委聘外部评估专家根据企业编制的基准日的财</w:t>
      </w:r>
      <w:r>
        <w:rPr>
          <w:spacing w:val="-64"/>
        </w:rPr>
        <w:t> </w:t>
      </w:r>
      <w:r>
        <w:rPr>
          <w:spacing w:val="-64"/>
        </w:rPr>
      </w:r>
      <w:r>
        <w:rPr/>
        <w:t>务报表及历史数据采用收益法计算股东全部权益价值，从而确定商誉的可回收的金额。</w:t>
      </w:r>
    </w:p>
    <w:p>
      <w:pPr>
        <w:pStyle w:val="BodyText"/>
        <w:spacing w:line="357" w:lineRule="auto" w:before="146"/>
        <w:ind w:right="111" w:firstLine="480"/>
        <w:jc w:val="both"/>
      </w:pPr>
      <w:r>
        <w:rPr/>
        <w:t>因商誉减值依赖外部专家的工作，在确定公司预计未来现金流量现值时，评估报告存在诸多假设，包括对预测收入、 </w:t>
      </w:r>
      <w:r>
        <w:rPr>
          <w:spacing w:val="-2"/>
        </w:rPr>
        <w:t>长期平均增长率、利润增长率和未来市场变动以及折现率等方面的关键假设。这些关键假设具有不确定性且可能受到管理层</w:t>
      </w:r>
      <w:r>
        <w:rPr>
          <w:spacing w:val="-64"/>
        </w:rPr>
        <w:t> </w:t>
      </w:r>
      <w:r>
        <w:rPr>
          <w:spacing w:val="-64"/>
        </w:rPr>
      </w:r>
      <w:r>
        <w:rPr>
          <w:spacing w:val="-2"/>
        </w:rPr>
        <w:t>偏好的影响，在确定商誉减值时涉及管理层的重大判断和估计，同时考虑商誉对于财务报表整体的重要性，我们将商誉减值</w:t>
      </w:r>
      <w:r>
        <w:rPr>
          <w:spacing w:val="-63"/>
        </w:rPr>
        <w:t> </w:t>
      </w:r>
      <w:r>
        <w:rPr>
          <w:spacing w:val="-63"/>
        </w:rPr>
      </w:r>
      <w:r>
        <w:rPr/>
        <w:t>识别为关键审计事项。</w:t>
      </w:r>
    </w:p>
    <w:p>
      <w:pPr>
        <w:pStyle w:val="BodyText"/>
        <w:spacing w:line="240" w:lineRule="auto" w:before="146"/>
        <w:ind w:left="592" w:right="94"/>
        <w:jc w:val="left"/>
      </w:pPr>
      <w:r>
        <w:rPr/>
        <w:t>2、审计应对</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（1）了解和评估管理层与商誉减值相关的关键内部控制。</w:t>
      </w:r>
    </w:p>
    <w:p>
      <w:pPr>
        <w:spacing w:line="240" w:lineRule="auto" w:before="10"/>
        <w:rPr>
          <w:rFonts w:ascii="宋体" w:hAnsi="宋体" w:cs="宋体" w:eastAsia="宋体" w:hint="default"/>
          <w:sz w:val="17"/>
          <w:szCs w:val="17"/>
        </w:rPr>
      </w:pPr>
    </w:p>
    <w:p>
      <w:pPr>
        <w:pStyle w:val="BodyText"/>
        <w:spacing w:line="240" w:lineRule="auto"/>
        <w:ind w:left="592" w:right="94"/>
        <w:jc w:val="left"/>
      </w:pPr>
      <w:r>
        <w:rPr/>
        <w:t>（2）评价管理层委聘的外部独立评估师的胜任能力、专业素质和客观性。</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（3）我们的内部评估专家协助我们对管理层进行估值时采用的估值方法及关键假设进行复核。</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（4）比较评估后的可收回价值与账面可辨认的净资产公允价值和商誉之和的差异，确认是否存在商誉减值情况。</w:t>
      </w:r>
    </w:p>
    <w:p>
      <w:pPr>
        <w:spacing w:line="240" w:lineRule="auto" w:before="12"/>
        <w:rPr>
          <w:rFonts w:ascii="宋体" w:hAnsi="宋体" w:cs="宋体" w:eastAsia="宋体" w:hint="default"/>
          <w:sz w:val="17"/>
          <w:szCs w:val="17"/>
        </w:rPr>
      </w:pPr>
    </w:p>
    <w:p>
      <w:pPr>
        <w:pStyle w:val="BodyText"/>
        <w:spacing w:line="480" w:lineRule="auto"/>
        <w:ind w:left="592" w:right="2524"/>
        <w:jc w:val="left"/>
      </w:pPr>
      <w:r>
        <w:rPr/>
        <w:t>（5）评价在财务报表中有关商誉减值评估的披露是否符合企业会计准则的相关规定。 四、其他信息</w:t>
      </w:r>
    </w:p>
    <w:p>
      <w:pPr>
        <w:pStyle w:val="BodyText"/>
        <w:spacing w:line="357" w:lineRule="auto" w:before="55"/>
        <w:ind w:right="94" w:firstLine="480"/>
        <w:jc w:val="left"/>
      </w:pPr>
      <w:r>
        <w:rPr>
          <w:spacing w:val="-1"/>
        </w:rPr>
        <w:t>神州易桥公司管理层对其他信息负责。其他信息包括2017年年度报告中涵盖的信息，但不包括财务报表和我们的审计</w:t>
      </w:r>
      <w:r>
        <w:rPr/>
        <w:t> 报告。</w:t>
      </w:r>
    </w:p>
    <w:p>
      <w:pPr>
        <w:pStyle w:val="BodyText"/>
        <w:spacing w:line="240" w:lineRule="auto" w:before="146"/>
        <w:ind w:left="592" w:right="94"/>
        <w:jc w:val="left"/>
      </w:pPr>
      <w:r>
        <w:rPr/>
        <w:t>我们对财务报表发表的审计意见不涵盖其他信息，我们也不对其他信息发表任何形式的鉴证结论。</w:t>
      </w:r>
    </w:p>
    <w:p>
      <w:pPr>
        <w:spacing w:line="240" w:lineRule="auto" w:before="10"/>
        <w:rPr>
          <w:rFonts w:ascii="宋体" w:hAnsi="宋体" w:cs="宋体" w:eastAsia="宋体" w:hint="default"/>
          <w:sz w:val="17"/>
          <w:szCs w:val="17"/>
        </w:rPr>
      </w:pPr>
    </w:p>
    <w:p>
      <w:pPr>
        <w:pStyle w:val="BodyText"/>
        <w:spacing w:line="360" w:lineRule="auto"/>
        <w:ind w:right="94"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pStyle w:val="BodyText"/>
        <w:spacing w:line="355" w:lineRule="auto" w:before="145"/>
        <w:ind w:right="94" w:firstLine="480"/>
        <w:jc w:val="left"/>
      </w:pPr>
      <w:r>
        <w:rPr>
          <w:spacing w:val="-1"/>
        </w:rPr>
        <w:t>基于我们已执行的工作，如果我们确定其他信息存在重大错报，我们应当报告该事实。在这方面，我们无任何事项需</w:t>
      </w:r>
      <w:r>
        <w:rPr/>
        <w:t> 要报告。</w:t>
      </w:r>
    </w:p>
    <w:p>
      <w:pPr>
        <w:pStyle w:val="BodyText"/>
        <w:spacing w:line="240" w:lineRule="auto" w:before="148"/>
        <w:ind w:left="592" w:right="94"/>
        <w:jc w:val="left"/>
      </w:pPr>
      <w:r>
        <w:rPr/>
        <w:t>五、管理层和治理层对财务报表的责任</w:t>
      </w:r>
    </w:p>
    <w:p>
      <w:pPr>
        <w:spacing w:line="240" w:lineRule="auto" w:before="12"/>
        <w:rPr>
          <w:rFonts w:ascii="宋体" w:hAnsi="宋体" w:cs="宋体" w:eastAsia="宋体" w:hint="default"/>
          <w:sz w:val="17"/>
          <w:szCs w:val="17"/>
        </w:rPr>
      </w:pPr>
    </w:p>
    <w:p>
      <w:pPr>
        <w:pStyle w:val="BodyText"/>
        <w:spacing w:line="357" w:lineRule="auto"/>
        <w:ind w:right="94" w:firstLine="480"/>
        <w:jc w:val="left"/>
      </w:pPr>
      <w:r>
        <w:rPr/>
        <w:t>神州易桥公司管理层（以下简称管理层）负责按照企业会计准则的规定编制财务报表，使其实现公允反映，并设计、 执行和维护必要的内部控制，以使财务报表不存在由于舞弊或错误导致的重大错报。</w:t>
      </w:r>
    </w:p>
    <w:p>
      <w:pPr>
        <w:spacing w:after="0" w:line="357"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18"/>
          <w:szCs w:val="18"/>
        </w:rPr>
      </w:pPr>
    </w:p>
    <w:p>
      <w:pPr>
        <w:pStyle w:val="BodyText"/>
        <w:spacing w:line="357" w:lineRule="auto" w:before="44"/>
        <w:ind w:right="190" w:firstLine="480"/>
        <w:jc w:val="both"/>
      </w:pPr>
      <w:r>
        <w:rPr>
          <w:spacing w:val="-1"/>
        </w:rPr>
        <w:t>在编制财务报表时，管理层负责评估神州易桥公司的持续经营能力，披露与持续经营相关的事项（如适用），并运用</w:t>
      </w:r>
      <w:r>
        <w:rPr/>
        <w:t> 持续经营假设，除非管理层计划清算神州易桥公司、终止运营或别无其他现实的选择。</w:t>
      </w:r>
    </w:p>
    <w:p>
      <w:pPr>
        <w:pStyle w:val="BodyText"/>
        <w:spacing w:line="480" w:lineRule="auto" w:before="146"/>
        <w:ind w:left="592" w:right="5554"/>
        <w:jc w:val="left"/>
      </w:pPr>
      <w:r>
        <w:rPr/>
        <w:t>治理层负责监督神州易桥公司的财务报告过程。 六、注册会计师对财务报表审计的责任</w:t>
      </w:r>
    </w:p>
    <w:p>
      <w:pPr>
        <w:pStyle w:val="BodyText"/>
        <w:spacing w:line="357" w:lineRule="auto" w:before="55"/>
        <w:ind w:right="190"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44"/>
        <w:ind w:left="592" w:right="94"/>
        <w:jc w:val="left"/>
      </w:pPr>
      <w:r>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17"/>
          <w:szCs w:val="17"/>
        </w:rPr>
      </w:pPr>
    </w:p>
    <w:p>
      <w:pPr>
        <w:pStyle w:val="BodyText"/>
        <w:spacing w:line="357" w:lineRule="auto"/>
        <w:ind w:right="101"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6"/>
        <w:ind w:left="592" w:right="94"/>
        <w:jc w:val="left"/>
      </w:pPr>
      <w:r>
        <w:rPr/>
        <w:t>（二）了解与审计相关的内部控制，以设计恰当的审计程序。</w:t>
      </w:r>
    </w:p>
    <w:p>
      <w:pPr>
        <w:spacing w:line="240" w:lineRule="auto" w:before="12"/>
        <w:rPr>
          <w:rFonts w:ascii="宋体" w:hAnsi="宋体" w:cs="宋体" w:eastAsia="宋体" w:hint="default"/>
          <w:sz w:val="17"/>
          <w:szCs w:val="17"/>
        </w:rPr>
      </w:pPr>
    </w:p>
    <w:p>
      <w:pPr>
        <w:pStyle w:val="BodyText"/>
        <w:spacing w:line="240" w:lineRule="auto"/>
        <w:ind w:left="592" w:right="94"/>
        <w:jc w:val="left"/>
      </w:pPr>
      <w:r>
        <w:rPr/>
        <w:t>（三）评价管理层选用会计政策的恰当性和作出会计估计及相关披露的合理性。</w:t>
      </w:r>
    </w:p>
    <w:p>
      <w:pPr>
        <w:spacing w:line="240" w:lineRule="auto" w:before="12"/>
        <w:rPr>
          <w:rFonts w:ascii="宋体" w:hAnsi="宋体" w:cs="宋体" w:eastAsia="宋体" w:hint="default"/>
          <w:sz w:val="17"/>
          <w:szCs w:val="17"/>
        </w:rPr>
      </w:pPr>
    </w:p>
    <w:p>
      <w:pPr>
        <w:pStyle w:val="BodyText"/>
        <w:spacing w:line="355" w:lineRule="auto"/>
        <w:ind w:right="190" w:firstLine="480"/>
        <w:jc w:val="both"/>
      </w:pPr>
      <w:r>
        <w:rPr>
          <w:spacing w:val="-1"/>
        </w:rPr>
        <w:t>（四）对管理层使用持续经营假设的恰当性得出结论。同时，根据获取的审计证据，就可能导致神州易桥公司持续经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3"/>
        </w:rPr>
        <w:t> </w:t>
      </w:r>
      <w:r>
        <w:rPr>
          <w:spacing w:val="-63"/>
        </w:rPr>
      </w:r>
      <w:r>
        <w:rPr/>
        <w:t>论基于截至审计报告日可获得的信息。然而，未来的事项或情况可能导致神州易桥公司不能持续经营。</w:t>
      </w:r>
    </w:p>
    <w:p>
      <w:pPr>
        <w:pStyle w:val="BodyText"/>
        <w:spacing w:line="240" w:lineRule="auto" w:before="148"/>
        <w:ind w:left="592" w:right="94"/>
        <w:jc w:val="left"/>
      </w:pPr>
      <w:r>
        <w:rPr/>
        <w:t>（五）评价财务报表的总体列报、结构和内容（包括披露），并评价财务报表是否公允反映相关交易和事项。</w:t>
      </w:r>
    </w:p>
    <w:p>
      <w:pPr>
        <w:spacing w:line="240" w:lineRule="auto" w:before="12"/>
        <w:rPr>
          <w:rFonts w:ascii="宋体" w:hAnsi="宋体" w:cs="宋体" w:eastAsia="宋体" w:hint="default"/>
          <w:sz w:val="17"/>
          <w:szCs w:val="17"/>
        </w:rPr>
      </w:pPr>
    </w:p>
    <w:p>
      <w:pPr>
        <w:pStyle w:val="BodyText"/>
        <w:spacing w:line="357" w:lineRule="auto"/>
        <w:ind w:right="190" w:firstLine="480"/>
        <w:jc w:val="both"/>
      </w:pPr>
      <w:r>
        <w:rPr>
          <w:spacing w:val="-1"/>
        </w:rPr>
        <w:t>（六）就神州易桥公司中实体或业务活动的财务信息获取充分、适当的审计证据，以对财务报表发表意见。我们负责</w:t>
      </w:r>
      <w:r>
        <w:rPr/>
        <w:t> 指导、监督和执行集团审计。我们对审计意见承担全部责任。</w:t>
      </w:r>
    </w:p>
    <w:p>
      <w:pPr>
        <w:pStyle w:val="BodyText"/>
        <w:spacing w:line="357" w:lineRule="auto" w:before="146"/>
        <w:ind w:right="192"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57" w:lineRule="auto" w:before="146"/>
        <w:ind w:right="192"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57" w:lineRule="auto" w:before="144"/>
        <w:ind w:right="19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3"/>
        </w:rPr>
        <w:t> </w:t>
      </w:r>
      <w:r>
        <w:rPr>
          <w:spacing w:val="-63"/>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4139" w:val="left" w:leader="none"/>
        </w:tabs>
        <w:spacing w:line="240" w:lineRule="auto"/>
        <w:ind w:left="0" w:right="298"/>
        <w:jc w:val="center"/>
      </w:pPr>
      <w:r>
        <w:rPr/>
        <w:t>瑞华会计师事务所（特殊普通合伙）</w:t>
        <w:tab/>
        <w:t>中国注册会计师（项目合伙人）：童成录</w:t>
      </w:r>
    </w:p>
    <w:p>
      <w:pPr>
        <w:pStyle w:val="BodyText"/>
        <w:spacing w:line="240" w:lineRule="auto" w:before="119"/>
        <w:ind w:left="5272" w:right="94"/>
        <w:jc w:val="left"/>
      </w:pPr>
      <w:r>
        <w:rPr/>
        <w:t>中国注册会计师：赵秀梅</w:t>
      </w:r>
    </w:p>
    <w:p>
      <w:pPr>
        <w:pStyle w:val="BodyText"/>
        <w:spacing w:line="240" w:lineRule="auto" w:before="117"/>
        <w:ind w:left="2032" w:right="94"/>
        <w:jc w:val="left"/>
      </w:pPr>
      <w:r>
        <w:rPr/>
        <w:t>中国·北京</w:t>
      </w:r>
    </w:p>
    <w:p>
      <w:pPr>
        <w:pStyle w:val="BodyText"/>
        <w:spacing w:line="240" w:lineRule="auto" w:before="119"/>
        <w:ind w:left="6028" w:right="94"/>
        <w:jc w:val="left"/>
      </w:pPr>
      <w:r>
        <w:rPr/>
        <w:t>2018年4月12日</w:t>
      </w:r>
    </w:p>
    <w:p>
      <w:pPr>
        <w:spacing w:after="0" w:line="240" w:lineRule="auto"/>
        <w:jc w:val="left"/>
        <w:sectPr>
          <w:pgSz w:w="11910" w:h="16840"/>
          <w:pgMar w:header="878" w:footer="978" w:top="1100" w:bottom="1160" w:left="102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财务附注中报表的单位为：人民币元</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1020" w:right="1020"/>
        </w:sectPr>
      </w:pPr>
    </w:p>
    <w:p>
      <w:pPr>
        <w:pStyle w:val="BodyText"/>
        <w:spacing w:line="240" w:lineRule="auto" w:before="44"/>
        <w:ind w:right="-20"/>
        <w:jc w:val="left"/>
      </w:pPr>
      <w:r>
        <w:rPr/>
        <w:t>编制单位：神州易桥信息服务股份有限公司</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240" w:lineRule="auto"/>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单位：元</w:t>
      </w:r>
    </w:p>
    <w:p>
      <w:pPr>
        <w:spacing w:after="0" w:line="240" w:lineRule="auto"/>
        <w:jc w:val="left"/>
        <w:sectPr>
          <w:type w:val="continuous"/>
          <w:pgSz w:w="11910" w:h="16840"/>
          <w:pgMar w:top="1060" w:bottom="1160" w:left="1020" w:right="1020"/>
          <w:cols w:num="3" w:equalWidth="0">
            <w:col w:w="3533" w:space="544"/>
            <w:col w:w="1599" w:space="3242"/>
            <w:col w:w="952"/>
          </w:cols>
        </w:sectPr>
      </w:pP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960,429,437.86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1,002,188,356.47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24,086,440.61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36,585,564.22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61,310,654.18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26,602,486.48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16,458,731.03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41,001,886.41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6,170,664.29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958,327.56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94,943,904.05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192,726,417.47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83,410,161.64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1,258,304,120.00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1,288,568,912.27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51,841,543.20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215,525,472.71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641,091,965.57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105,326,007.09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43,148,456.35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450,366,251.73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102,345,491.23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62,766,634.65</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32,408,489.79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50,557,679.16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1,652,293,177.10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940,776,900.86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5,803,654.71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6,048,584.41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1,341,285.81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9,392,678.12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411,225.81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2,579,739,528.14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1,841,171,434.54</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3,838,043,648.14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3,129,740,346.81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58,156,717.86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90,306,693.85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88,341,258.73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38,665,156.83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12,965,281.28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10,128,955.52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18,047,302.51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17,497,609.62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378,900.26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706,793.49</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295,220.00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248,620,235.18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42,616,095.04</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182,906,044.58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14,657,289.83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609,415,740.40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214,873,814.18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1,785,717.36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5,153,379.93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40,605,191.01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294,773,224.77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24,578,384.08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299,926,604.70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66,969,292.45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909,342,345.10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281,843,106.63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765,799,353.00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2,087,760,045.87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2,084,970,096.54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118,594,104.53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-143,597,876.20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-205,561,190.76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2,745,459,301.11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2,791,818,367.84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183,242,001.93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56,078,872.34</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2,928,701,303.04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2,847,897,240.18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3,838,043,648.14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3,129,740,346.81</w:t>
            </w:r>
          </w:p>
        </w:tc>
      </w:tr>
    </w:tbl>
    <w:p>
      <w:pPr>
        <w:spacing w:line="240" w:lineRule="auto" w:before="8"/>
        <w:rPr>
          <w:rFonts w:ascii="Times New Roman" w:hAnsi="Times New Roman" w:cs="Times New Roman" w:eastAsia="Times New Roman" w:hint="default"/>
          <w:sz w:val="19"/>
          <w:szCs w:val="19"/>
        </w:rPr>
      </w:pPr>
    </w:p>
    <w:p>
      <w:pPr>
        <w:pStyle w:val="BodyText"/>
        <w:tabs>
          <w:tab w:pos="3419" w:val="left" w:leader="none"/>
          <w:tab w:pos="7739" w:val="left" w:leader="none"/>
        </w:tabs>
        <w:spacing w:line="240" w:lineRule="auto" w:before="44"/>
        <w:ind w:left="0" w:right="211"/>
        <w:jc w:val="right"/>
      </w:pPr>
      <w:r>
        <w:rPr/>
        <w:t>法定代表人：彭聪</w:t>
        <w:tab/>
        <w:t>主管会计工作负责人：黄海勇</w:t>
        <w:tab/>
        <w:t>会计机构负责人：任峰</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2"/>
        <w:jc w:val="right"/>
      </w:pPr>
      <w:r>
        <w:rPr/>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723,170,073.79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433,695,386.29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20,684,719.07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127,883,819.61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187,437,628.83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1,635,210.23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931,292,421.69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563,214,416.13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11,641,543.20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178,125,472.71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1,821,868,176.38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2,181,193,967.00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27,989,891.52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6,770,745.16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2,054,296.50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2,080,484.35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8,711,600.00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1,913,019,371.98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2,376,882,269.22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2,844,311,793.67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2,940,096,685.35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51,800,765.95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173,128.20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1,128,891.89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653,434.65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699,911.52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5,842,965.28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1,945,562.81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378,900.26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706,793.49</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24,865,842.27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6,589,531.76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27,733,289.83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2"/>
                <w:sz w:val="18"/>
              </w:rPr>
              <w:t>13,117,289.83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112,404,090.13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23,232,217.61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978" w:header="878" w:top="1100" w:bottom="1160" w:left="1020" w:right="1020"/>
          <w:pgNumType w:start="70"/>
        </w:sectPr>
      </w:pPr>
    </w:p>
    <w:p>
      <w:pPr>
        <w:spacing w:line="240" w:lineRule="auto" w:before="11"/>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1,785,717.36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2,493,924.63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39,531,368.18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34,140,385.81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2,789,949.33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36,634,310.44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44,107,034.87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149,038,400.57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67,339,252.48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765,799,353.00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2,094,107,223.15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2,091,317,273.82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118,594,104.53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-200,130,961.49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-130,969,303.01</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2,695,273,393.10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2,872,757,432.87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2,844,311,793.67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2,940,096,685.35</w:t>
            </w: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34"/>
        <w:ind w:left="132"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6096"/>
        <w:gridCol w:w="1740"/>
        <w:gridCol w:w="1843"/>
      </w:tblGrid>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515,934,484.75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411,857,725.46</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515,934,484.75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411,857,725.46</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653,331,733.15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395,825,001.04</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314,804,846.17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283,541,118.18</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6,391,776.85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5,987,304.54</w:t>
            </w:r>
          </w:p>
        </w:tc>
      </w:tr>
      <w:tr>
        <w:trPr>
          <w:trHeight w:val="321"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151,842,866.97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31,837,067.92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096"/>
        <w:gridCol w:w="1740"/>
        <w:gridCol w:w="1843"/>
      </w:tblGrid>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172,525,688.60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67,927,583.31</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-3,412,124.04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4,651,495.19</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11,178,678.60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1,880,431.90</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220,039,131.16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29,542,553.34</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65,438,329.52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-1,655,524.13</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-84,027.62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48,516.78</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3,515,119.40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86,072,974.54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45,623,794.54</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39,155,889.22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2,462,440.67</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19,735,864.06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4,356,632.11</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105,492,999.70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43,729,603.10</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27,901,136.41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2,553,415.78</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77,591,863.29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41,176,187.32</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87,394,306.91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56,181,423.02</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-9,802,443.62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-15,005,235.70</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64,215,586.67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45,818,308.29</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13,376,276.62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-4,642,120.97</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103,379,604.53</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110,834,709.53</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110,834,709.53</w:t>
            </w:r>
          </w:p>
        </w:tc>
      </w:tr>
      <w:tr>
        <w:trPr>
          <w:trHeight w:val="557"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2"/>
              <w:ind w:left="22" w:right="16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 享有的份额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110,834,709.53</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-7,455,105.00</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-33,520,467.33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144,555,791.85</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-46,896,743.95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156,653,017.82</w:t>
            </w: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13,376,276.62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-12,097,225.97</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0.0839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0.0726</w:t>
            </w:r>
          </w:p>
        </w:tc>
      </w:tr>
      <w:tr>
        <w:trPr>
          <w:trHeight w:val="32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0.0839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0.0726</w:t>
            </w:r>
          </w:p>
        </w:tc>
      </w:tr>
    </w:tbl>
    <w:p>
      <w:pPr>
        <w:pStyle w:val="BodyText"/>
        <w:tabs>
          <w:tab w:pos="3552" w:val="left" w:leader="none"/>
          <w:tab w:pos="7872" w:val="left" w:leader="none"/>
        </w:tabs>
        <w:spacing w:line="542" w:lineRule="auto" w:before="12"/>
        <w:ind w:left="132" w:right="231"/>
        <w:jc w:val="left"/>
      </w:pPr>
      <w:r>
        <w:rPr/>
        <w:t>本期发生同一控制下企业合并的，被合并方在合并前实现的净利润为：元，上期被合并方实现的净利润为：元。 法定代表人：彭聪</w:t>
        <w:tab/>
        <w:t>主管会计工作负责人：黄海勇</w:t>
        <w:tab/>
        <w:t>会计机构负责人：任峰</w:t>
      </w:r>
    </w:p>
    <w:p>
      <w:pPr>
        <w:spacing w:after="0" w:line="542" w:lineRule="auto"/>
        <w:jc w:val="left"/>
        <w:sectPr>
          <w:pgSz w:w="11910" w:h="16840"/>
          <w:pgMar w:header="878" w:footer="978" w:top="1100" w:bottom="1160" w:left="1000" w:right="100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529"/>
        <w:gridCol w:w="2136"/>
        <w:gridCol w:w="1985"/>
      </w:tblGrid>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376,297.30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517,313.70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21,564.73</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42,530,939.16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11,916,419.19</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-4,284,149.78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-3,976,258.34</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-27,488,988.72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773,493.26</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-50,008,164.95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-19,054,313.37</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1,558,529.19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-1,544,400.22</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52.94</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1,785,717.36</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-59,121,264.65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-27,789,479.27</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1,177,142.84</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1,328,793.83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2,801,091.77</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-60,450,058.48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-29,413,428.20</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8,711,600.00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-8,711,600.00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-69,161,658.48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-20,701,828.20</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-69,161,658.48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-20,701,828.20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2"/>
                <w:sz w:val="18"/>
              </w:rPr>
              <w:t>-111,112,330.62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118,594,104.53</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 益中享有的份额</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2"/>
                <w:sz w:val="18"/>
              </w:rPr>
              <w:t>-111,112,330.62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118,594,104.53</w:t>
            </w:r>
          </w:p>
        </w:tc>
      </w:tr>
      <w:tr>
        <w:trPr>
          <w:trHeight w:val="557"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 收益中享有的份额</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2"/>
                <w:sz w:val="18"/>
              </w:rPr>
              <w:t>-111,112,330.62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118,594,104.53</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-180,273,989.10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97,892,276.33</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-0.0903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-0.0328</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-0.0903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-0.0328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00"/>
        </w:sectPr>
      </w:pPr>
    </w:p>
    <w:p>
      <w:pPr>
        <w:spacing w:line="240" w:lineRule="auto" w:before="3"/>
        <w:rPr>
          <w:rFonts w:ascii="宋体" w:hAnsi="宋体" w:cs="宋体" w:eastAsia="宋体" w:hint="default"/>
          <w:sz w:val="19"/>
          <w:szCs w:val="19"/>
        </w:rPr>
      </w:pPr>
    </w:p>
    <w:p>
      <w:pPr>
        <w:pStyle w:val="Heading3"/>
        <w:spacing w:line="240" w:lineRule="auto" w:before="34"/>
        <w:ind w:left="192"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单位：元</w:t>
      </w: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529"/>
        <w:gridCol w:w="2137"/>
        <w:gridCol w:w="2127"/>
      </w:tblGrid>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626,308,506.91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504,526,804.83</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581,144.09</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23,723,699.39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2,900,248.04</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650,032,206.30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508,008,196.96</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272,260,288.45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283,712,896.61</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160,496,231.50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86,462,835.77</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41,476,063.09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48,556,097.31</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206,710,570.90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67,239,219.89</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680,943,153.94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485,971,049.58</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-30,910,947.64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22,037,147.38</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19,671,462.73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119,683,537.12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12,715,032.63</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1,138,045.91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20,650,505.08</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346,096,796.74</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744,000,000.00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168,241,762.41</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1,230,589,842.50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219,607,300.12</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113,894,921.60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114,280,048.95</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125,117,807.39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310,736,451.66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838,000,000.00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157,682,532.73</w:t>
            </w:r>
          </w:p>
        </w:tc>
      </w:tr>
      <w:tr>
        <w:trPr>
          <w:trHeight w:val="321"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1,387,749,180.65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276,162,581.68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940" w:right="94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5529"/>
        <w:gridCol w:w="2137"/>
        <w:gridCol w:w="2127"/>
      </w:tblGrid>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-157,159,338.15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-56,555,281.56</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1,002,819,992.37</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1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160,501,386.59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45,024,622.29</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171,971,386.59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1,057,844,614.66</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137,500,000.00</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664,605.59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12,350,885.20</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71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22,127,333.88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6,015,623.69</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22,791,939.47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155,866,508.89</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149,179,447.12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901,978,105.77</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-38,890,838.67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867,459,971.59</w:t>
            </w:r>
          </w:p>
        </w:tc>
      </w:tr>
      <w:tr>
        <w:trPr>
          <w:trHeight w:val="323"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999,320,276.53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131,860,304.94</w:t>
            </w:r>
          </w:p>
        </w:tc>
      </w:tr>
      <w:tr>
        <w:trPr>
          <w:trHeight w:val="324"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960,429,437.86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999,320,276.53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before="34"/>
        <w:ind w:left="192"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单位：元</w:t>
      </w:r>
    </w:p>
    <w:p>
      <w:pPr>
        <w:spacing w:line="240" w:lineRule="auto" w:before="1"/>
        <w:rPr>
          <w:rFonts w:ascii="宋体" w:hAnsi="宋体" w:cs="宋体" w:eastAsia="宋体" w:hint="default"/>
          <w:sz w:val="5"/>
          <w:szCs w:val="5"/>
        </w:rPr>
      </w:pPr>
    </w:p>
    <w:tbl>
      <w:tblPr>
        <w:tblW w:w="0" w:type="auto"/>
        <w:jc w:val="left"/>
        <w:tblInd w:w="189" w:type="dxa"/>
        <w:tblLayout w:type="fixed"/>
        <w:tblCellMar>
          <w:top w:w="0" w:type="dxa"/>
          <w:left w:w="0" w:type="dxa"/>
          <w:bottom w:w="0" w:type="dxa"/>
          <w:right w:w="0" w:type="dxa"/>
        </w:tblCellMar>
        <w:tblLook w:val="01E0"/>
      </w:tblPr>
      <w:tblGrid>
        <w:gridCol w:w="5387"/>
        <w:gridCol w:w="2137"/>
        <w:gridCol w:w="2127"/>
      </w:tblGrid>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1,670,760.00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977,373.76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852,787.00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2,648,133.76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852,787.00</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5,161,902.11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4,620,667.03</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1,755,433.37</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15,214,490.40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12,781,941.56</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20,376,392.51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19,158,041.96</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-17,728,258.75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-18,305,254.96</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395,111,463.73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20,650,001.00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118,057,788.39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8,886,241.34</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963,169,252.12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29,536,342.34</w:t>
            </w:r>
          </w:p>
        </w:tc>
      </w:tr>
      <w:tr>
        <w:trPr>
          <w:trHeight w:val="32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24,771,562.92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63,850.00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94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387"/>
        <w:gridCol w:w="2137"/>
        <w:gridCol w:w="2127"/>
      </w:tblGrid>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150,717,307.39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499,000,000.00</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630,000,000.00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805,488,870.31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499,063,850.00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157,680,381.81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-469,527,507.66</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993,999,992.37</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163,178,350.59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56,371,562.29</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163,178,350.59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1,050,371,554.66</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655,786.15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3,908,969.12</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36,249,043.75</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13,655,786.15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167,658,012.87</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149,522,564.44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882,713,541.79</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289,474,687.50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394,880,779.17</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433,695,386.29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38,814,607.12</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723,170,073.79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433,695,386.29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00"/>
        </w:sectPr>
      </w:pPr>
    </w:p>
    <w:p>
      <w:pPr>
        <w:spacing w:line="240" w:lineRule="auto" w:before="1"/>
        <w:rPr>
          <w:rFonts w:ascii="Times New Roman" w:hAnsi="Times New Roman" w:cs="Times New Roman" w:eastAsia="Times New Roman" w:hint="default"/>
          <w:sz w:val="3"/>
          <w:szCs w:val="3"/>
        </w:rPr>
      </w:pPr>
    </w:p>
    <w:p>
      <w:pPr>
        <w:spacing w:line="20" w:lineRule="exact"/>
        <w:ind w:left="6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7"/>
          <w:szCs w:val="17"/>
        </w:rPr>
      </w:pPr>
    </w:p>
    <w:p>
      <w:pPr>
        <w:pStyle w:val="Heading3"/>
        <w:spacing w:line="240" w:lineRule="auto" w:before="34"/>
        <w:ind w:left="68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680" w:right="0"/>
        <w:jc w:val="left"/>
      </w:pPr>
      <w:r>
        <w:rPr/>
        <w:t>本期金额</w:t>
      </w:r>
    </w:p>
    <w:p>
      <w:pPr>
        <w:pStyle w:val="BodyText"/>
        <w:spacing w:line="240" w:lineRule="auto" w:before="38"/>
        <w:ind w:left="0" w:right="677"/>
        <w:jc w:val="right"/>
      </w:pPr>
      <w:r>
        <w:rPr/>
        <w:t>单位：元</w:t>
      </w:r>
    </w:p>
    <w:p>
      <w:pPr>
        <w:spacing w:line="240" w:lineRule="auto" w:before="1"/>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438"/>
        <w:gridCol w:w="1256"/>
        <w:gridCol w:w="531"/>
        <w:gridCol w:w="531"/>
        <w:gridCol w:w="531"/>
        <w:gridCol w:w="1421"/>
        <w:gridCol w:w="665"/>
        <w:gridCol w:w="1320"/>
        <w:gridCol w:w="530"/>
        <w:gridCol w:w="1177"/>
        <w:gridCol w:w="665"/>
        <w:gridCol w:w="1320"/>
        <w:gridCol w:w="1276"/>
        <w:gridCol w:w="1417"/>
      </w:tblGrid>
      <w:tr>
        <w:trPr>
          <w:trHeight w:val="324" w:hRule="exact"/>
        </w:trPr>
        <w:tc>
          <w:tcPr>
            <w:tcW w:w="2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3" w:hRule="exact"/>
        </w:trPr>
        <w:tc>
          <w:tcPr>
            <w:tcW w:w="2438" w:type="dxa"/>
            <w:vMerge/>
            <w:tcBorders>
              <w:left w:val="single" w:sz="4" w:space="0" w:color="000000"/>
              <w:right w:val="single" w:sz="4" w:space="0" w:color="000000"/>
            </w:tcBorders>
            <w:shd w:val="clear" w:color="auto" w:fill="D2D2D2"/>
          </w:tcPr>
          <w:p>
            <w:pPr/>
          </w:p>
        </w:tc>
        <w:tc>
          <w:tcPr>
            <w:tcW w:w="994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2438" w:type="dxa"/>
            <w:vMerge/>
            <w:tcBorders>
              <w:left w:val="single" w:sz="4" w:space="0" w:color="000000"/>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47"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79" w:right="7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557" w:hRule="exact"/>
        </w:trPr>
        <w:tc>
          <w:tcPr>
            <w:tcW w:w="2438"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2,084,970,096.54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-205,561,190.76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6" w:right="0"/>
              <w:jc w:val="center"/>
              <w:rPr>
                <w:rFonts w:ascii="Times New Roman" w:hAnsi="Times New Roman" w:cs="Times New Roman" w:eastAsia="Times New Roman" w:hint="default"/>
                <w:sz w:val="18"/>
                <w:szCs w:val="18"/>
              </w:rPr>
            </w:pPr>
            <w:r>
              <w:rPr>
                <w:rFonts w:ascii="Times New Roman"/>
                <w:sz w:val="18"/>
              </w:rPr>
              <w:t>56,078,872.34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2,847,897,240.18</w:t>
            </w: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2,084,970,096.54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-205,561,190.76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6" w:right="0"/>
              <w:jc w:val="center"/>
              <w:rPr>
                <w:rFonts w:ascii="Times New Roman" w:hAnsi="Times New Roman" w:cs="Times New Roman" w:eastAsia="Times New Roman" w:hint="default"/>
                <w:sz w:val="18"/>
                <w:szCs w:val="18"/>
              </w:rPr>
            </w:pPr>
            <w:r>
              <w:rPr>
                <w:rFonts w:ascii="Times New Roman"/>
                <w:sz w:val="18"/>
              </w:rPr>
              <w:t>56,078,872.34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2,847,897,240.18</w:t>
            </w:r>
          </w:p>
        </w:tc>
      </w:tr>
      <w:tr>
        <w:trPr>
          <w:trHeight w:val="557"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6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61,963,314.56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127,163,129.59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80,804,062.86</w:t>
            </w: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-111,112,330.62</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64,215,586.67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6" w:right="0"/>
              <w:jc w:val="center"/>
              <w:rPr>
                <w:rFonts w:ascii="Times New Roman" w:hAnsi="Times New Roman" w:cs="Times New Roman" w:eastAsia="Times New Roman" w:hint="default"/>
                <w:sz w:val="18"/>
                <w:szCs w:val="18"/>
              </w:rPr>
            </w:pPr>
            <w:r>
              <w:rPr>
                <w:rFonts w:ascii="Times New Roman"/>
                <w:sz w:val="18"/>
              </w:rPr>
              <w:t>13,376,276.62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-33,520,467.33</w:t>
            </w: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18"/>
                <w:szCs w:val="18"/>
              </w:rPr>
            </w:pPr>
            <w:r>
              <w:rPr>
                <w:rFonts w:ascii="Times New Roman"/>
                <w:spacing w:val="-1"/>
                <w:sz w:val="18"/>
              </w:rPr>
              <w:t>-2,252,272.11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center"/>
              <w:rPr>
                <w:rFonts w:ascii="Times New Roman" w:hAnsi="Times New Roman" w:cs="Times New Roman" w:eastAsia="Times New Roman" w:hint="default"/>
                <w:sz w:val="18"/>
                <w:szCs w:val="18"/>
              </w:rPr>
            </w:pPr>
            <w:r>
              <w:rPr>
                <w:rFonts w:ascii="Times New Roman"/>
                <w:sz w:val="18"/>
              </w:rPr>
              <w:t>113,786,852.97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2"/>
                <w:sz w:val="18"/>
              </w:rPr>
              <w:t>114,324,530.19</w:t>
            </w: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6" w:right="0"/>
              <w:jc w:val="center"/>
              <w:rPr>
                <w:rFonts w:ascii="Times New Roman" w:hAnsi="Times New Roman" w:cs="Times New Roman" w:eastAsia="Times New Roman" w:hint="default"/>
                <w:sz w:val="18"/>
                <w:szCs w:val="18"/>
              </w:rPr>
            </w:pPr>
            <w:r>
              <w:rPr>
                <w:rFonts w:ascii="Times New Roman"/>
                <w:sz w:val="18"/>
              </w:rPr>
              <w:t>-40,363,995.00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-40,363,995.00</w:t>
            </w:r>
          </w:p>
        </w:tc>
      </w:tr>
      <w:tr>
        <w:trPr>
          <w:trHeight w:val="557"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．其他权益工具持有者投入资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
              <w:jc w:val="right"/>
              <w:rPr>
                <w:rFonts w:ascii="Times New Roman" w:hAnsi="Times New Roman" w:cs="Times New Roman" w:eastAsia="Times New Roman" w:hint="default"/>
                <w:sz w:val="18"/>
                <w:szCs w:val="18"/>
              </w:rPr>
            </w:pPr>
            <w:r>
              <w:rPr>
                <w:rFonts w:ascii="Times New Roman"/>
                <w:spacing w:val="-1"/>
                <w:sz w:val="18"/>
              </w:rPr>
              <w:t>-2,252,272.11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5" w:right="0"/>
              <w:jc w:val="center"/>
              <w:rPr>
                <w:rFonts w:ascii="Times New Roman" w:hAnsi="Times New Roman" w:cs="Times New Roman" w:eastAsia="Times New Roman" w:hint="default"/>
                <w:sz w:val="18"/>
                <w:szCs w:val="18"/>
              </w:rPr>
            </w:pPr>
            <w:r>
              <w:rPr>
                <w:rFonts w:ascii="Times New Roman"/>
                <w:sz w:val="18"/>
              </w:rPr>
              <w:t>154,150,847.97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154,688,525.19</w:t>
            </w: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．对所有者（或股东）的分配</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68" w:footer="978" w:top="1060" w:bottom="1160" w:left="760" w:right="760"/>
          <w:pgNumType w:start="77"/>
        </w:sectPr>
      </w:pPr>
    </w:p>
    <w:p>
      <w:pPr>
        <w:spacing w:line="240" w:lineRule="auto" w:before="10"/>
        <w:rPr>
          <w:rFonts w:ascii="宋体" w:hAnsi="宋体" w:cs="宋体" w:eastAsia="宋体" w:hint="default"/>
          <w:sz w:val="2"/>
          <w:szCs w:val="2"/>
        </w:rPr>
      </w:pPr>
      <w:r>
        <w:rPr/>
        <w:pict>
          <v:shape style="position:absolute;margin-left:159.959pt;margin-top:73.249985pt;width:68.650pt;height:15.75pt;mso-position-horizontal-relative:page;mso-position-vertical-relative:page;z-index:-1013008" type="#_x0000_t202" filled="false" stroked="false">
            <v:textbox inset="0,0,0,0">
              <w:txbxContent>
                <w:p>
                  <w:pPr>
                    <w:pStyle w:val="BodyText"/>
                    <w:spacing w:line="240" w:lineRule="auto" w:before="13"/>
                    <w:ind w:left="0" w:right="0"/>
                    <w:jc w:val="left"/>
                  </w:pPr>
                  <w:r>
                    <w:rPr/>
                    <w:t>）</w:t>
                  </w:r>
                </w:p>
              </w:txbxContent>
            </v:textbox>
            <w10:wrap type="none"/>
          </v:shape>
        </w:pict>
      </w:r>
      <w:r>
        <w:rPr/>
        <w:pict>
          <v:shape style="position:absolute;margin-left:159.959pt;margin-top:89.399986pt;width:68.650pt;height:15.75pt;mso-position-horizontal-relative:page;mso-position-vertical-relative:page;z-index:-1012984" type="#_x0000_t202" filled="false" stroked="false">
            <v:textbox inset="0,0,0,0">
              <w:txbxContent>
                <w:p>
                  <w:pPr>
                    <w:pStyle w:val="BodyText"/>
                    <w:spacing w:line="240" w:lineRule="auto" w:before="14"/>
                    <w:ind w:left="0" w:right="0"/>
                    <w:jc w:val="left"/>
                  </w:pPr>
                  <w:r>
                    <w:rPr/>
                    <w:t>）</w:t>
                  </w:r>
                </w:p>
              </w:txbxContent>
            </v:textbox>
            <w10:wrap type="none"/>
          </v:shape>
        </w:pict>
      </w:r>
      <w:r>
        <w:rPr/>
        <w:pict>
          <v:group style="position:absolute;margin-left:166.050003pt;margin-top:73.249985pt;width:62.55pt;height:32.0500pt;mso-position-horizontal-relative:page;mso-position-vertical-relative:page;z-index:-1012960" coordorigin="3321,1465" coordsize="1251,641">
            <v:group style="position:absolute;left:3321;top:1465;width:1251;height:318" coordorigin="3321,1465" coordsize="1251,318">
              <v:shape style="position:absolute;left:3321;top:1465;width:1251;height:318" coordorigin="3321,1465" coordsize="1251,318" path="m3321,1465l4572,1465,4572,1783,3321,1783,3321,1465xe" filled="true" fillcolor="#ffffff" stroked="false">
                <v:path arrowok="t"/>
                <v:fill type="solid"/>
              </v:shape>
            </v:group>
            <v:group style="position:absolute;left:3321;top:1788;width:1251;height:318" coordorigin="3321,1788" coordsize="1251,318">
              <v:shape style="position:absolute;left:3321;top:1788;width:1251;height:318" coordorigin="3321,1788" coordsize="1251,318" path="m3321,1788l4572,1788,4572,2106,3321,2106,3321,178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438"/>
        <w:gridCol w:w="1256"/>
        <w:gridCol w:w="531"/>
        <w:gridCol w:w="531"/>
        <w:gridCol w:w="531"/>
        <w:gridCol w:w="1421"/>
        <w:gridCol w:w="665"/>
        <w:gridCol w:w="1320"/>
        <w:gridCol w:w="530"/>
        <w:gridCol w:w="1177"/>
        <w:gridCol w:w="665"/>
        <w:gridCol w:w="1320"/>
        <w:gridCol w:w="1276"/>
        <w:gridCol w:w="1417"/>
      </w:tblGrid>
      <w:tr>
        <w:trPr>
          <w:trHeight w:val="338" w:hRule="exact"/>
        </w:trPr>
        <w:tc>
          <w:tcPr>
            <w:tcW w:w="2438"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6"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1421"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320" w:type="dxa"/>
            <w:tcBorders>
              <w:top w:val="single" w:sz="16" w:space="0" w:color="000000"/>
              <w:left w:val="single" w:sz="4" w:space="0" w:color="000000"/>
              <w:bottom w:val="single" w:sz="4" w:space="0" w:color="000000"/>
              <w:right w:val="single" w:sz="4" w:space="0" w:color="000000"/>
            </w:tcBorders>
          </w:tcPr>
          <w:p>
            <w:pPr/>
          </w:p>
        </w:tc>
        <w:tc>
          <w:tcPr>
            <w:tcW w:w="530" w:type="dxa"/>
            <w:tcBorders>
              <w:top w:val="single" w:sz="16" w:space="0" w:color="000000"/>
              <w:left w:val="single" w:sz="4" w:space="0" w:color="000000"/>
              <w:bottom w:val="single" w:sz="4" w:space="0" w:color="000000"/>
              <w:right w:val="single" w:sz="4" w:space="0" w:color="000000"/>
            </w:tcBorders>
          </w:tcPr>
          <w:p>
            <w:pPr/>
          </w:p>
        </w:tc>
        <w:tc>
          <w:tcPr>
            <w:tcW w:w="1177"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320" w:type="dxa"/>
            <w:tcBorders>
              <w:top w:val="single" w:sz="16" w:space="0" w:color="000000"/>
              <w:left w:val="single" w:sz="4" w:space="0" w:color="000000"/>
              <w:bottom w:val="single" w:sz="4" w:space="0" w:color="000000"/>
              <w:right w:val="single" w:sz="4" w:space="0" w:color="000000"/>
            </w:tcBorders>
          </w:tcPr>
          <w:p>
            <w:pPr/>
          </w:p>
        </w:tc>
        <w:tc>
          <w:tcPr>
            <w:tcW w:w="1276"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．资本公积转增资本（或股本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．盈余公积转增资本（或股本</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Times New Roman"/>
                <w:sz w:val="18"/>
              </w:rPr>
              <w:t>765,799,353.00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2,087,760,045.87</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1" w:right="0"/>
              <w:jc w:val="left"/>
              <w:rPr>
                <w:rFonts w:ascii="Times New Roman" w:hAnsi="Times New Roman" w:cs="Times New Roman" w:eastAsia="Times New Roman" w:hint="default"/>
                <w:sz w:val="18"/>
                <w:szCs w:val="18"/>
              </w:rPr>
            </w:pPr>
            <w:r>
              <w:rPr>
                <w:rFonts w:ascii="Times New Roman"/>
                <w:sz w:val="18"/>
              </w:rPr>
              <w:t>7,481,773.91</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8" w:right="0"/>
              <w:jc w:val="left"/>
              <w:rPr>
                <w:rFonts w:ascii="Times New Roman" w:hAnsi="Times New Roman" w:cs="Times New Roman" w:eastAsia="Times New Roman" w:hint="default"/>
                <w:sz w:val="18"/>
                <w:szCs w:val="18"/>
              </w:rPr>
            </w:pPr>
            <w:r>
              <w:rPr>
                <w:rFonts w:ascii="Times New Roman"/>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-143,597,876.20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left"/>
              <w:rPr>
                <w:rFonts w:ascii="Times New Roman" w:hAnsi="Times New Roman" w:cs="Times New Roman" w:eastAsia="Times New Roman" w:hint="default"/>
                <w:sz w:val="18"/>
                <w:szCs w:val="18"/>
              </w:rPr>
            </w:pPr>
            <w:r>
              <w:rPr>
                <w:rFonts w:ascii="Times New Roman"/>
                <w:sz w:val="18"/>
              </w:rPr>
              <w:t>183,242,001.93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sz w:val="18"/>
              </w:rPr>
              <w:t>2,928,701,303.04</w:t>
            </w:r>
          </w:p>
        </w:tc>
      </w:tr>
    </w:tbl>
    <w:p>
      <w:pPr>
        <w:pStyle w:val="BodyText"/>
        <w:spacing w:line="240" w:lineRule="auto" w:before="11"/>
        <w:ind w:left="680" w:right="0"/>
        <w:jc w:val="left"/>
      </w:pPr>
      <w:r>
        <w:rPr/>
        <w:t>上期金额</w:t>
      </w:r>
    </w:p>
    <w:p>
      <w:pPr>
        <w:pStyle w:val="BodyText"/>
        <w:spacing w:line="240" w:lineRule="auto" w:before="38"/>
        <w:ind w:left="0" w:right="697"/>
        <w:jc w:val="right"/>
      </w:pPr>
      <w:r>
        <w:rPr/>
        <w:t>单位：元</w:t>
      </w:r>
    </w:p>
    <w:p>
      <w:pPr>
        <w:spacing w:line="240" w:lineRule="auto" w:before="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51"/>
        <w:gridCol w:w="1257"/>
        <w:gridCol w:w="531"/>
        <w:gridCol w:w="531"/>
        <w:gridCol w:w="531"/>
        <w:gridCol w:w="1383"/>
        <w:gridCol w:w="665"/>
        <w:gridCol w:w="1177"/>
        <w:gridCol w:w="512"/>
        <w:gridCol w:w="1189"/>
        <w:gridCol w:w="665"/>
        <w:gridCol w:w="1278"/>
        <w:gridCol w:w="1318"/>
        <w:gridCol w:w="1416"/>
      </w:tblGrid>
      <w:tr>
        <w:trPr>
          <w:trHeight w:val="324" w:hRule="exact"/>
        </w:trPr>
        <w:tc>
          <w:tcPr>
            <w:tcW w:w="2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2651" w:type="dxa"/>
            <w:vMerge/>
            <w:tcBorders>
              <w:left w:val="single" w:sz="4" w:space="0" w:color="000000"/>
              <w:right w:val="single" w:sz="4" w:space="0" w:color="000000"/>
            </w:tcBorders>
            <w:shd w:val="clear" w:color="auto" w:fill="D2D2D2"/>
          </w:tcPr>
          <w:p>
            <w:pPr/>
          </w:p>
        </w:tc>
        <w:tc>
          <w:tcPr>
            <w:tcW w:w="971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2651" w:type="dxa"/>
            <w:vMerge/>
            <w:tcBorders>
              <w:left w:val="single" w:sz="4" w:space="0" w:color="000000"/>
              <w:right w:val="single" w:sz="4" w:space="0" w:color="000000"/>
            </w:tcBorders>
            <w:shd w:val="clear" w:color="auto" w:fill="D2D2D2"/>
          </w:tcPr>
          <w:p>
            <w:pPr/>
          </w:p>
        </w:tc>
        <w:tc>
          <w:tcPr>
            <w:tcW w:w="12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147"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71" w:right="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556" w:hRule="exact"/>
        </w:trPr>
        <w:tc>
          <w:tcPr>
            <w:tcW w:w="2651" w:type="dxa"/>
            <w:vMerge/>
            <w:tcBorders>
              <w:left w:val="single" w:sz="4" w:space="0" w:color="000000"/>
              <w:bottom w:val="single" w:sz="4" w:space="0" w:color="000000"/>
              <w:right w:val="single" w:sz="4" w:space="0" w:color="000000"/>
            </w:tcBorders>
            <w:shd w:val="clear" w:color="auto" w:fill="D2D2D2"/>
          </w:tcPr>
          <w:p>
            <w:pPr/>
          </w:p>
        </w:tc>
        <w:tc>
          <w:tcPr>
            <w:tcW w:w="1257"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68"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70"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4" w:right="0"/>
              <w:jc w:val="center"/>
              <w:rPr>
                <w:rFonts w:ascii="Times New Roman" w:hAnsi="Times New Roman" w:cs="Times New Roman" w:eastAsia="Times New Roman" w:hint="default"/>
                <w:sz w:val="18"/>
                <w:szCs w:val="18"/>
              </w:rPr>
            </w:pPr>
            <w:r>
              <w:rPr>
                <w:rFonts w:ascii="Times New Roman"/>
                <w:sz w:val="18"/>
              </w:rPr>
              <w:t>472,113,600.00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386,051,452.96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7,759,395.00</w:t>
            </w: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-255,048,948.44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63,842,792.46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702,734,296.51</w:t>
            </w: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4" w:right="0"/>
              <w:jc w:val="center"/>
              <w:rPr>
                <w:rFonts w:ascii="Times New Roman" w:hAnsi="Times New Roman" w:cs="Times New Roman" w:eastAsia="Times New Roman" w:hint="default"/>
                <w:sz w:val="18"/>
                <w:szCs w:val="18"/>
              </w:rPr>
            </w:pPr>
            <w:r>
              <w:rPr>
                <w:rFonts w:ascii="Times New Roman"/>
                <w:sz w:val="18"/>
              </w:rPr>
              <w:t>472,113,600.00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386,051,452.96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7,759,395.00</w:t>
            </w: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-255,048,948.44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63,842,792.46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702,734,296.51</w:t>
            </w:r>
          </w:p>
        </w:tc>
      </w:tr>
      <w:tr>
        <w:trPr>
          <w:trHeight w:val="557"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293,685,753.00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110,834,709.53</w:t>
            </w: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49,487,757.68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-7,763,920.12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2,145,162,943.67</w:t>
            </w: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110,834,709.53</w:t>
            </w: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45,818,308.29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-12,097,225.97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144,555,791.85</w:t>
            </w: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center"/>
              <w:rPr>
                <w:rFonts w:ascii="Times New Roman" w:hAnsi="Times New Roman" w:cs="Times New Roman" w:eastAsia="Times New Roman" w:hint="default"/>
                <w:sz w:val="18"/>
                <w:szCs w:val="18"/>
              </w:rPr>
            </w:pPr>
            <w:r>
              <w:rPr>
                <w:rFonts w:ascii="Times New Roman"/>
                <w:sz w:val="18"/>
              </w:rPr>
              <w:t>293,685,753.00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3,669,449.39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12,464,196.92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2,008,738,042.89</w:t>
            </w: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center"/>
              <w:rPr>
                <w:rFonts w:ascii="Times New Roman" w:hAnsi="Times New Roman" w:cs="Times New Roman" w:eastAsia="Times New Roman" w:hint="default"/>
                <w:sz w:val="18"/>
                <w:szCs w:val="18"/>
              </w:rPr>
            </w:pPr>
            <w:r>
              <w:rPr>
                <w:rFonts w:ascii="Times New Roman"/>
                <w:sz w:val="18"/>
              </w:rPr>
              <w:t>293,685,753.00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8,820,000.00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2,001,424,396.58</w:t>
            </w: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760" w:right="740"/>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51"/>
        <w:gridCol w:w="1257"/>
        <w:gridCol w:w="531"/>
        <w:gridCol w:w="531"/>
        <w:gridCol w:w="531"/>
        <w:gridCol w:w="1383"/>
        <w:gridCol w:w="665"/>
        <w:gridCol w:w="1177"/>
        <w:gridCol w:w="512"/>
        <w:gridCol w:w="1189"/>
        <w:gridCol w:w="665"/>
        <w:gridCol w:w="1278"/>
        <w:gridCol w:w="1318"/>
        <w:gridCol w:w="1416"/>
      </w:tblGrid>
      <w:tr>
        <w:trPr>
          <w:trHeight w:val="298" w:hRule="exact"/>
        </w:trPr>
        <w:tc>
          <w:tcPr>
            <w:tcW w:w="2651"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57"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531" w:type="dxa"/>
            <w:tcBorders>
              <w:top w:val="single" w:sz="16" w:space="0" w:color="000000"/>
              <w:left w:val="single" w:sz="4" w:space="0" w:color="000000"/>
              <w:bottom w:val="single" w:sz="4" w:space="0" w:color="000000"/>
              <w:right w:val="single" w:sz="4" w:space="0" w:color="000000"/>
            </w:tcBorders>
          </w:tcPr>
          <w:p>
            <w:pPr/>
          </w:p>
        </w:tc>
        <w:tc>
          <w:tcPr>
            <w:tcW w:w="1383"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177" w:type="dxa"/>
            <w:tcBorders>
              <w:top w:val="single" w:sz="16" w:space="0" w:color="000000"/>
              <w:left w:val="single" w:sz="4" w:space="0" w:color="000000"/>
              <w:bottom w:val="single" w:sz="4" w:space="0" w:color="000000"/>
              <w:right w:val="single" w:sz="4" w:space="0" w:color="000000"/>
            </w:tcBorders>
          </w:tcPr>
          <w:p>
            <w:pPr/>
          </w:p>
        </w:tc>
        <w:tc>
          <w:tcPr>
            <w:tcW w:w="512" w:type="dxa"/>
            <w:tcBorders>
              <w:top w:val="single" w:sz="16" w:space="0" w:color="000000"/>
              <w:left w:val="single" w:sz="4" w:space="0" w:color="000000"/>
              <w:bottom w:val="single" w:sz="4" w:space="0" w:color="000000"/>
              <w:right w:val="single" w:sz="4" w:space="0" w:color="000000"/>
            </w:tcBorders>
          </w:tcPr>
          <w:p>
            <w:pPr/>
          </w:p>
        </w:tc>
        <w:tc>
          <w:tcPr>
            <w:tcW w:w="1189"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278" w:type="dxa"/>
            <w:tcBorders>
              <w:top w:val="single" w:sz="16" w:space="0" w:color="000000"/>
              <w:left w:val="single" w:sz="4" w:space="0" w:color="000000"/>
              <w:bottom w:val="single" w:sz="4" w:space="0" w:color="000000"/>
              <w:right w:val="single" w:sz="4" w:space="0" w:color="000000"/>
            </w:tcBorders>
          </w:tcPr>
          <w:p>
            <w:pPr/>
          </w:p>
        </w:tc>
        <w:tc>
          <w:tcPr>
            <w:tcW w:w="1318" w:type="dxa"/>
            <w:tcBorders>
              <w:top w:val="single" w:sz="16" w:space="0" w:color="000000"/>
              <w:left w:val="single" w:sz="4" w:space="0" w:color="000000"/>
              <w:bottom w:val="single" w:sz="4" w:space="0" w:color="000000"/>
              <w:right w:val="single" w:sz="4" w:space="0" w:color="000000"/>
            </w:tcBorders>
          </w:tcPr>
          <w:p>
            <w:pPr/>
          </w:p>
        </w:tc>
        <w:tc>
          <w:tcPr>
            <w:tcW w:w="1416" w:type="dxa"/>
            <w:tcBorders>
              <w:top w:val="single" w:sz="16"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3,669,449.39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3,644,196.92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7,313,646.31</w:t>
            </w: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-8,130,891.07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-8,130,891.07</w:t>
            </w: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-8,130,891.07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-8,130,891.07</w:t>
            </w: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8" w:right="0"/>
              <w:jc w:val="left"/>
              <w:rPr>
                <w:rFonts w:ascii="Times New Roman" w:hAnsi="Times New Roman" w:cs="Times New Roman" w:eastAsia="Times New Roman" w:hint="default"/>
                <w:sz w:val="18"/>
                <w:szCs w:val="18"/>
              </w:rPr>
            </w:pPr>
            <w:r>
              <w:rPr>
                <w:rFonts w:ascii="Times New Roman"/>
                <w:sz w:val="18"/>
              </w:rPr>
              <w:t>765,799,353.00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left"/>
              <w:rPr>
                <w:rFonts w:ascii="Times New Roman" w:hAnsi="Times New Roman" w:cs="Times New Roman" w:eastAsia="Times New Roman" w:hint="default"/>
                <w:sz w:val="18"/>
                <w:szCs w:val="18"/>
              </w:rPr>
            </w:pPr>
            <w:r>
              <w:rPr>
                <w:rFonts w:ascii="Times New Roman"/>
                <w:sz w:val="18"/>
              </w:rPr>
              <w:t>2,084,970,096.54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Times New Roman" w:hAnsi="Times New Roman" w:cs="Times New Roman" w:eastAsia="Times New Roman" w:hint="default"/>
                <w:sz w:val="18"/>
                <w:szCs w:val="18"/>
              </w:rPr>
            </w:pPr>
            <w:r>
              <w:rPr>
                <w:rFonts w:ascii="Times New Roman"/>
                <w:sz w:val="18"/>
              </w:rPr>
              <w:t>118,594,104.53</w:t>
            </w:r>
          </w:p>
        </w:tc>
        <w:tc>
          <w:tcPr>
            <w:tcW w:w="51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 w:right="0"/>
              <w:jc w:val="left"/>
              <w:rPr>
                <w:rFonts w:ascii="Times New Roman" w:hAnsi="Times New Roman" w:cs="Times New Roman" w:eastAsia="Times New Roman" w:hint="default"/>
                <w:sz w:val="18"/>
                <w:szCs w:val="18"/>
              </w:rPr>
            </w:pPr>
            <w:r>
              <w:rPr>
                <w:rFonts w:ascii="Times New Roman"/>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-205,561,190.76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56,078,872.34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2,847,897,240.18</w:t>
            </w:r>
          </w:p>
        </w:tc>
      </w:tr>
    </w:tbl>
    <w:p>
      <w:pPr>
        <w:spacing w:line="240" w:lineRule="auto" w:before="9"/>
        <w:rPr>
          <w:rFonts w:ascii="宋体" w:hAnsi="宋体" w:cs="宋体" w:eastAsia="宋体" w:hint="default"/>
          <w:sz w:val="17"/>
          <w:szCs w:val="17"/>
        </w:rPr>
      </w:pPr>
    </w:p>
    <w:p>
      <w:pPr>
        <w:pStyle w:val="Heading3"/>
        <w:spacing w:line="240" w:lineRule="auto" w:before="34"/>
        <w:ind w:left="68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680" w:right="0"/>
        <w:jc w:val="left"/>
      </w:pPr>
      <w:r>
        <w:rPr/>
        <w:t>本期金额</w:t>
      </w:r>
    </w:p>
    <w:p>
      <w:pPr>
        <w:pStyle w:val="BodyText"/>
        <w:spacing w:line="240" w:lineRule="auto" w:before="38"/>
        <w:ind w:left="0" w:right="697"/>
        <w:jc w:val="right"/>
      </w:pPr>
      <w:r>
        <w:rPr/>
        <w:t>单位：元</w:t>
      </w:r>
    </w:p>
    <w:p>
      <w:pPr>
        <w:spacing w:line="240" w:lineRule="auto" w:before="2"/>
        <w:rPr>
          <w:rFonts w:ascii="宋体" w:hAnsi="宋体" w:cs="宋体" w:eastAsia="宋体" w:hint="default"/>
          <w:sz w:val="5"/>
          <w:szCs w:val="5"/>
        </w:rPr>
      </w:pPr>
    </w:p>
    <w:tbl>
      <w:tblPr>
        <w:tblW w:w="0" w:type="auto"/>
        <w:jc w:val="left"/>
        <w:tblInd w:w="392" w:type="dxa"/>
        <w:tblLayout w:type="fixed"/>
        <w:tblCellMar>
          <w:top w:w="0" w:type="dxa"/>
          <w:left w:w="0" w:type="dxa"/>
          <w:bottom w:w="0" w:type="dxa"/>
          <w:right w:w="0" w:type="dxa"/>
        </w:tblCellMar>
        <w:tblLook w:val="01E0"/>
      </w:tblPr>
      <w:tblGrid>
        <w:gridCol w:w="3402"/>
        <w:gridCol w:w="1253"/>
        <w:gridCol w:w="567"/>
        <w:gridCol w:w="567"/>
        <w:gridCol w:w="665"/>
        <w:gridCol w:w="1407"/>
        <w:gridCol w:w="798"/>
        <w:gridCol w:w="1328"/>
        <w:gridCol w:w="567"/>
        <w:gridCol w:w="1186"/>
        <w:gridCol w:w="1365"/>
        <w:gridCol w:w="1418"/>
      </w:tblGrid>
      <w:tr>
        <w:trPr>
          <w:trHeight w:val="323"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3402" w:type="dxa"/>
            <w:vMerge/>
            <w:tcBorders>
              <w:left w:val="single" w:sz="4" w:space="0" w:color="000000"/>
              <w:right w:val="single" w:sz="4" w:space="0" w:color="000000"/>
            </w:tcBorders>
            <w:shd w:val="clear" w:color="auto" w:fill="D2D2D2"/>
          </w:tcPr>
          <w:p>
            <w:pPr/>
          </w:p>
        </w:tc>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303" w:right="31"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97"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557"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253"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7" w:right="9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87" w:right="9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 w:right="0"/>
              <w:jc w:val="left"/>
              <w:rPr>
                <w:rFonts w:ascii="Times New Roman" w:hAnsi="Times New Roman" w:cs="Times New Roman" w:eastAsia="Times New Roman" w:hint="default"/>
                <w:sz w:val="18"/>
                <w:szCs w:val="18"/>
              </w:rPr>
            </w:pPr>
            <w:r>
              <w:rPr>
                <w:rFonts w:ascii="Times New Roman"/>
                <w:sz w:val="18"/>
              </w:rPr>
              <w:t>765,799,353.00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 w:right="0"/>
              <w:jc w:val="left"/>
              <w:rPr>
                <w:rFonts w:ascii="Times New Roman" w:hAnsi="Times New Roman" w:cs="Times New Roman" w:eastAsia="Times New Roman" w:hint="default"/>
                <w:sz w:val="18"/>
                <w:szCs w:val="18"/>
              </w:rPr>
            </w:pPr>
            <w:r>
              <w:rPr>
                <w:rFonts w:ascii="Times New Roman"/>
                <w:sz w:val="18"/>
              </w:rPr>
              <w:t>2,091,317,273.82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8"/>
                <w:szCs w:val="18"/>
              </w:rPr>
            </w:pPr>
            <w:r>
              <w:rPr>
                <w:rFonts w:ascii="Times New Roman"/>
                <w:sz w:val="18"/>
              </w:rPr>
              <w:t>118,594,104.53</w:t>
            </w: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8" w:right="0"/>
              <w:jc w:val="left"/>
              <w:rPr>
                <w:rFonts w:ascii="Times New Roman" w:hAnsi="Times New Roman" w:cs="Times New Roman" w:eastAsia="Times New Roman" w:hint="default"/>
                <w:sz w:val="18"/>
                <w:szCs w:val="18"/>
              </w:rPr>
            </w:pPr>
            <w:r>
              <w:rPr>
                <w:rFonts w:ascii="Times New Roman"/>
                <w:sz w:val="18"/>
              </w:rPr>
              <w:t>28,016,004.53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-130,969,303.01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5" w:right="0"/>
              <w:jc w:val="left"/>
              <w:rPr>
                <w:rFonts w:ascii="Times New Roman" w:hAnsi="Times New Roman" w:cs="Times New Roman" w:eastAsia="Times New Roman" w:hint="default"/>
                <w:sz w:val="18"/>
                <w:szCs w:val="18"/>
              </w:rPr>
            </w:pPr>
            <w:r>
              <w:rPr>
                <w:rFonts w:ascii="Times New Roman"/>
                <w:sz w:val="18"/>
              </w:rPr>
              <w:t>2,872,757,432.87</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6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56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760" w:right="740"/>
        </w:sectPr>
      </w:pPr>
    </w:p>
    <w:p>
      <w:pPr>
        <w:spacing w:line="240" w:lineRule="auto" w:before="10"/>
        <w:rPr>
          <w:rFonts w:ascii="宋体" w:hAnsi="宋体" w:cs="宋体" w:eastAsia="宋体" w:hint="default"/>
          <w:sz w:val="2"/>
          <w:szCs w:val="2"/>
        </w:rPr>
      </w:pPr>
      <w:r>
        <w:rPr/>
        <w:pict>
          <v:shape style="position:absolute;margin-left:222pt;margin-top:73.249985pt;width:68.5pt;height:15.75pt;mso-position-horizontal-relative:page;mso-position-vertical-relative:page;z-index:-1012912" type="#_x0000_t202" filled="false" stroked="false">
            <v:textbox inset="0,0,0,0">
              <w:txbxContent>
                <w:p>
                  <w:pPr>
                    <w:pStyle w:val="BodyText"/>
                    <w:spacing w:line="240" w:lineRule="auto" w:before="13"/>
                    <w:ind w:left="0" w:right="0"/>
                    <w:jc w:val="left"/>
                  </w:pPr>
                  <w:r>
                    <w:rPr/>
                    <w:t>）</w:t>
                  </w:r>
                </w:p>
              </w:txbxContent>
            </v:textbox>
            <w10:wrap type="none"/>
          </v:shape>
        </w:pict>
      </w:r>
    </w:p>
    <w:tbl>
      <w:tblPr>
        <w:tblW w:w="0" w:type="auto"/>
        <w:jc w:val="left"/>
        <w:tblInd w:w="112" w:type="dxa"/>
        <w:tblLayout w:type="fixed"/>
        <w:tblCellMar>
          <w:top w:w="0" w:type="dxa"/>
          <w:left w:w="0" w:type="dxa"/>
          <w:bottom w:w="0" w:type="dxa"/>
          <w:right w:w="0" w:type="dxa"/>
        </w:tblCellMar>
        <w:tblLook w:val="01E0"/>
      </w:tblPr>
      <w:tblGrid>
        <w:gridCol w:w="3402"/>
        <w:gridCol w:w="1253"/>
        <w:gridCol w:w="567"/>
        <w:gridCol w:w="567"/>
        <w:gridCol w:w="665"/>
        <w:gridCol w:w="1407"/>
        <w:gridCol w:w="798"/>
        <w:gridCol w:w="1328"/>
        <w:gridCol w:w="567"/>
        <w:gridCol w:w="1186"/>
        <w:gridCol w:w="1365"/>
        <w:gridCol w:w="1418"/>
      </w:tblGrid>
      <w:tr>
        <w:trPr>
          <w:trHeight w:val="338" w:hRule="exact"/>
        </w:trPr>
        <w:tc>
          <w:tcPr>
            <w:tcW w:w="3402"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765,799,353.00</w:t>
            </w:r>
          </w:p>
        </w:tc>
        <w:tc>
          <w:tcPr>
            <w:tcW w:w="567" w:type="dxa"/>
            <w:tcBorders>
              <w:top w:val="single" w:sz="16" w:space="0" w:color="000000"/>
              <w:left w:val="single" w:sz="4" w:space="0" w:color="000000"/>
              <w:bottom w:val="single" w:sz="4" w:space="0" w:color="000000"/>
              <w:right w:val="single" w:sz="4" w:space="0" w:color="000000"/>
            </w:tcBorders>
          </w:tcPr>
          <w:p>
            <w:pPr/>
          </w:p>
        </w:tc>
        <w:tc>
          <w:tcPr>
            <w:tcW w:w="567"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40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2,091,317,273.82</w:t>
            </w:r>
          </w:p>
        </w:tc>
        <w:tc>
          <w:tcPr>
            <w:tcW w:w="798" w:type="dxa"/>
            <w:tcBorders>
              <w:top w:val="single" w:sz="16" w:space="0" w:color="000000"/>
              <w:left w:val="single" w:sz="4" w:space="0" w:color="000000"/>
              <w:bottom w:val="single" w:sz="4" w:space="0" w:color="000000"/>
              <w:right w:val="single" w:sz="4" w:space="0" w:color="000000"/>
            </w:tcBorders>
          </w:tcPr>
          <w:p>
            <w:pPr/>
          </w:p>
        </w:tc>
        <w:tc>
          <w:tcPr>
            <w:tcW w:w="132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118,594,104.53</w:t>
            </w:r>
          </w:p>
        </w:tc>
        <w:tc>
          <w:tcPr>
            <w:tcW w:w="567" w:type="dxa"/>
            <w:tcBorders>
              <w:top w:val="single" w:sz="16" w:space="0" w:color="000000"/>
              <w:left w:val="single" w:sz="4" w:space="0" w:color="000000"/>
              <w:bottom w:val="single" w:sz="4" w:space="0" w:color="000000"/>
              <w:right w:val="single" w:sz="4" w:space="0" w:color="000000"/>
            </w:tcBorders>
          </w:tcPr>
          <w:p>
            <w:pPr/>
          </w:p>
        </w:tc>
        <w:tc>
          <w:tcPr>
            <w:tcW w:w="118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136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-130,969,303.01</w:t>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2,872,757,432.87</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2"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62.4pt;height:15.9pt;mso-position-horizontal-relative:char;mso-position-vertical-relative:line" coordorigin="0,0" coordsize="1248,318">
                  <v:group style="position:absolute;left:0;top:0;width:1248;height:318" coordorigin="0,0" coordsize="1248,318">
                    <v:shape style="position:absolute;left:0;top:0;width:1248;height:318" coordorigin="0,0" coordsize="1248,318" path="m0,0l1248,0,1248,318,0,318,0,0xe" filled="true" fillcolor="#ffffff" stroked="false">
                      <v:path arrowok="t"/>
                      <v:fill type="solid"/>
                    </v:shape>
                  </v:group>
                </v:group>
              </w:pict>
            </w:r>
            <w:r>
              <w:rPr>
                <w:rFonts w:ascii="宋体" w:hAnsi="宋体" w:cs="宋体" w:eastAsia="宋体" w:hint="default"/>
                <w:position w:val="-5"/>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2"/>
                <w:sz w:val="18"/>
              </w:rPr>
              <w:t>-111,112,330.62</w:t>
            </w: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-69,161,658.48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-177,484,039.77</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2"/>
                <w:sz w:val="18"/>
              </w:rPr>
              <w:t>-111,112,330.62</w:t>
            </w: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-69,161,658.48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-180,273,989.10</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2,789,949.33</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2,789,949.33</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765,799,353.00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2,094,107,223.15</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7,481,773.91</w:t>
            </w:r>
          </w:p>
        </w:tc>
        <w:tc>
          <w:tcPr>
            <w:tcW w:w="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-200,130,961.49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2,695,273,393.10</w:t>
            </w:r>
          </w:p>
        </w:tc>
      </w:tr>
    </w:tbl>
    <w:p>
      <w:pPr>
        <w:pStyle w:val="BodyText"/>
        <w:spacing w:line="240" w:lineRule="auto" w:before="10"/>
        <w:ind w:left="400" w:right="0"/>
        <w:jc w:val="left"/>
      </w:pPr>
      <w:r>
        <w:rPr/>
        <w:t>上期金额</w:t>
      </w:r>
    </w:p>
    <w:p>
      <w:pPr>
        <w:pStyle w:val="BodyText"/>
        <w:spacing w:line="240" w:lineRule="auto" w:before="38"/>
        <w:ind w:left="0" w:right="397"/>
        <w:jc w:val="right"/>
      </w:pPr>
      <w:r>
        <w:rPr/>
        <w:t>单位：元</w:t>
      </w:r>
    </w:p>
    <w:p>
      <w:pPr>
        <w:spacing w:line="240" w:lineRule="auto" w:before="2"/>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77"/>
        <w:gridCol w:w="1253"/>
        <w:gridCol w:w="665"/>
        <w:gridCol w:w="665"/>
        <w:gridCol w:w="665"/>
        <w:gridCol w:w="1548"/>
        <w:gridCol w:w="798"/>
        <w:gridCol w:w="1329"/>
        <w:gridCol w:w="567"/>
        <w:gridCol w:w="1292"/>
        <w:gridCol w:w="1276"/>
        <w:gridCol w:w="1418"/>
      </w:tblGrid>
      <w:tr>
        <w:trPr>
          <w:trHeight w:val="323"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2977" w:type="dxa"/>
            <w:vMerge/>
            <w:tcBorders>
              <w:left w:val="single" w:sz="4" w:space="0" w:color="000000"/>
              <w:right w:val="single" w:sz="4" w:space="0" w:color="000000"/>
            </w:tcBorders>
            <w:shd w:val="clear" w:color="auto" w:fill="D2D2D2"/>
          </w:tcPr>
          <w:p>
            <w:pPr/>
          </w:p>
        </w:tc>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303" w:right="31"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4"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1253"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472,113,600.00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0" w:right="0"/>
              <w:jc w:val="left"/>
              <w:rPr>
                <w:rFonts w:ascii="Times New Roman" w:hAnsi="Times New Roman" w:cs="Times New Roman" w:eastAsia="Times New Roman" w:hint="default"/>
                <w:sz w:val="18"/>
                <w:szCs w:val="18"/>
              </w:rPr>
            </w:pPr>
            <w:r>
              <w:rPr>
                <w:rFonts w:ascii="Times New Roman"/>
                <w:sz w:val="18"/>
              </w:rPr>
              <w:t>392,398,630.24</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Times New Roman" w:hAnsi="Times New Roman" w:cs="Times New Roman" w:eastAsia="Times New Roman" w:hint="default"/>
                <w:sz w:val="18"/>
                <w:szCs w:val="18"/>
              </w:rPr>
            </w:pPr>
            <w:r>
              <w:rPr>
                <w:rFonts w:ascii="Times New Roman"/>
                <w:sz w:val="18"/>
              </w:rPr>
              <w:t>28,016,004.53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 w:right="0"/>
              <w:jc w:val="left"/>
              <w:rPr>
                <w:rFonts w:ascii="Times New Roman" w:hAnsi="Times New Roman" w:cs="Times New Roman" w:eastAsia="Times New Roman" w:hint="default"/>
                <w:sz w:val="18"/>
                <w:szCs w:val="18"/>
              </w:rPr>
            </w:pPr>
            <w:r>
              <w:rPr>
                <w:rFonts w:ascii="Times New Roman"/>
                <w:sz w:val="18"/>
              </w:rPr>
              <w:t>-110,267,474.81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9" w:right="0"/>
              <w:jc w:val="left"/>
              <w:rPr>
                <w:rFonts w:ascii="Times New Roman" w:hAnsi="Times New Roman" w:cs="Times New Roman" w:eastAsia="Times New Roman" w:hint="default"/>
                <w:sz w:val="18"/>
                <w:szCs w:val="18"/>
              </w:rPr>
            </w:pPr>
            <w:r>
              <w:rPr>
                <w:rFonts w:ascii="Times New Roman"/>
                <w:sz w:val="18"/>
              </w:rPr>
              <w:t>782,260,759.96</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6840" w:h="11910" w:orient="landscape"/>
          <w:pgMar w:footer="978" w:header="868" w:top="1060" w:bottom="1160" w:left="1040" w:right="1040"/>
          <w:pgNumType w:start="8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977"/>
        <w:gridCol w:w="1253"/>
        <w:gridCol w:w="665"/>
        <w:gridCol w:w="665"/>
        <w:gridCol w:w="665"/>
        <w:gridCol w:w="1548"/>
        <w:gridCol w:w="798"/>
        <w:gridCol w:w="1329"/>
        <w:gridCol w:w="567"/>
        <w:gridCol w:w="1292"/>
        <w:gridCol w:w="1276"/>
        <w:gridCol w:w="1418"/>
      </w:tblGrid>
      <w:tr>
        <w:trPr>
          <w:trHeight w:val="338" w:hRule="exact"/>
        </w:trPr>
        <w:tc>
          <w:tcPr>
            <w:tcW w:w="2977"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3"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665" w:type="dxa"/>
            <w:tcBorders>
              <w:top w:val="single" w:sz="16" w:space="0" w:color="000000"/>
              <w:left w:val="single" w:sz="4" w:space="0" w:color="000000"/>
              <w:bottom w:val="single" w:sz="4" w:space="0" w:color="000000"/>
              <w:right w:val="single" w:sz="4" w:space="0" w:color="000000"/>
            </w:tcBorders>
          </w:tcPr>
          <w:p>
            <w:pPr/>
          </w:p>
        </w:tc>
        <w:tc>
          <w:tcPr>
            <w:tcW w:w="1548" w:type="dxa"/>
            <w:tcBorders>
              <w:top w:val="single" w:sz="16" w:space="0" w:color="000000"/>
              <w:left w:val="single" w:sz="4" w:space="0" w:color="000000"/>
              <w:bottom w:val="single" w:sz="4" w:space="0" w:color="000000"/>
              <w:right w:val="single" w:sz="4" w:space="0" w:color="000000"/>
            </w:tcBorders>
          </w:tcPr>
          <w:p>
            <w:pPr/>
          </w:p>
        </w:tc>
        <w:tc>
          <w:tcPr>
            <w:tcW w:w="798" w:type="dxa"/>
            <w:tcBorders>
              <w:top w:val="single" w:sz="16" w:space="0" w:color="000000"/>
              <w:left w:val="single" w:sz="4" w:space="0" w:color="000000"/>
              <w:bottom w:val="single" w:sz="4" w:space="0" w:color="000000"/>
              <w:right w:val="single" w:sz="4" w:space="0" w:color="000000"/>
            </w:tcBorders>
          </w:tcPr>
          <w:p>
            <w:pPr/>
          </w:p>
        </w:tc>
        <w:tc>
          <w:tcPr>
            <w:tcW w:w="1329" w:type="dxa"/>
            <w:tcBorders>
              <w:top w:val="single" w:sz="16" w:space="0" w:color="000000"/>
              <w:left w:val="single" w:sz="4" w:space="0" w:color="000000"/>
              <w:bottom w:val="single" w:sz="4" w:space="0" w:color="000000"/>
              <w:right w:val="single" w:sz="4" w:space="0" w:color="000000"/>
            </w:tcBorders>
          </w:tcPr>
          <w:p>
            <w:pPr/>
          </w:p>
        </w:tc>
        <w:tc>
          <w:tcPr>
            <w:tcW w:w="567" w:type="dxa"/>
            <w:tcBorders>
              <w:top w:val="single" w:sz="16" w:space="0" w:color="000000"/>
              <w:left w:val="single" w:sz="4" w:space="0" w:color="000000"/>
              <w:bottom w:val="single" w:sz="4" w:space="0" w:color="000000"/>
              <w:right w:val="single" w:sz="4" w:space="0" w:color="000000"/>
            </w:tcBorders>
          </w:tcPr>
          <w:p>
            <w:pPr/>
          </w:p>
        </w:tc>
        <w:tc>
          <w:tcPr>
            <w:tcW w:w="1292" w:type="dxa"/>
            <w:tcBorders>
              <w:top w:val="single" w:sz="16" w:space="0" w:color="000000"/>
              <w:left w:val="single" w:sz="4" w:space="0" w:color="000000"/>
              <w:bottom w:val="single" w:sz="4" w:space="0" w:color="000000"/>
              <w:right w:val="single" w:sz="4" w:space="0" w:color="000000"/>
            </w:tcBorders>
          </w:tcPr>
          <w:p>
            <w:pPr/>
          </w:p>
        </w:tc>
        <w:tc>
          <w:tcPr>
            <w:tcW w:w="1276" w:type="dxa"/>
            <w:tcBorders>
              <w:top w:val="single" w:sz="16" w:space="0" w:color="000000"/>
              <w:left w:val="single" w:sz="4" w:space="0" w:color="000000"/>
              <w:bottom w:val="single" w:sz="4" w:space="0" w:color="000000"/>
              <w:right w:val="single" w:sz="4" w:space="0" w:color="000000"/>
            </w:tcBorders>
          </w:tcPr>
          <w:p>
            <w:pPr/>
          </w:p>
        </w:tc>
        <w:tc>
          <w:tcPr>
            <w:tcW w:w="1418" w:type="dxa"/>
            <w:tcBorders>
              <w:top w:val="single" w:sz="16"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472,113,600.00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392,398,630.24</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center"/>
              <w:rPr>
                <w:rFonts w:ascii="Times New Roman" w:hAnsi="Times New Roman" w:cs="Times New Roman" w:eastAsia="Times New Roman" w:hint="default"/>
                <w:sz w:val="18"/>
                <w:szCs w:val="18"/>
              </w:rPr>
            </w:pPr>
            <w:r>
              <w:rPr>
                <w:rFonts w:ascii="Times New Roman"/>
                <w:sz w:val="18"/>
              </w:rPr>
              <w:t>-110,267,474.81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782,260,759.96</w:t>
            </w:r>
          </w:p>
        </w:tc>
      </w:tr>
      <w:tr>
        <w:trPr>
          <w:trHeight w:val="557"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84"/>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293,685,753.00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-20,701,828.20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2,090,496,672.91</w:t>
            </w: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5" w:right="0"/>
              <w:jc w:val="center"/>
              <w:rPr>
                <w:rFonts w:ascii="Times New Roman" w:hAnsi="Times New Roman" w:cs="Times New Roman" w:eastAsia="Times New Roman" w:hint="default"/>
                <w:sz w:val="18"/>
                <w:szCs w:val="18"/>
              </w:rPr>
            </w:pPr>
            <w:r>
              <w:rPr>
                <w:rFonts w:ascii="Times New Roman"/>
                <w:sz w:val="18"/>
              </w:rPr>
              <w:t>-20,701,828.20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97,892,276.33</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293,685,753.00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1,992,604,396.58</w:t>
            </w: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 w:right="0"/>
              <w:jc w:val="center"/>
              <w:rPr>
                <w:rFonts w:ascii="Times New Roman" w:hAnsi="Times New Roman" w:cs="Times New Roman" w:eastAsia="Times New Roman" w:hint="default"/>
                <w:sz w:val="18"/>
                <w:szCs w:val="18"/>
              </w:rPr>
            </w:pPr>
            <w:r>
              <w:rPr>
                <w:rFonts w:ascii="Times New Roman"/>
                <w:sz w:val="18"/>
              </w:rPr>
              <w:t>293,685,753.00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1,698,918,643.58</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1,992,604,396.58</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2,091,317,273.82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567"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center"/>
              <w:rPr>
                <w:rFonts w:ascii="Times New Roman" w:hAnsi="Times New Roman" w:cs="Times New Roman" w:eastAsia="Times New Roman" w:hint="default"/>
                <w:sz w:val="18"/>
                <w:szCs w:val="18"/>
              </w:rPr>
            </w:pPr>
            <w:r>
              <w:rPr>
                <w:rFonts w:ascii="Times New Roman"/>
                <w:sz w:val="18"/>
              </w:rPr>
              <w:t>-130,969,303.01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2,872,757,432.87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10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2"/>
        <w:spacing w:line="240" w:lineRule="auto" w:before="26"/>
        <w:ind w:right="94"/>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25" w:lineRule="auto"/>
        <w:ind w:right="192"/>
        <w:jc w:val="both"/>
      </w:pPr>
      <w:r>
        <w:rPr/>
        <w:t>神州易桥信息服务股份有限公司（原名称为青海明胶股份有限公司）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系经青海省经济体制改革委员会以</w:t>
      </w:r>
      <w:r>
        <w:rPr>
          <w:w w:val="99"/>
        </w:rPr>
        <w:t> </w:t>
      </w:r>
      <w:r>
        <w:rPr/>
        <w:t>青体改字</w:t>
      </w:r>
      <w:r>
        <w:rPr>
          <w:rFonts w:ascii="Times New Roman" w:hAnsi="Times New Roman" w:cs="Times New Roman" w:eastAsia="Times New Roman" w:hint="default"/>
        </w:rPr>
        <w:t>(1996)</w:t>
      </w:r>
      <w:r>
        <w:rPr/>
        <w:t>第</w:t>
      </w:r>
      <w:r>
        <w:rPr>
          <w:rFonts w:ascii="Times New Roman" w:hAnsi="Times New Roman" w:cs="Times New Roman" w:eastAsia="Times New Roman" w:hint="default"/>
        </w:rPr>
        <w:t>40</w:t>
      </w:r>
      <w:r>
        <w:rPr/>
        <w:t>号文批准，以青海制胶总公司</w:t>
      </w:r>
      <w:r>
        <w:rPr>
          <w:rFonts w:ascii="Times New Roman" w:hAnsi="Times New Roman" w:cs="Times New Roman" w:eastAsia="Times New Roman" w:hint="default"/>
        </w:rPr>
        <w:t>(</w:t>
      </w:r>
      <w:r>
        <w:rPr/>
        <w:t>现已改名为青海金牛胶业集团有限公司，以下简称</w:t>
      </w:r>
      <w:r>
        <w:rPr>
          <w:rFonts w:ascii="Times New Roman" w:hAnsi="Times New Roman" w:cs="Times New Roman" w:eastAsia="Times New Roman" w:hint="default"/>
        </w:rPr>
        <w:t>“</w:t>
      </w:r>
      <w:r>
        <w:rPr/>
        <w:t>金牛集团</w:t>
      </w:r>
      <w:r>
        <w:rPr>
          <w:rFonts w:ascii="Times New Roman" w:hAnsi="Times New Roman" w:cs="Times New Roman" w:eastAsia="Times New Roman" w:hint="default"/>
        </w:rPr>
        <w:t>”)</w:t>
      </w:r>
      <w:r>
        <w:rPr/>
        <w:t>为主发起</w:t>
      </w:r>
      <w:r>
        <w:rPr>
          <w:w w:val="99"/>
        </w:rPr>
        <w:t> </w:t>
      </w:r>
      <w:r>
        <w:rPr>
          <w:spacing w:val="-1"/>
        </w:rPr>
        <w:t>人，联合广东恒丰投资集团有限公司、西宁市自来水公司</w:t>
      </w:r>
      <w:r>
        <w:rPr>
          <w:rFonts w:ascii="Times New Roman" w:hAnsi="Times New Roman" w:cs="Times New Roman" w:eastAsia="Times New Roman" w:hint="default"/>
          <w:spacing w:val="-1"/>
        </w:rPr>
        <w:t>(</w:t>
      </w:r>
      <w:r>
        <w:rPr>
          <w:spacing w:val="-1"/>
        </w:rPr>
        <w:t>现已更名为西宁供水集团有限责任公司</w:t>
      </w:r>
      <w:r>
        <w:rPr>
          <w:rFonts w:ascii="Times New Roman" w:hAnsi="Times New Roman" w:cs="Times New Roman" w:eastAsia="Times New Roman" w:hint="default"/>
          <w:spacing w:val="-1"/>
        </w:rPr>
        <w:t>)</w:t>
      </w:r>
      <w:r>
        <w:rPr>
          <w:spacing w:val="-1"/>
        </w:rPr>
        <w:t>、青海省化工进出口公司</w:t>
      </w:r>
      <w:r>
        <w:rPr>
          <w:spacing w:val="-61"/>
        </w:rPr>
        <w:t> </w:t>
      </w:r>
      <w:r>
        <w:rPr>
          <w:spacing w:val="-61"/>
        </w:rPr>
      </w:r>
      <w:r>
        <w:rPr>
          <w:rFonts w:ascii="Times New Roman" w:hAnsi="Times New Roman" w:cs="Times New Roman" w:eastAsia="Times New Roman" w:hint="default"/>
          <w:spacing w:val="-1"/>
        </w:rPr>
        <w:t>(</w:t>
      </w:r>
      <w:r>
        <w:rPr>
          <w:spacing w:val="-1"/>
        </w:rPr>
        <w:t>现已更名为青海省新机五金矿产化工有限公司</w:t>
      </w:r>
      <w:r>
        <w:rPr>
          <w:rFonts w:ascii="Times New Roman" w:hAnsi="Times New Roman" w:cs="Times New Roman" w:eastAsia="Times New Roman" w:hint="default"/>
          <w:spacing w:val="-1"/>
        </w:rPr>
        <w:t>)</w:t>
      </w:r>
      <w:r>
        <w:rPr>
          <w:spacing w:val="-1"/>
        </w:rPr>
        <w:t>、江门市蓬江区恒业化工商行、北京第三制药厂（现已更名为北京紫竹药业</w:t>
      </w:r>
      <w:r>
        <w:rPr>
          <w:spacing w:val="-60"/>
        </w:rPr>
        <w:t> </w:t>
      </w:r>
      <w:r>
        <w:rPr>
          <w:spacing w:val="-60"/>
        </w:rPr>
      </w:r>
      <w:r>
        <w:rPr/>
        <w:t>有限公司）共同发起，采用社会募集方式设立的股份有限公司。</w:t>
      </w:r>
    </w:p>
    <w:p>
      <w:pPr>
        <w:pStyle w:val="BodyText"/>
        <w:spacing w:line="225" w:lineRule="auto" w:before="11"/>
        <w:ind w:right="201" w:firstLine="360"/>
        <w:jc w:val="both"/>
      </w:pPr>
      <w:r>
        <w:rPr/>
        <w:t>经中国证券监督管理委员会证监发字（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163</w:t>
      </w:r>
      <w:r>
        <w:rPr/>
        <w:t>号和</w:t>
      </w:r>
      <w:r>
        <w:rPr>
          <w:rFonts w:ascii="Times New Roman" w:hAnsi="Times New Roman" w:cs="Times New Roman" w:eastAsia="Times New Roman" w:hint="default"/>
        </w:rPr>
        <w:t>164</w:t>
      </w:r>
      <w:r>
        <w:rPr/>
        <w:t>号文批准，本公司于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月向社会公开发行人民币普通股 股票</w:t>
      </w:r>
      <w:r>
        <w:rPr>
          <w:rFonts w:ascii="Times New Roman" w:hAnsi="Times New Roman" w:cs="Times New Roman" w:eastAsia="Times New Roman" w:hint="default"/>
        </w:rPr>
        <w:t>1,500</w:t>
      </w:r>
      <w:r>
        <w:rPr/>
        <w:t>万股，每股面值人民币壹元，并于同年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日在深圳证券交易所挂牌交易。</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日，本公司领取了注册 号为</w:t>
      </w:r>
      <w:r>
        <w:rPr>
          <w:rFonts w:ascii="Times New Roman" w:hAnsi="Times New Roman" w:cs="Times New Roman" w:eastAsia="Times New Roman" w:hint="default"/>
        </w:rPr>
        <w:t>22659245-9</w:t>
      </w:r>
      <w:r>
        <w:rPr/>
        <w:t>的企业法人营业执照，注册资本为人民币</w:t>
      </w:r>
      <w:r>
        <w:rPr>
          <w:rFonts w:ascii="Times New Roman" w:hAnsi="Times New Roman" w:cs="Times New Roman" w:eastAsia="Times New Roman" w:hint="default"/>
        </w:rPr>
        <w:t>5150</w:t>
      </w:r>
      <w:r>
        <w:rPr/>
        <w:t>万元。</w:t>
      </w:r>
    </w:p>
    <w:p>
      <w:pPr>
        <w:pStyle w:val="BodyText"/>
        <w:spacing w:line="225" w:lineRule="auto"/>
        <w:ind w:right="100" w:firstLine="360"/>
        <w:jc w:val="left"/>
      </w:pPr>
      <w:r>
        <w:rPr>
          <w:spacing w:val="-3"/>
        </w:rPr>
        <w:t>经中国证券监督管理委员会证监上字（</w:t>
      </w:r>
      <w:r>
        <w:rPr>
          <w:rFonts w:ascii="Times New Roman" w:hAnsi="Times New Roman" w:cs="Times New Roman" w:eastAsia="Times New Roman" w:hint="default"/>
          <w:spacing w:val="-3"/>
        </w:rPr>
        <w:t>1997</w:t>
      </w:r>
      <w:r>
        <w:rPr>
          <w:spacing w:val="-3"/>
        </w:rPr>
        <w:t>）</w:t>
      </w:r>
      <w:r>
        <w:rPr>
          <w:rFonts w:ascii="Times New Roman" w:hAnsi="Times New Roman" w:cs="Times New Roman" w:eastAsia="Times New Roman" w:hint="default"/>
          <w:spacing w:val="-3"/>
        </w:rPr>
        <w:t>119</w:t>
      </w:r>
      <w:r>
        <w:rPr>
          <w:spacing w:val="-3"/>
        </w:rPr>
        <w:t>号、证监公司字（</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106</w:t>
      </w:r>
      <w:r>
        <w:rPr>
          <w:spacing w:val="-3"/>
        </w:rPr>
        <w:t>号文批准，本公司分别于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月及</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月实施每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股的增资方案。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日，本公司临时股东大会审议通过了资本公积金每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股的增资方案。</w:t>
      </w:r>
      <w:r>
        <w:rPr>
          <w:spacing w:val="-82"/>
        </w:rPr>
        <w:t> </w:t>
      </w:r>
      <w:r>
        <w:rPr/>
        <w:t>经中国证券监督管理委员证监发行字</w:t>
      </w:r>
      <w:r>
        <w:rPr>
          <w:rFonts w:ascii="Times New Roman" w:hAnsi="Times New Roman" w:cs="Times New Roman" w:eastAsia="Times New Roman" w:hint="default"/>
        </w:rPr>
        <w:t>[2007]45</w:t>
      </w:r>
      <w:r>
        <w:rPr/>
        <w:t>号文批准，本公司向控股股东、证券公司、信托投资公司、财务公司、保险机 构投资者及其他机构投资者等特定投资者非公开发行股票</w:t>
      </w:r>
      <w:r>
        <w:rPr>
          <w:rFonts w:ascii="Times New Roman" w:hAnsi="Times New Roman" w:cs="Times New Roman" w:eastAsia="Times New Roman" w:hint="default"/>
        </w:rPr>
        <w:t>3500</w:t>
      </w:r>
      <w:r>
        <w:rPr/>
        <w:t>万股。根据本公司</w:t>
      </w:r>
      <w:r>
        <w:rPr>
          <w:rFonts w:ascii="Times New Roman" w:hAnsi="Times New Roman" w:cs="Times New Roman" w:eastAsia="Times New Roman" w:hint="default"/>
        </w:rPr>
        <w:t>2006</w:t>
      </w:r>
      <w:r>
        <w:rPr/>
        <w:t>年度股东大会审议通过按每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 </w:t>
      </w:r>
      <w:r>
        <w:rPr>
          <w:spacing w:val="-5"/>
        </w:rPr>
        <w:t>股的增资方案，以资本公积和未分配利润转增股本。以上方案实施后，本公司注册资本变更为人民币</w:t>
      </w:r>
      <w:r>
        <w:rPr>
          <w:rFonts w:ascii="Times New Roman" w:hAnsi="Times New Roman" w:cs="Times New Roman" w:eastAsia="Times New Roman" w:hint="default"/>
          <w:spacing w:val="-5"/>
        </w:rPr>
        <w:t>22,404.24</w:t>
      </w:r>
      <w:r>
        <w:rPr>
          <w:spacing w:val="-5"/>
        </w:rPr>
        <w:t>万元，并于</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日更换企业法人营业执照，注册号</w:t>
      </w:r>
      <w:r>
        <w:rPr>
          <w:rFonts w:ascii="Times New Roman" w:hAnsi="Times New Roman" w:cs="Times New Roman" w:eastAsia="Times New Roman" w:hint="default"/>
        </w:rPr>
        <w:t>6300001200698</w:t>
      </w:r>
      <w:r>
        <w:rPr/>
        <w:t>。</w:t>
      </w:r>
    </w:p>
    <w:p>
      <w:pPr>
        <w:pStyle w:val="BodyText"/>
        <w:spacing w:line="225" w:lineRule="auto"/>
        <w:ind w:right="184" w:firstLine="360"/>
        <w:jc w:val="left"/>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日中国证券监督管理委员会证监许可【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1449</w:t>
      </w:r>
      <w:r>
        <w:rPr/>
        <w:t>号文核准，本公司非公开发行新股，发行面值为</w:t>
      </w:r>
      <w:r>
        <w:rPr>
          <w:rFonts w:ascii="Times New Roman" w:hAnsi="Times New Roman" w:cs="Times New Roman" w:eastAsia="Times New Roman" w:hint="default"/>
        </w:rPr>
        <w:t>1 </w:t>
      </w:r>
      <w:r>
        <w:rPr/>
        <w:t>元的人民币普通股股票</w:t>
      </w:r>
      <w:r>
        <w:rPr>
          <w:rFonts w:ascii="Times New Roman" w:hAnsi="Times New Roman" w:cs="Times New Roman" w:eastAsia="Times New Roman" w:hint="default"/>
        </w:rPr>
        <w:t>4,660</w:t>
      </w:r>
      <w:r>
        <w:rPr/>
        <w:t>万股，每股发行价为人民币</w:t>
      </w:r>
      <w:r>
        <w:rPr>
          <w:rFonts w:ascii="Times New Roman" w:hAnsi="Times New Roman" w:cs="Times New Roman" w:eastAsia="Times New Roman" w:hint="default"/>
        </w:rPr>
        <w:t>3.39</w:t>
      </w:r>
      <w:r>
        <w:rPr/>
        <w:t>元。本公司申请增加注册资本人民币</w:t>
      </w:r>
      <w:r>
        <w:rPr>
          <w:rFonts w:ascii="Times New Roman" w:hAnsi="Times New Roman" w:cs="Times New Roman" w:eastAsia="Times New Roman" w:hint="default"/>
        </w:rPr>
        <w:t>4,660</w:t>
      </w:r>
      <w:r>
        <w:rPr/>
        <w:t>万元，变更后的注册 资本为人民币</w:t>
      </w:r>
      <w:r>
        <w:rPr>
          <w:rFonts w:ascii="Times New Roman" w:hAnsi="Times New Roman" w:cs="Times New Roman" w:eastAsia="Times New Roman" w:hint="default"/>
        </w:rPr>
        <w:t>27,064.24</w:t>
      </w:r>
      <w:r>
        <w:rPr/>
        <w:t>万元，股本为人民币</w:t>
      </w:r>
      <w:r>
        <w:rPr>
          <w:rFonts w:ascii="Times New Roman" w:hAnsi="Times New Roman" w:cs="Times New Roman" w:eastAsia="Times New Roman" w:hint="default"/>
        </w:rPr>
        <w:t>27,064.24</w:t>
      </w:r>
      <w:r>
        <w:rPr/>
        <w:t>万元。 </w:t>
      </w:r>
      <w:r>
        <w:rPr>
          <w:spacing w:val="-2"/>
        </w:rPr>
        <w:t>根据本公司</w:t>
      </w:r>
      <w:r>
        <w:rPr>
          <w:rFonts w:ascii="Times New Roman" w:hAnsi="Times New Roman" w:cs="Times New Roman" w:eastAsia="Times New Roman" w:hint="default"/>
          <w:spacing w:val="-2"/>
        </w:rPr>
        <w:t>2008</w:t>
      </w:r>
      <w:r>
        <w:rPr>
          <w:spacing w:val="-2"/>
        </w:rPr>
        <w:t>年年度股东大会决议和章程修正案的规定，由资本公积和未分配利润转增股本，本公司申请增加注册资本人</w:t>
      </w:r>
      <w:r>
        <w:rPr>
          <w:spacing w:val="-62"/>
        </w:rPr>
        <w:t> </w:t>
      </w:r>
      <w:r>
        <w:rPr>
          <w:spacing w:val="-62"/>
        </w:rPr>
      </w:r>
      <w:r>
        <w:rPr>
          <w:spacing w:val="-2"/>
        </w:rPr>
        <w:t>民币</w:t>
      </w:r>
      <w:r>
        <w:rPr>
          <w:rFonts w:ascii="Times New Roman" w:hAnsi="Times New Roman" w:cs="Times New Roman" w:eastAsia="Times New Roman" w:hint="default"/>
          <w:spacing w:val="-2"/>
        </w:rPr>
        <w:t>13,532.12</w:t>
      </w:r>
      <w:r>
        <w:rPr>
          <w:spacing w:val="-2"/>
        </w:rPr>
        <w:t>万元，变更后的注册资本为人民币</w:t>
      </w:r>
      <w:r>
        <w:rPr>
          <w:rFonts w:ascii="Times New Roman" w:hAnsi="Times New Roman" w:cs="Times New Roman" w:eastAsia="Times New Roman" w:hint="default"/>
          <w:spacing w:val="-2"/>
        </w:rPr>
        <w:t>40,596.36</w:t>
      </w:r>
      <w:r>
        <w:rPr>
          <w:spacing w:val="-2"/>
        </w:rPr>
        <w:t>万元，股本为人民币</w:t>
      </w:r>
      <w:r>
        <w:rPr>
          <w:rFonts w:ascii="Times New Roman" w:hAnsi="Times New Roman" w:cs="Times New Roman" w:eastAsia="Times New Roman" w:hint="default"/>
          <w:spacing w:val="-2"/>
        </w:rPr>
        <w:t>40,596.36</w:t>
      </w:r>
      <w:r>
        <w:rPr>
          <w:spacing w:val="-2"/>
        </w:rPr>
        <w:t>万元。并更换企业法人营业执照，注</w:t>
      </w:r>
      <w:r>
        <w:rPr>
          <w:spacing w:val="-49"/>
        </w:rPr>
        <w:t> </w:t>
      </w:r>
      <w:r>
        <w:rPr>
          <w:spacing w:val="-49"/>
        </w:rPr>
      </w:r>
      <w:r>
        <w:rPr/>
        <w:t>册号</w:t>
      </w:r>
      <w:r>
        <w:rPr>
          <w:rFonts w:ascii="Times New Roman" w:hAnsi="Times New Roman" w:cs="Times New Roman" w:eastAsia="Times New Roman" w:hint="default"/>
        </w:rPr>
        <w:t>63000100006984</w:t>
      </w:r>
      <w:r>
        <w:rPr/>
        <w:t>。</w:t>
      </w:r>
    </w:p>
    <w:p>
      <w:pPr>
        <w:pStyle w:val="BodyText"/>
        <w:spacing w:line="225" w:lineRule="auto"/>
        <w:ind w:right="192" w:firstLine="360"/>
        <w:jc w:val="both"/>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日中国证券监督管理委员会证监许可【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1484</w:t>
      </w:r>
      <w:r>
        <w:rPr/>
        <w:t>号文核准，本公司非公开发行新股，发行面值为</w:t>
      </w:r>
      <w:r>
        <w:rPr>
          <w:rFonts w:ascii="Times New Roman" w:hAnsi="Times New Roman" w:cs="Times New Roman" w:eastAsia="Times New Roman" w:hint="default"/>
        </w:rPr>
        <w:t>1 </w:t>
      </w:r>
      <w:r>
        <w:rPr>
          <w:spacing w:val="-2"/>
        </w:rPr>
        <w:t>元的人民币普通股股票</w:t>
      </w:r>
      <w:r>
        <w:rPr>
          <w:rFonts w:ascii="Times New Roman" w:hAnsi="Times New Roman" w:cs="Times New Roman" w:eastAsia="Times New Roman" w:hint="default"/>
          <w:spacing w:val="-2"/>
        </w:rPr>
        <w:t>6,615</w:t>
      </w:r>
      <w:r>
        <w:rPr>
          <w:spacing w:val="-2"/>
        </w:rPr>
        <w:t>万股，每股发行价为人民币</w:t>
      </w:r>
      <w:r>
        <w:rPr>
          <w:rFonts w:ascii="Times New Roman" w:hAnsi="Times New Roman" w:cs="Times New Roman" w:eastAsia="Times New Roman" w:hint="default"/>
          <w:spacing w:val="-2"/>
        </w:rPr>
        <w:t>5.13</w:t>
      </w:r>
      <w:r>
        <w:rPr>
          <w:spacing w:val="-2"/>
        </w:rPr>
        <w:t>元。本公司申请增加注册资本人民币</w:t>
      </w:r>
      <w:r>
        <w:rPr>
          <w:rFonts w:ascii="Times New Roman" w:hAnsi="Times New Roman" w:cs="Times New Roman" w:eastAsia="Times New Roman" w:hint="default"/>
          <w:spacing w:val="-2"/>
        </w:rPr>
        <w:t>6615</w:t>
      </w:r>
      <w:r>
        <w:rPr>
          <w:spacing w:val="-2"/>
        </w:rPr>
        <w:t>万元，变更后的注册资</w:t>
      </w:r>
      <w:r>
        <w:rPr>
          <w:spacing w:val="-57"/>
        </w:rPr>
        <w:t> </w:t>
      </w:r>
      <w:r>
        <w:rPr>
          <w:spacing w:val="-57"/>
        </w:rPr>
      </w:r>
      <w:r>
        <w:rPr/>
        <w:t>本为人民币</w:t>
      </w:r>
      <w:r>
        <w:rPr>
          <w:rFonts w:ascii="Times New Roman" w:hAnsi="Times New Roman" w:cs="Times New Roman" w:eastAsia="Times New Roman" w:hint="default"/>
        </w:rPr>
        <w:t>47,211.36</w:t>
      </w:r>
      <w:r>
        <w:rPr/>
        <w:t>万元，股本为人民币</w:t>
      </w:r>
      <w:r>
        <w:rPr>
          <w:rFonts w:ascii="Times New Roman" w:hAnsi="Times New Roman" w:cs="Times New Roman" w:eastAsia="Times New Roman" w:hint="default"/>
        </w:rPr>
        <w:t>47,211.36</w:t>
      </w:r>
      <w:r>
        <w:rPr/>
        <w:t>万元。企业法人营业执照统一社会信用代码</w:t>
      </w:r>
      <w:r>
        <w:rPr>
          <w:rFonts w:ascii="Times New Roman" w:hAnsi="Times New Roman" w:cs="Times New Roman" w:eastAsia="Times New Roman" w:hint="default"/>
        </w:rPr>
        <w:t>916300002265924591</w:t>
      </w:r>
      <w:r>
        <w:rPr/>
        <w:t>号。</w:t>
      </w:r>
    </w:p>
    <w:p>
      <w:pPr>
        <w:pStyle w:val="BodyText"/>
        <w:spacing w:line="225" w:lineRule="auto"/>
        <w:ind w:right="184" w:firstLine="36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日证券监督管理委员会《关于核准青海明胶股份有限公司向彭聪等发行股份购买资产并募集配套资金 的批复》（证监许可</w:t>
      </w:r>
      <w:r>
        <w:rPr>
          <w:rFonts w:ascii="Times New Roman" w:hAnsi="Times New Roman" w:cs="Times New Roman" w:eastAsia="Times New Roman" w:hint="default"/>
        </w:rPr>
        <w:t>[2016]577 </w:t>
      </w:r>
      <w:r>
        <w:rPr/>
        <w:t>号），核准本公司向彭聪发行</w:t>
      </w:r>
      <w:r>
        <w:rPr>
          <w:rFonts w:ascii="Times New Roman" w:hAnsi="Times New Roman" w:cs="Times New Roman" w:eastAsia="Times New Roman" w:hint="default"/>
        </w:rPr>
        <w:t>78,130,329</w:t>
      </w:r>
      <w:r>
        <w:rPr>
          <w:rFonts w:ascii="Times New Roman" w:hAnsi="Times New Roman" w:cs="Times New Roman" w:eastAsia="Times New Roman" w:hint="default"/>
          <w:spacing w:val="41"/>
        </w:rPr>
        <w:t> </w:t>
      </w:r>
      <w:r>
        <w:rPr/>
        <w:t>股股份、向百达永信（北京）投资有限公司发行 </w:t>
      </w:r>
      <w:r>
        <w:rPr>
          <w:rFonts w:ascii="Times New Roman" w:hAnsi="Times New Roman" w:cs="Times New Roman" w:eastAsia="Times New Roman" w:hint="default"/>
          <w:spacing w:val="-2"/>
        </w:rPr>
        <w:t>45,768,340</w:t>
      </w:r>
      <w:r>
        <w:rPr>
          <w:spacing w:val="-2"/>
        </w:rPr>
        <w:t>股股份、向新疆泰达新源股权投资有限公司发行</w:t>
      </w:r>
      <w:r>
        <w:rPr>
          <w:rFonts w:ascii="Times New Roman" w:hAnsi="Times New Roman" w:cs="Times New Roman" w:eastAsia="Times New Roman" w:hint="default"/>
          <w:spacing w:val="-2"/>
        </w:rPr>
        <w:t>22,944,207</w:t>
      </w:r>
      <w:r>
        <w:rPr>
          <w:spacing w:val="-2"/>
        </w:rPr>
        <w:t>股股份购买相关资产；经第七届董事会</w:t>
      </w:r>
      <w:r>
        <w:rPr>
          <w:rFonts w:ascii="Times New Roman" w:hAnsi="Times New Roman" w:cs="Times New Roman" w:eastAsia="Times New Roman" w:hint="default"/>
          <w:spacing w:val="-2"/>
        </w:rPr>
        <w:t>2016</w:t>
      </w:r>
      <w:r>
        <w:rPr>
          <w:spacing w:val="-2"/>
        </w:rPr>
        <w:t>年第六次临</w:t>
      </w:r>
      <w:r>
        <w:rPr>
          <w:spacing w:val="-49"/>
        </w:rPr>
        <w:t> </w:t>
      </w:r>
      <w:r>
        <w:rPr/>
        <w:t>时会议、</w:t>
      </w:r>
      <w:r>
        <w:rPr>
          <w:rFonts w:ascii="Times New Roman" w:hAnsi="Times New Roman" w:cs="Times New Roman" w:eastAsia="Times New Roman" w:hint="default"/>
        </w:rPr>
        <w:t>2015</w:t>
      </w:r>
      <w:r>
        <w:rPr/>
        <w:t>年年度股东大会审议通过了《关于修订公司章程的议案》、《关于公司名称、经营范围变更的议案》，</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日公司完成了工商登记变更手续，取得了青海省工商行政管理局颁发的《营业执照》，统一社会信用代码： </w:t>
      </w:r>
      <w:r>
        <w:rPr>
          <w:rFonts w:ascii="Times New Roman" w:hAnsi="Times New Roman" w:cs="Times New Roman" w:eastAsia="Times New Roman" w:hint="default"/>
          <w:spacing w:val="-2"/>
        </w:rPr>
        <w:t>916300002265924591</w:t>
      </w:r>
      <w:r>
        <w:rPr>
          <w:spacing w:val="-2"/>
        </w:rPr>
        <w:t>，本公司增加注册资本</w:t>
      </w:r>
      <w:r>
        <w:rPr>
          <w:rFonts w:ascii="Times New Roman" w:hAnsi="Times New Roman" w:cs="Times New Roman" w:eastAsia="Times New Roman" w:hint="default"/>
          <w:spacing w:val="-2"/>
        </w:rPr>
        <w:t>14,684.2876</w:t>
      </w:r>
      <w:r>
        <w:rPr>
          <w:spacing w:val="-2"/>
        </w:rPr>
        <w:t>万元，变更后的注册资本为人民币</w:t>
      </w:r>
      <w:r>
        <w:rPr>
          <w:rFonts w:ascii="Times New Roman" w:hAnsi="Times New Roman" w:cs="Times New Roman" w:eastAsia="Times New Roman" w:hint="default"/>
          <w:spacing w:val="-2"/>
        </w:rPr>
        <w:t>61,895.6476</w:t>
      </w:r>
      <w:r>
        <w:rPr>
          <w:spacing w:val="-2"/>
        </w:rPr>
        <w:t>万元；本公司更名为神</w:t>
      </w:r>
      <w:r>
        <w:rPr>
          <w:spacing w:val="-43"/>
        </w:rPr>
        <w:t> </w:t>
      </w:r>
      <w:r>
        <w:rPr>
          <w:spacing w:val="-43"/>
        </w:rPr>
      </w:r>
      <w:r>
        <w:rPr/>
        <w:t>州易桥信息服务股份有限公司。</w:t>
      </w:r>
    </w:p>
    <w:p>
      <w:pPr>
        <w:pStyle w:val="BodyText"/>
        <w:spacing w:line="232" w:lineRule="exact" w:before="23"/>
        <w:ind w:right="10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日，本公司分别向连良桂、智尚田发行人民币普通股</w:t>
      </w:r>
      <w:r>
        <w:rPr>
          <w:rFonts w:ascii="Times New Roman" w:hAnsi="Times New Roman" w:cs="Times New Roman" w:eastAsia="Times New Roman" w:hint="default"/>
          <w:spacing w:val="-2"/>
        </w:rPr>
        <w:t>124,816,446</w:t>
      </w:r>
      <w:r>
        <w:rPr>
          <w:spacing w:val="-2"/>
        </w:rPr>
        <w:t>股、</w:t>
      </w:r>
      <w:r>
        <w:rPr>
          <w:rFonts w:ascii="Times New Roman" w:hAnsi="Times New Roman" w:cs="Times New Roman" w:eastAsia="Times New Roman" w:hint="default"/>
          <w:spacing w:val="-2"/>
        </w:rPr>
        <w:t>22,026,431</w:t>
      </w:r>
      <w:r>
        <w:rPr>
          <w:spacing w:val="-2"/>
        </w:rPr>
        <w:t>股，发行面值为人民币</w:t>
      </w:r>
      <w:r>
        <w:rPr>
          <w:rFonts w:ascii="Times New Roman" w:hAnsi="Times New Roman" w:cs="Times New Roman" w:eastAsia="Times New Roman" w:hint="default"/>
          <w:spacing w:val="-2"/>
        </w:rPr>
        <w:t>1</w:t>
      </w:r>
      <w:r>
        <w:rPr>
          <w:spacing w:val="-2"/>
        </w:rPr>
        <w:t>元，</w:t>
      </w:r>
      <w:r>
        <w:rPr/>
        <w:t> </w:t>
      </w:r>
      <w:r>
        <w:rPr>
          <w:spacing w:val="-3"/>
        </w:rPr>
        <w:t>发行价格</w:t>
      </w:r>
      <w:r>
        <w:rPr>
          <w:rFonts w:ascii="Times New Roman" w:hAnsi="Times New Roman" w:cs="Times New Roman" w:eastAsia="Times New Roman" w:hint="default"/>
          <w:spacing w:val="-3"/>
        </w:rPr>
        <w:t>6.81</w:t>
      </w:r>
      <w:r>
        <w:rPr>
          <w:spacing w:val="-3"/>
        </w:rPr>
        <w:t>元</w:t>
      </w:r>
      <w:r>
        <w:rPr>
          <w:rFonts w:ascii="Times New Roman" w:hAnsi="Times New Roman" w:cs="Times New Roman" w:eastAsia="Times New Roman" w:hint="default"/>
          <w:spacing w:val="-3"/>
        </w:rPr>
        <w:t>/</w:t>
      </w:r>
      <w:r>
        <w:rPr>
          <w:spacing w:val="-3"/>
        </w:rPr>
        <w:t>股，本公司增加注册资本</w:t>
      </w:r>
      <w:r>
        <w:rPr>
          <w:rFonts w:ascii="Times New Roman" w:hAnsi="Times New Roman" w:cs="Times New Roman" w:eastAsia="Times New Roman" w:hint="default"/>
          <w:spacing w:val="-3"/>
        </w:rPr>
        <w:t>14,684.2877</w:t>
      </w:r>
      <w:r>
        <w:rPr>
          <w:spacing w:val="-3"/>
        </w:rPr>
        <w:t>万元，变更后的注册资本为</w:t>
      </w:r>
      <w:r>
        <w:rPr>
          <w:rFonts w:ascii="Times New Roman" w:hAnsi="Times New Roman" w:cs="Times New Roman" w:eastAsia="Times New Roman" w:hint="default"/>
          <w:spacing w:val="-3"/>
        </w:rPr>
        <w:t>76,579.9353</w:t>
      </w:r>
      <w:r>
        <w:rPr>
          <w:spacing w:val="-3"/>
        </w:rPr>
        <w:t>万元。本公司法定代表人：彭聪；</w:t>
      </w:r>
      <w:r>
        <w:rPr>
          <w:spacing w:val="-71"/>
        </w:rPr>
        <w:t> </w:t>
      </w:r>
      <w:r>
        <w:rPr>
          <w:spacing w:val="-71"/>
        </w:rPr>
      </w:r>
      <w:r>
        <w:rPr/>
        <w:t>经营期限：长期。</w:t>
      </w:r>
    </w:p>
    <w:p>
      <w:pPr>
        <w:pStyle w:val="BodyText"/>
        <w:spacing w:line="212" w:lineRule="exact"/>
        <w:ind w:left="472" w:right="0"/>
        <w:jc w:val="left"/>
      </w:pPr>
      <w:r>
        <w:rPr/>
        <w:t>本公司经营范围为：信息技术开发、推广、服务、咨询与转让；研制、开发多媒体网络信息系统软件、多媒体网络工程</w:t>
      </w:r>
    </w:p>
    <w:p>
      <w:pPr>
        <w:pStyle w:val="BodyText"/>
        <w:spacing w:line="232" w:lineRule="exact" w:before="24"/>
        <w:ind w:left="472" w:right="184" w:hanging="360"/>
        <w:jc w:val="left"/>
      </w:pPr>
      <w:r>
        <w:rPr/>
        <w:t>设计咨询、企业中介代理并提供相关的技术、管理和咨询服务；经营期限：长期。 本财务报表已于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日经第七届董事会</w:t>
      </w:r>
      <w:r>
        <w:rPr>
          <w:rFonts w:ascii="Times New Roman" w:hAnsi="Times New Roman" w:cs="Times New Roman" w:eastAsia="Times New Roman" w:hint="default"/>
        </w:rPr>
        <w:t>2018</w:t>
      </w:r>
      <w:r>
        <w:rPr/>
        <w:t>年第四次会议批准。按照有关法律、行政法规等规定，本公司股东</w:t>
      </w:r>
    </w:p>
    <w:p>
      <w:pPr>
        <w:pStyle w:val="BodyText"/>
        <w:spacing w:line="232" w:lineRule="exact" w:before="1"/>
        <w:ind w:left="472" w:right="4954" w:hanging="360"/>
        <w:jc w:val="left"/>
      </w:pPr>
      <w:r>
        <w:rPr/>
        <w:t>大会或其他方面有权对报出的财务报告进行修改。 本公司及控股子公司主要产品包括：企业互联网服务等。</w:t>
      </w:r>
    </w:p>
    <w:p>
      <w:pPr>
        <w:spacing w:line="240" w:lineRule="auto" w:before="0"/>
        <w:rPr>
          <w:rFonts w:ascii="宋体" w:hAnsi="宋体" w:cs="宋体" w:eastAsia="宋体" w:hint="default"/>
          <w:sz w:val="16"/>
          <w:szCs w:val="16"/>
        </w:rPr>
      </w:pPr>
    </w:p>
    <w:p>
      <w:pPr>
        <w:pStyle w:val="BodyText"/>
        <w:spacing w:line="232" w:lineRule="exact"/>
        <w:ind w:right="192" w:firstLine="451"/>
        <w:jc w:val="both"/>
      </w:pP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4</w:t>
      </w:r>
      <w:r>
        <w:rPr>
          <w:spacing w:val="-2"/>
        </w:rPr>
        <w:t>户，详见本附注</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。本公司本年度合并范围比上年度减</w:t>
      </w:r>
      <w:r>
        <w:rPr/>
        <w:t> 少</w:t>
      </w:r>
      <w:r>
        <w:rPr>
          <w:rFonts w:ascii="Times New Roman" w:hAnsi="Times New Roman" w:cs="Times New Roman" w:eastAsia="Times New Roman" w:hint="default"/>
        </w:rPr>
        <w:t>5</w:t>
      </w:r>
      <w:r>
        <w:rPr/>
        <w:t>户，增加</w:t>
      </w:r>
      <w:r>
        <w:rPr>
          <w:rFonts w:ascii="Times New Roman" w:hAnsi="Times New Roman" w:cs="Times New Roman" w:eastAsia="Times New Roman" w:hint="default"/>
        </w:rPr>
        <w:t>1</w:t>
      </w:r>
      <w:r>
        <w:rPr/>
        <w:t>户，详见本附注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Heading2"/>
        <w:spacing w:line="240" w:lineRule="auto"/>
        <w:ind w:right="94"/>
        <w:jc w:val="left"/>
        <w:rPr>
          <w:b w:val="0"/>
          <w:bCs w:val="0"/>
        </w:rPr>
      </w:pPr>
      <w:r>
        <w:rPr/>
        <w:t>四、财务报表的编制基础</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90" w:firstLine="480"/>
        <w:jc w:val="both"/>
      </w:pPr>
      <w:r>
        <w:rPr>
          <w:spacing w:val="-1"/>
        </w:rPr>
        <w:t>本公司财务报表以持续经营假设为基础，根据实际发生的交易和事项，按照财政部发布的《企业会计准则——基本准</w:t>
      </w:r>
      <w:r>
        <w:rPr/>
        <w:t> 则》（财政部令第33号发布、财政部令第76号修订）、于2006年2月15日及其后颁布和修订的42项具体会计准则、企业会计 </w:t>
      </w:r>
      <w:r>
        <w:rPr>
          <w:spacing w:val="-2"/>
        </w:rPr>
        <w:t>准则应用指南、企业会计准则解释及其他相关规定（以下合称“企业会计准则”），以及中国证券监督管理委员会《公开发</w:t>
      </w:r>
      <w:r>
        <w:rPr>
          <w:spacing w:val="-65"/>
        </w:rPr>
        <w:t> </w:t>
      </w:r>
      <w:r>
        <w:rPr>
          <w:spacing w:val="-65"/>
        </w:rPr>
      </w:r>
      <w:r>
        <w:rPr/>
        <w:t>行证券的公司信息披露编报规则第15号——财务报告的一般规定》（2014年修订）的披露规定编制。</w:t>
      </w:r>
    </w:p>
    <w:p>
      <w:pPr>
        <w:pStyle w:val="BodyText"/>
        <w:spacing w:line="237" w:lineRule="auto"/>
        <w:ind w:right="190" w:firstLine="480"/>
        <w:jc w:val="both"/>
      </w:pPr>
      <w:r>
        <w:rPr>
          <w:spacing w:val="-1"/>
        </w:rPr>
        <w:t>根据企业会计准则的相关规定，本公司会计核算以权责发生制为基础。除某些金融工具外，本财务报表均以历史成本</w:t>
      </w:r>
      <w:r>
        <w:rPr/>
        <w:t> </w:t>
      </w:r>
      <w:r>
        <w:rPr>
          <w:spacing w:val="-2"/>
        </w:rPr>
        <w:t>为计量基础。持有待售的非流动资产，按公允价值减去预计费用后的金额，以及符合持有待售条件时的原账面价值，取两者</w:t>
      </w:r>
      <w:r>
        <w:rPr>
          <w:spacing w:val="-64"/>
        </w:rPr>
        <w:t> </w:t>
      </w:r>
      <w:r>
        <w:rPr>
          <w:spacing w:val="-64"/>
        </w:rPr>
      </w:r>
      <w:r>
        <w:rPr/>
        <w:t>孰低计价。</w:t>
      </w:r>
    </w:p>
    <w:p>
      <w:pPr>
        <w:spacing w:after="0" w:line="237" w:lineRule="auto"/>
        <w:jc w:val="both"/>
        <w:sectPr>
          <w:headerReference w:type="default" r:id="rId35"/>
          <w:footerReference w:type="default" r:id="rId36"/>
          <w:pgSz w:w="11910" w:h="16840"/>
          <w:pgMar w:header="878" w:footer="978" w:top="1100" w:bottom="1160" w:left="1020" w:right="940"/>
          <w:pgNumType w:start="82"/>
        </w:sectPr>
      </w:pPr>
    </w:p>
    <w:p>
      <w:pPr>
        <w:spacing w:line="240" w:lineRule="auto" w:before="12"/>
        <w:rPr>
          <w:rFonts w:ascii="宋体" w:hAnsi="宋体" w:cs="宋体" w:eastAsia="宋体" w:hint="default"/>
          <w:sz w:val="18"/>
          <w:szCs w:val="18"/>
        </w:rPr>
      </w:pPr>
    </w:p>
    <w:p>
      <w:pPr>
        <w:pStyle w:val="BodyText"/>
        <w:spacing w:line="240" w:lineRule="auto" w:before="44"/>
        <w:ind w:left="592" w:right="94"/>
        <w:jc w:val="left"/>
      </w:pPr>
      <w:r>
        <w:rPr/>
        <w:t>资产如果发生减值，则按照相关规定计提相应的减值准备。</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204" w:right="94"/>
        <w:jc w:val="left"/>
      </w:pPr>
      <w:r>
        <w:rPr/>
        <w:t>本公司不存在导致对自报告期末起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1"/>
        <w:rPr>
          <w:rFonts w:ascii="宋体" w:hAnsi="宋体" w:cs="宋体" w:eastAsia="宋体" w:hint="default"/>
          <w:sz w:val="21"/>
          <w:szCs w:val="21"/>
        </w:rPr>
      </w:pPr>
    </w:p>
    <w:p>
      <w:pPr>
        <w:pStyle w:val="Heading2"/>
        <w:spacing w:line="240" w:lineRule="auto"/>
        <w:ind w:right="94"/>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6754"/>
        <w:jc w:val="left"/>
      </w:pPr>
      <w:r>
        <w:rPr/>
        <w:t>公司是否需要遵守特殊行业的披露要求 否</w:t>
      </w:r>
    </w:p>
    <w:p>
      <w:pPr>
        <w:pStyle w:val="BodyText"/>
        <w:spacing w:line="256" w:lineRule="auto" w:before="9"/>
        <w:ind w:right="94"/>
        <w:jc w:val="left"/>
      </w:pPr>
      <w:r>
        <w:rPr/>
        <w:t>具体会计政策和会计估计提示： 本公司及各子公司从事企业互联网服务等的经营。本公司及各子公司根据实际生产经营特点，依据相关企业会计准则的规 </w:t>
      </w:r>
      <w:r>
        <w:rPr>
          <w:spacing w:val="-2"/>
        </w:rPr>
        <w:t>定，对收入确认等交易和事项制定了若干项具体会计政策和会计估计，详见本附注</w:t>
      </w:r>
      <w:r>
        <w:rPr>
          <w:rFonts w:ascii="Times New Roman" w:hAnsi="Times New Roman" w:cs="Times New Roman" w:eastAsia="Times New Roman" w:hint="default"/>
          <w:spacing w:val="-2"/>
        </w:rPr>
        <w:t>“</w:t>
      </w:r>
      <w:r>
        <w:rPr>
          <w:spacing w:val="-2"/>
        </w:rPr>
        <w:t>收入</w:t>
      </w:r>
      <w:r>
        <w:rPr>
          <w:rFonts w:ascii="Times New Roman" w:hAnsi="Times New Roman" w:cs="Times New Roman" w:eastAsia="Times New Roman" w:hint="default"/>
          <w:spacing w:val="-2"/>
        </w:rPr>
        <w:t>”</w:t>
      </w:r>
      <w:r>
        <w:rPr>
          <w:spacing w:val="-2"/>
        </w:rPr>
        <w:t>各项描述。关于管理层所作出的重</w:t>
      </w:r>
    </w:p>
    <w:p>
      <w:pPr>
        <w:pStyle w:val="BodyText"/>
        <w:spacing w:line="219" w:lineRule="exact"/>
        <w:ind w:right="94"/>
        <w:jc w:val="left"/>
      </w:pPr>
      <w:r>
        <w:rPr/>
        <w:t>大会计判断和估计的说明，请参阅附注</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90" w:firstLine="48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2017</w:t>
      </w:r>
      <w:r>
        <w:rPr>
          <w:spacing w:val="-1"/>
        </w:rPr>
        <w:t>年度</w:t>
      </w:r>
      <w:r>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8"/>
        </w:rPr>
        <w:t> </w:t>
      </w:r>
      <w:r>
        <w:rPr>
          <w:spacing w:val="-68"/>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8"/>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4"/>
        <w:jc w:val="left"/>
      </w:pPr>
      <w:r>
        <w:rPr>
          <w:spacing w:val="-2"/>
        </w:rPr>
        <w:t>本公司的会计期间分为年度和中期，会计中期指短于一个完整的会计年度的报告期间。本公司会计年度采用公历年度，即每</w:t>
      </w:r>
      <w:r>
        <w:rPr>
          <w:spacing w:val="-65"/>
        </w:rPr>
        <w:t> </w:t>
      </w:r>
      <w:r>
        <w:rPr>
          <w:spacing w:val="-65"/>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4"/>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3"/>
        </w:rPr>
        <w:t> </w:t>
      </w:r>
      <w:r>
        <w:rPr>
          <w:spacing w:val="-63"/>
        </w:rPr>
      </w:r>
      <w:r>
        <w:rPr/>
        <w:t>以其作为资产和负债的流动性划分标准。</w:t>
      </w:r>
    </w:p>
    <w:p>
      <w:pPr>
        <w:spacing w:line="240" w:lineRule="auto" w:before="8"/>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4"/>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4"/>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236" w:lineRule="exact" w:before="18"/>
        <w:ind w:left="472" w:right="94" w:hanging="89"/>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210" w:lineRule="exact"/>
        <w:ind w:right="94"/>
        <w:jc w:val="left"/>
      </w:pPr>
      <w:r>
        <w:rPr>
          <w:spacing w:val="-4"/>
        </w:rPr>
        <w:t>一控制下的企业合并，在合并日取得对其他参与合并企业控制权的一方为合并方，参与合并的其他企业为被合并方。合并日，</w:t>
      </w:r>
    </w:p>
    <w:p>
      <w:pPr>
        <w:pStyle w:val="BodyText"/>
        <w:spacing w:line="232" w:lineRule="exact" w:before="23"/>
        <w:ind w:left="472" w:right="94" w:hanging="360"/>
        <w:jc w:val="left"/>
      </w:pPr>
      <w:r>
        <w:rPr/>
        <w:t>是指合并方实际取得对被合并方控制权的日期。 </w:t>
      </w:r>
      <w:r>
        <w:rPr>
          <w:spacing w:val="-2"/>
        </w:rPr>
        <w:t>合并方取得的资产和负债均按合并日在被合并方的账面价值计量。合并方取得的净资产账面价值与支付的合并对价账面</w:t>
      </w:r>
    </w:p>
    <w:p>
      <w:pPr>
        <w:pStyle w:val="BodyText"/>
        <w:spacing w:line="212" w:lineRule="exact"/>
        <w:ind w:right="0"/>
        <w:jc w:val="left"/>
      </w:pPr>
      <w:r>
        <w:rPr/>
        <w:t>价值（或发行股份面值总额）的差额，调整资本公积（股本溢价）；资本公积（股本溢价）不足以冲减的，调整留存收益。</w:t>
      </w:r>
    </w:p>
    <w:p>
      <w:pPr>
        <w:pStyle w:val="BodyText"/>
        <w:spacing w:line="234" w:lineRule="exact"/>
        <w:ind w:left="472" w:right="94"/>
        <w:jc w:val="left"/>
      </w:pPr>
      <w:r>
        <w:rPr/>
        <w:t>合并方为进行企业合并发生的各项直接费用，于发生时计入当期损益。</w:t>
      </w:r>
    </w:p>
    <w:p>
      <w:pPr>
        <w:pStyle w:val="BodyText"/>
        <w:spacing w:line="232" w:lineRule="exact" w:before="23"/>
        <w:ind w:left="472" w:right="94" w:hanging="89"/>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212" w:lineRule="exact"/>
        <w:ind w:right="0"/>
        <w:jc w:val="left"/>
      </w:pPr>
      <w:r>
        <w:rPr/>
        <w:t>并，在购买日取得对其他参与合并企业控制权的一方为购买方，参与合并的其他企业为被购买方。购买日，是指为购买方实</w:t>
      </w:r>
    </w:p>
    <w:p>
      <w:pPr>
        <w:pStyle w:val="BodyText"/>
        <w:spacing w:line="232" w:lineRule="exact" w:before="24"/>
        <w:ind w:left="472" w:right="94" w:hanging="360"/>
        <w:jc w:val="left"/>
      </w:pPr>
      <w:r>
        <w:rPr/>
        <w:t>际取得对被购买方控制权的日期。 </w:t>
      </w:r>
      <w:r>
        <w:rPr>
          <w:spacing w:val="-2"/>
        </w:rPr>
        <w:t>对于非同一控制下的企业合并，合并成本包含购买日购买方为取得对被购买方的控制权而付出的资产、发生或承担的负</w:t>
      </w:r>
    </w:p>
    <w:p>
      <w:pPr>
        <w:pStyle w:val="BodyText"/>
        <w:spacing w:line="212" w:lineRule="exact"/>
        <w:ind w:right="0"/>
        <w:jc w:val="left"/>
      </w:pPr>
      <w:r>
        <w:rPr/>
        <w:t>债以及发行的权益性证券的公允价值，为企业合并发生的审计、法律服务、评估咨询等中介费用以及其他管理费用于发生时</w:t>
      </w:r>
    </w:p>
    <w:p>
      <w:pPr>
        <w:spacing w:after="0" w:line="212" w:lineRule="exact"/>
        <w:jc w:val="left"/>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5" w:lineRule="auto" w:before="48"/>
        <w:ind w:right="192"/>
        <w:jc w:val="both"/>
      </w:pP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3"/>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5"/>
        </w:rPr>
        <w:t> </w:t>
      </w:r>
      <w:r>
        <w:rPr>
          <w:spacing w:val="-65"/>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232" w:lineRule="auto" w:before="4"/>
        <w:ind w:right="94"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5"/>
        </w:rPr>
        <w:t> </w:t>
      </w:r>
      <w:r>
        <w:rPr>
          <w:spacing w:val="-65"/>
        </w:rPr>
      </w:r>
      <w:r>
        <w:rPr/>
        <w:t>以外，确认与企业合并相关的递延所得税资产的，计入当期损益。</w:t>
      </w:r>
    </w:p>
    <w:p>
      <w:pPr>
        <w:pStyle w:val="BodyText"/>
        <w:spacing w:line="225" w:lineRule="auto" w:before="10"/>
        <w:ind w:right="104"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2"/>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的，区分个别财务报表和合并财务报表进行相关会计处理：</w:t>
      </w:r>
    </w:p>
    <w:p>
      <w:pPr>
        <w:pStyle w:val="BodyText"/>
        <w:spacing w:line="237" w:lineRule="auto" w:before="1"/>
        <w:ind w:right="19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237" w:lineRule="auto"/>
        <w:ind w:right="19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3"/>
          <w:szCs w:val="23"/>
        </w:rPr>
      </w:pPr>
    </w:p>
    <w:p>
      <w:pPr>
        <w:pStyle w:val="BodyText"/>
        <w:spacing w:line="232" w:lineRule="exact"/>
        <w:ind w:left="472" w:right="94" w:hanging="36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232" w:lineRule="exact" w:before="3"/>
        <w:ind w:right="192"/>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10" w:lineRule="exact"/>
        <w:ind w:left="472" w:right="94"/>
        <w:jc w:val="left"/>
      </w:pPr>
      <w:r>
        <w:rPr/>
        <w:t>一旦相关事实和情况的变化导致上述控制定义涉及的相关要素发生了变化，本公司将进行重新评估。</w:t>
      </w:r>
    </w:p>
    <w:p>
      <w:pPr>
        <w:pStyle w:val="BodyText"/>
        <w:spacing w:line="236" w:lineRule="exact" w:before="20"/>
        <w:ind w:left="472" w:right="94" w:hanging="89"/>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211" w:lineRule="exact"/>
        <w:ind w:right="0"/>
        <w:jc w:val="both"/>
      </w:pPr>
      <w:r>
        <w:rPr/>
        <w:t>停止纳入合并范围</w:t>
      </w:r>
      <w:r>
        <w:rPr>
          <w:spacing w:val="-84"/>
        </w:rPr>
        <w:t>。</w:t>
      </w:r>
      <w:r>
        <w:rPr/>
        <w:t>对于处置的子公司</w:t>
      </w:r>
      <w:r>
        <w:rPr>
          <w:spacing w:val="-87"/>
        </w:rPr>
        <w:t>，</w:t>
      </w:r>
      <w:r>
        <w:rPr/>
        <w:t>处置日前的经营成果和现金流量已经适当地包括在合并利润表和合并现金流量表中；</w:t>
      </w:r>
    </w:p>
    <w:p>
      <w:pPr>
        <w:pStyle w:val="BodyText"/>
        <w:spacing w:line="232" w:lineRule="exact" w:before="24"/>
        <w:ind w:right="192"/>
        <w:jc w:val="both"/>
      </w:pPr>
      <w:r>
        <w:rPr>
          <w:spacing w:val="-2"/>
        </w:rPr>
        <w:t>当期处置的子公司，不调整合并资产负债表的期初数。非同一控制下企业合并增加的子公司，其购买日后的经营成果及现金</w:t>
      </w:r>
      <w:r>
        <w:rPr>
          <w:spacing w:val="-65"/>
        </w:rPr>
        <w:t> </w:t>
      </w:r>
      <w:r>
        <w:rPr>
          <w:spacing w:val="-65"/>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212" w:lineRule="exact"/>
        <w:ind w:right="0" w:firstLine="360"/>
        <w:jc w:val="left"/>
      </w:pPr>
      <w:r>
        <w:rPr/>
        <w:t>在编制合并财务报表时，子公司与本公司采用的会计政策或会计期间不一致的，按照本公司的会计政策和会计期间对子</w:t>
      </w:r>
    </w:p>
    <w:p>
      <w:pPr>
        <w:pStyle w:val="BodyText"/>
        <w:spacing w:line="232" w:lineRule="exact" w:before="24"/>
        <w:ind w:right="192"/>
        <w:jc w:val="both"/>
      </w:pP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232" w:lineRule="exact" w:before="1"/>
        <w:ind w:left="472" w:right="27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232" w:lineRule="exact" w:before="3"/>
        <w:ind w:right="213"/>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232" w:lineRule="exact" w:before="3"/>
        <w:ind w:right="19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5"/>
        </w:rPr>
        <w:t> </w:t>
      </w:r>
      <w:r>
        <w:rPr>
          <w:spacing w:val="-65"/>
        </w:rPr>
      </w:r>
      <w:r>
        <w:rPr>
          <w:spacing w:val="-2"/>
        </w:rPr>
        <w:t>制权时采用与被购买方直接处置相关资产或负债相同的基础进行会计处理（即，除了在该原有子公司重新计量设定受益计划</w:t>
      </w:r>
    </w:p>
    <w:p>
      <w:pPr>
        <w:pStyle w:val="BodyText"/>
        <w:spacing w:line="232" w:lineRule="exact" w:before="3"/>
        <w:ind w:right="192"/>
        <w:jc w:val="both"/>
      </w:pP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spacing w:val="-2"/>
        </w:rPr>
        <w:t>长期股权投资》或《企业会计准则第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t>或本附注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12" w:lineRule="exact"/>
        <w:ind w:right="94" w:firstLine="360"/>
        <w:jc w:val="left"/>
      </w:pPr>
      <w:r>
        <w:rPr/>
        <w:t>本公司通过多次交易分步处置对子公司股权投资直至丧失控制权的</w:t>
      </w:r>
      <w:r>
        <w:rPr>
          <w:spacing w:val="-82"/>
        </w:rPr>
        <w:t>，</w:t>
      </w:r>
      <w:r>
        <w:rPr/>
        <w:t>需区分处置对子公司股权投资直至丧失控制权的各</w:t>
      </w:r>
    </w:p>
    <w:p>
      <w:pPr>
        <w:pStyle w:val="BodyText"/>
        <w:spacing w:line="235" w:lineRule="auto" w:before="4"/>
        <w:ind w:right="94"/>
        <w:jc w:val="left"/>
      </w:pPr>
      <w:r>
        <w:rPr>
          <w:spacing w:val="-2"/>
        </w:rPr>
        <w:t>项交易是否属于一揽子交易。处置对子公司股权投资的各项交易的条款、条件以及经济影响符合以下一种或多种情况，通常</w:t>
      </w:r>
      <w:r>
        <w:rPr>
          <w:spacing w:val="-65"/>
        </w:rPr>
        <w:t> </w:t>
      </w:r>
      <w:r>
        <w:rPr>
          <w:spacing w:val="-65"/>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（详见前段）适用的</w:t>
      </w:r>
    </w:p>
    <w:p>
      <w:pPr>
        <w:spacing w:after="0" w:line="235" w:lineRule="auto"/>
        <w:jc w:val="left"/>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7" w:lineRule="auto" w:before="46"/>
        <w:ind w:right="192"/>
        <w:jc w:val="both"/>
      </w:pPr>
      <w:r>
        <w:rPr>
          <w:spacing w:val="-2"/>
        </w:rPr>
        <w:t>原则进行会计处理。处置对子公司股权投资直至丧失控制权的各项交易属于一揽子交易的，将各项交易作为一项处置子公司</w:t>
      </w:r>
      <w:r>
        <w:rPr>
          <w:spacing w:val="-64"/>
        </w:rPr>
        <w:t> </w:t>
      </w:r>
      <w:r>
        <w:rPr>
          <w:spacing w:val="-64"/>
        </w:rPr>
      </w:r>
      <w:r>
        <w:rPr>
          <w:spacing w:val="-2"/>
        </w:rPr>
        <w:t>并丧失控制权的交易进行会计处理；但是，在丧失控制权之前每一次处置价款与处置投资对应的享有该子公司净资产份额的</w:t>
      </w:r>
      <w:r>
        <w:rPr>
          <w:spacing w:val="-64"/>
        </w:rPr>
        <w:t> </w:t>
      </w:r>
      <w:r>
        <w:rPr>
          <w:spacing w:val="-64"/>
        </w:rPr>
      </w:r>
      <w:r>
        <w:rPr/>
        <w:t>差额，在合并财务报表中确认为其他综合收益，在丧失控制权时一并转入丧失控制权当期的损益。</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4"/>
        <w:jc w:val="left"/>
      </w:pPr>
      <w:r>
        <w:rPr>
          <w:spacing w:val="-2"/>
        </w:rPr>
        <w:t>合营安排，是指一项由两个或两个以上的参与方共同控制的安排。本公司根据在合营安排中享有的权利和承担的义务，将合</w:t>
      </w:r>
      <w:r>
        <w:rPr>
          <w:spacing w:val="-65"/>
        </w:rPr>
        <w:t> </w:t>
      </w:r>
      <w:r>
        <w:rPr>
          <w:spacing w:val="-65"/>
        </w:rPr>
      </w:r>
      <w:r>
        <w:rPr>
          <w:spacing w:val="-4"/>
        </w:rPr>
        <w:t>营安排分为共同经营和合营企业。共同经营，是指本公司享有该安排相关资产且承担该安排相关负债的合营安排。合营企业，</w:t>
      </w:r>
      <w:r>
        <w:rPr>
          <w:spacing w:val="-42"/>
        </w:rPr>
        <w:t> </w:t>
      </w:r>
      <w:r>
        <w:rPr>
          <w:spacing w:val="-42"/>
        </w:rPr>
      </w:r>
      <w:r>
        <w:rPr/>
        <w:t>是指本公司仅对该安排的净资产享有权利的合营安排。</w:t>
      </w:r>
    </w:p>
    <w:p>
      <w:pPr>
        <w:pStyle w:val="BodyText"/>
        <w:spacing w:line="232" w:lineRule="exact" w:before="3"/>
        <w:ind w:left="472" w:right="94" w:firstLine="180"/>
        <w:jc w:val="left"/>
      </w:pPr>
      <w:r>
        <w:rPr/>
        <w:t>本公司对合营企业的投资采用权益法核算，按照本附注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 </w:t>
      </w:r>
      <w:r>
        <w:rPr>
          <w:spacing w:val="-2"/>
        </w:rPr>
        <w:t>本公司作为合营方对共同经营，确认本公司单独持有的资产、单独所承担的负债，以及按本公司份额确认共同持有的资</w:t>
      </w:r>
    </w:p>
    <w:p>
      <w:pPr>
        <w:pStyle w:val="BodyText"/>
        <w:spacing w:line="212" w:lineRule="exact"/>
        <w:ind w:right="0"/>
        <w:jc w:val="left"/>
      </w:pPr>
      <w:r>
        <w:rPr/>
        <w:t>产和共同承担的负债；确认出售本公司享有的共同经营产出份额所产生的收入；按本公司份额确认共同经营因出售产出所产</w:t>
      </w:r>
    </w:p>
    <w:p>
      <w:pPr>
        <w:pStyle w:val="BodyText"/>
        <w:spacing w:line="232" w:lineRule="exact" w:before="24"/>
        <w:ind w:left="472" w:right="94" w:hanging="360"/>
        <w:jc w:val="left"/>
      </w:pPr>
      <w:r>
        <w:rPr/>
        <w:t>生的收入；确认本公司单独所发生的费用，以及按本公司份额确认共同经营发生的费用。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w:t>
      </w:r>
    </w:p>
    <w:p>
      <w:pPr>
        <w:pStyle w:val="BodyText"/>
        <w:spacing w:line="232" w:lineRule="exact"/>
        <w:ind w:right="184"/>
        <w:jc w:val="left"/>
      </w:pP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p>
    <w:p>
      <w:pPr>
        <w:pStyle w:val="BodyText"/>
        <w:spacing w:line="214" w:lineRule="exact"/>
        <w:ind w:right="94"/>
        <w:jc w:val="left"/>
      </w:pPr>
      <w:r>
        <w:rPr/>
        <w:t>该损失；对于本公司自共同经营购买资产的情况，本公司按承担的份额确认该损失。</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4"/>
        <w:jc w:val="left"/>
      </w:pPr>
      <w:r>
        <w:rPr>
          <w:spacing w:val="-2"/>
        </w:rPr>
        <w:t>本公司现金及现金等价物包括库存现金、可以随时用于支付的存款以及本公司持有的期限短（一般为从购买日起三个月内到</w:t>
      </w:r>
      <w:r>
        <w:rPr>
          <w:spacing w:val="-64"/>
        </w:rPr>
        <w:t> </w:t>
      </w:r>
      <w:r>
        <w:rPr>
          <w:spacing w:val="-64"/>
        </w:rPr>
      </w:r>
      <w:r>
        <w:rPr/>
        <w:t>期）、流动性强、易于转换为已知金额现金、价值变动风险很小的投资。</w:t>
      </w:r>
    </w:p>
    <w:p>
      <w:pPr>
        <w:spacing w:line="240" w:lineRule="auto" w:before="8"/>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592" w:right="94" w:firstLine="151"/>
        <w:jc w:val="left"/>
      </w:pPr>
      <w:r>
        <w:rPr/>
        <w:t>（1）外币交易的折算方法 </w:t>
      </w:r>
      <w:r>
        <w:rPr>
          <w:spacing w:val="-1"/>
        </w:rPr>
        <w:t>本公司发生的外币交易在初始确认时，按交易日的即期汇率（通常指中国人民银行公布的当日外汇牌价的中间价，下</w:t>
      </w:r>
    </w:p>
    <w:p>
      <w:pPr>
        <w:pStyle w:val="BodyText"/>
        <w:spacing w:line="232" w:lineRule="exact" w:before="3"/>
        <w:ind w:right="94"/>
        <w:jc w:val="left"/>
      </w:pPr>
      <w:r>
        <w:rPr>
          <w:spacing w:val="-2"/>
        </w:rPr>
        <w:t>同）折算为记账本位币金额，但公司发生的外币兑换业务或涉及外币兑换的交易事项，按照实际采用的汇率折算为记账本位</w:t>
      </w:r>
      <w:r>
        <w:rPr>
          <w:spacing w:val="-63"/>
        </w:rPr>
        <w:t> </w:t>
      </w:r>
      <w:r>
        <w:rPr>
          <w:spacing w:val="-63"/>
        </w:rPr>
      </w:r>
      <w:r>
        <w:rPr/>
        <w:t>币金额。</w:t>
      </w:r>
    </w:p>
    <w:p>
      <w:pPr>
        <w:pStyle w:val="BodyText"/>
        <w:spacing w:line="212" w:lineRule="exact"/>
        <w:ind w:left="592" w:right="94"/>
        <w:jc w:val="left"/>
      </w:pPr>
      <w:r>
        <w:rPr/>
        <w:t>（2）对于外币货币性项目和外币非货币性项目的折算方法</w:t>
      </w:r>
    </w:p>
    <w:p>
      <w:pPr>
        <w:pStyle w:val="BodyText"/>
        <w:spacing w:line="232" w:lineRule="exact" w:before="24"/>
        <w:ind w:right="190" w:firstLine="480"/>
        <w:jc w:val="both"/>
      </w:pPr>
      <w:r>
        <w:rPr>
          <w:spacing w:val="-1"/>
        </w:rPr>
        <w:t>资产负债表日，对于外币货币性项目采用资产负债表日即期汇率折算，由此产生的汇兑差额，除：①属于与购建符合</w:t>
      </w:r>
      <w:r>
        <w:rPr/>
        <w:t> </w:t>
      </w: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套期工具的汇兑差额计入其他综合收益，直至净投资被处置才被确认为当期损益；③可供出售的外币货币性项目除摊余成本</w:t>
      </w:r>
      <w:r>
        <w:rPr>
          <w:spacing w:val="-64"/>
        </w:rPr>
        <w:t> </w:t>
      </w:r>
      <w:r>
        <w:rPr>
          <w:spacing w:val="-64"/>
        </w:rPr>
      </w:r>
      <w:r>
        <w:rPr/>
        <w:t>之外的其他账面余额变动产生的汇兑差额计入其他综合收益之外，均计入当期损益。</w:t>
      </w:r>
    </w:p>
    <w:p>
      <w:pPr>
        <w:pStyle w:val="BodyText"/>
        <w:spacing w:line="232" w:lineRule="exact" w:before="3"/>
        <w:ind w:right="192"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232" w:lineRule="exact"/>
        <w:ind w:right="190"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p>
    <w:p>
      <w:pPr>
        <w:pStyle w:val="BodyText"/>
        <w:spacing w:line="213" w:lineRule="exact"/>
        <w:ind w:right="94"/>
        <w:jc w:val="left"/>
      </w:pPr>
      <w:r>
        <w:rPr/>
        <w:t>价值变动（含汇率变动）处理，计入当期损益或确认为其他综合收益。</w:t>
      </w:r>
    </w:p>
    <w:p>
      <w:pPr>
        <w:pStyle w:val="BodyText"/>
        <w:spacing w:line="232" w:lineRule="exact" w:before="23"/>
        <w:ind w:left="592" w:right="94"/>
        <w:jc w:val="left"/>
      </w:pPr>
      <w:r>
        <w:rPr/>
        <w:t>（3）外币财务报表的折算方法 </w:t>
      </w:r>
      <w:r>
        <w:rPr>
          <w:spacing w:val="-1"/>
        </w:rPr>
        <w:t>编制合并财务报表涉及境外经营的，如有实质上构成对境外经营净投资的外币货币性项目，因汇率变动而产生的汇兑</w:t>
      </w:r>
    </w:p>
    <w:p>
      <w:pPr>
        <w:pStyle w:val="BodyText"/>
        <w:spacing w:line="232" w:lineRule="exact" w:before="3"/>
        <w:ind w:left="592" w:right="94" w:hanging="480"/>
        <w:jc w:val="left"/>
      </w:pPr>
      <w:r>
        <w:rPr/>
        <w:t>差额，作为“外币报表折算差额”确认为其他综合收益；处置境外经营时，计入处置当期损益。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232" w:lineRule="exact"/>
        <w:ind w:right="94"/>
        <w:jc w:val="left"/>
      </w:pPr>
      <w:r>
        <w:rPr/>
        <w:t>汇率折算；股东权益类项目除“未分配利润”项目外，其他项目采用发生时的即期汇率折算。利润表中的收入和费用项目，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p>
    <w:p>
      <w:pPr>
        <w:pStyle w:val="BodyText"/>
        <w:spacing w:line="232" w:lineRule="exact" w:before="3"/>
        <w:ind w:right="94"/>
        <w:jc w:val="left"/>
      </w:pPr>
      <w:r>
        <w:rPr>
          <w:spacing w:val="-2"/>
        </w:rPr>
        <w:t>各项目计算列示；折算后资产类项目与负债类项目和股东权益类项目合计数的差额，作为外币报表折算差额，确认为其他综</w:t>
      </w:r>
      <w:r>
        <w:rPr>
          <w:spacing w:val="-63"/>
        </w:rPr>
        <w:t> </w:t>
      </w:r>
      <w:r>
        <w:rPr>
          <w:spacing w:val="-63"/>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232" w:lineRule="exact" w:before="1"/>
        <w:ind w:right="192" w:firstLine="480"/>
        <w:jc w:val="both"/>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232" w:lineRule="exact" w:before="3"/>
        <w:ind w:left="592" w:right="94"/>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232" w:lineRule="exact" w:before="3"/>
        <w:ind w:left="592" w:right="94" w:hanging="480"/>
        <w:jc w:val="left"/>
      </w:pPr>
      <w:r>
        <w:rPr>
          <w:spacing w:val="-4"/>
        </w:rPr>
        <w:t>债表中股东权益项目下列示的、与该境外经营相关的归属于母公司所有者权益的外币报表折算差额，全部转入处置当期损益。</w:t>
      </w:r>
      <w:r>
        <w:rPr>
          <w:spacing w:val="-41"/>
        </w:rPr>
        <w:t> </w:t>
      </w:r>
      <w:r>
        <w:rPr>
          <w:spacing w:val="-41"/>
        </w:rPr>
      </w:r>
      <w:r>
        <w:rPr/>
        <w:t>在处置部分股权投资或其他原因导致持有境外经营权益比例降低但不丧失对境外经营控制权时，与该境外经营处置部</w:t>
      </w:r>
    </w:p>
    <w:p>
      <w:pPr>
        <w:pStyle w:val="BodyText"/>
        <w:spacing w:line="232" w:lineRule="exact"/>
        <w:ind w:right="94"/>
        <w:jc w:val="left"/>
      </w:pPr>
      <w:r>
        <w:rPr>
          <w:spacing w:val="-4"/>
        </w:rPr>
        <w:t>分相关的外币报表折算差额将归属于少数股东权益，不转入当期损益。在处置境外经营为联营企业或合营企业的部分股权时，</w:t>
      </w:r>
      <w:r>
        <w:rPr>
          <w:spacing w:val="-41"/>
        </w:rPr>
        <w:t> </w:t>
      </w:r>
      <w:r>
        <w:rPr>
          <w:spacing w:val="-41"/>
        </w:rPr>
      </w:r>
      <w:r>
        <w:rPr/>
        <w:t>与该境外经营相关的外币报表折算差额，按处置该境外经营的比例转入处置当期损益。</w:t>
      </w:r>
    </w:p>
    <w:p>
      <w:pPr>
        <w:spacing w:after="0" w:line="232" w:lineRule="exact"/>
        <w:jc w:val="left"/>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9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232" w:lineRule="exact" w:before="22"/>
        <w:ind w:left="472" w:right="94" w:hanging="89"/>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212" w:lineRule="exact"/>
        <w:ind w:right="94"/>
        <w:jc w:val="left"/>
      </w:pPr>
      <w:r>
        <w:rPr>
          <w:spacing w:val="-4"/>
        </w:rPr>
        <w:t>融工具存在活跃市场的，本公司采用活跃市场中的报价确定其公允价值。活跃市场中的报价是指易于定期从交易所、经纪商、</w:t>
      </w:r>
    </w:p>
    <w:p>
      <w:pPr>
        <w:pStyle w:val="BodyText"/>
        <w:spacing w:line="232" w:lineRule="exact" w:before="24"/>
        <w:ind w:right="94"/>
        <w:jc w:val="left"/>
      </w:pP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232" w:lineRule="exact" w:before="3"/>
        <w:ind w:left="472" w:right="94" w:hanging="89"/>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10" w:lineRule="exact"/>
        <w:ind w:right="94"/>
        <w:jc w:val="left"/>
      </w:pPr>
      <w:r>
        <w:rPr/>
        <w:t>计入当期损益的金融资产、持有至到期投资、贷款和应收款项以及可供出售金融资产。</w:t>
      </w:r>
    </w:p>
    <w:p>
      <w:pPr>
        <w:pStyle w:val="BodyText"/>
        <w:spacing w:line="237" w:lineRule="auto"/>
        <w:ind w:left="472" w:right="94"/>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232" w:lineRule="exact" w:before="8"/>
        <w:ind w:right="192"/>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225" w:lineRule="auto"/>
        <w:ind w:right="192"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p>
    <w:p>
      <w:pPr>
        <w:pStyle w:val="BodyText"/>
        <w:spacing w:line="232" w:lineRule="exact" w:before="23"/>
        <w:ind w:left="472" w:right="94" w:hanging="360"/>
        <w:jc w:val="left"/>
      </w:pPr>
      <w:r>
        <w:rPr/>
        <w:t>行管理、评价并向关键管理人员报告。 </w:t>
      </w:r>
      <w:r>
        <w:rPr>
          <w:spacing w:val="-2"/>
        </w:rPr>
        <w:t>以公允价值计量且其变动计入当期损益的金融资产采用公允价值进行后续计量，公允价值变动形成的利得或损失以及与</w:t>
      </w:r>
    </w:p>
    <w:p>
      <w:pPr>
        <w:pStyle w:val="BodyText"/>
        <w:spacing w:line="210" w:lineRule="exact"/>
        <w:ind w:right="94"/>
        <w:jc w:val="left"/>
      </w:pPr>
      <w:r>
        <w:rPr/>
        <w:t>该等金融资产相关的股利和利息收入计入当期损益。</w:t>
      </w:r>
    </w:p>
    <w:p>
      <w:pPr>
        <w:pStyle w:val="BodyText"/>
        <w:spacing w:line="237" w:lineRule="auto"/>
        <w:ind w:left="472" w:right="94"/>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32" w:lineRule="exact"/>
        <w:ind w:right="94"/>
        <w:jc w:val="left"/>
      </w:pPr>
      <w:r>
        <w:rPr/>
        <w:t>当期损益。</w:t>
      </w:r>
    </w:p>
    <w:p>
      <w:pPr>
        <w:pStyle w:val="BodyText"/>
        <w:spacing w:line="237" w:lineRule="auto"/>
        <w:ind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232" w:lineRule="exact" w:before="24"/>
        <w:ind w:right="192"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232" w:lineRule="exact"/>
        <w:ind w:left="472" w:right="94"/>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232" w:lineRule="exact" w:before="3"/>
        <w:ind w:left="472" w:right="94"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10" w:lineRule="exact"/>
        <w:ind w:right="94"/>
        <w:jc w:val="left"/>
      </w:pPr>
      <w:r>
        <w:rPr/>
        <w:t>当期损益。</w:t>
      </w:r>
    </w:p>
    <w:p>
      <w:pPr>
        <w:pStyle w:val="BodyText"/>
        <w:spacing w:line="240" w:lineRule="auto"/>
        <w:ind w:left="472" w:right="94"/>
        <w:jc w:val="left"/>
      </w:pPr>
      <w:r>
        <w:rPr/>
        <w:t>④可供出售金融资产 包括初始确认时即被指定为可供出售的非衍生金融资产，以及除了以公允价值计量且其变动计入当期损益的金融资产、</w:t>
      </w:r>
    </w:p>
    <w:p>
      <w:pPr>
        <w:pStyle w:val="BodyText"/>
        <w:spacing w:line="232" w:lineRule="exact" w:before="22"/>
        <w:ind w:left="472" w:right="94"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232" w:lineRule="exact" w:before="3"/>
        <w:ind w:right="94"/>
        <w:jc w:val="left"/>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p>
    <w:p>
      <w:pPr>
        <w:pStyle w:val="BodyText"/>
        <w:spacing w:line="232" w:lineRule="exact" w:before="3"/>
        <w:ind w:right="94"/>
        <w:jc w:val="left"/>
      </w:pP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w:t>
      </w:r>
    </w:p>
    <w:p>
      <w:pPr>
        <w:pStyle w:val="BodyText"/>
        <w:spacing w:line="210" w:lineRule="exact"/>
        <w:ind w:left="472" w:right="94"/>
        <w:jc w:val="left"/>
      </w:pPr>
      <w:r>
        <w:rPr/>
        <w:t>可供出售金融资产持有期间取得的利息及被投资单位宣告发放的现金股利，计入投资收益。</w:t>
      </w:r>
    </w:p>
    <w:p>
      <w:pPr>
        <w:pStyle w:val="BodyText"/>
        <w:spacing w:line="236" w:lineRule="exact" w:before="20"/>
        <w:ind w:left="472" w:right="94" w:hanging="89"/>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10" w:lineRule="exact"/>
        <w:ind w:right="94"/>
        <w:jc w:val="left"/>
      </w:pPr>
      <w:r>
        <w:rPr/>
        <w:t>检查，有客观证据表明金融资产发生减值的，计提减值准备。</w:t>
      </w:r>
    </w:p>
    <w:p>
      <w:pPr>
        <w:pStyle w:val="BodyText"/>
        <w:spacing w:line="237" w:lineRule="auto"/>
        <w:ind w:right="192"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spacing w:after="0" w:line="237" w:lineRule="auto"/>
        <w:jc w:val="both"/>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2" w:lineRule="exact" w:before="69"/>
        <w:ind w:left="472" w:right="94"/>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232" w:lineRule="exact" w:before="3"/>
        <w:ind w:right="192"/>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232" w:lineRule="exact" w:before="3"/>
        <w:ind w:left="472" w:right="94"/>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32" w:lineRule="exact" w:before="1"/>
        <w:ind w:left="472" w:right="94"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212" w:lineRule="exact"/>
        <w:ind w:right="0"/>
        <w:jc w:val="both"/>
      </w:pPr>
      <w:r>
        <w:rPr/>
        <w:t>转出的累计损失为该资产初始取得成本扣除已收回本金和已摊销金额、当前公允价值和原已计入损益的减值损失后的余额。</w:t>
      </w:r>
    </w:p>
    <w:p>
      <w:pPr>
        <w:pStyle w:val="BodyText"/>
        <w:spacing w:line="232" w:lineRule="exact" w:before="24"/>
        <w:ind w:right="19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232" w:lineRule="exact" w:before="3"/>
        <w:ind w:right="192"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18" w:lineRule="exact"/>
        <w:ind w:left="384" w:right="94"/>
        <w:jc w:val="left"/>
      </w:pPr>
      <w:r>
        <w:rPr/>
        <w:t>（</w:t>
      </w:r>
      <w:r>
        <w:rPr>
          <w:rFonts w:ascii="Times New Roman" w:hAnsi="Times New Roman" w:cs="Times New Roman" w:eastAsia="Times New Roman" w:hint="default"/>
        </w:rPr>
        <w:t>4</w:t>
      </w:r>
      <w:r>
        <w:rPr/>
        <w:t>）金融资产转移的确认依据和计量方法</w:t>
      </w:r>
    </w:p>
    <w:p>
      <w:pPr>
        <w:pStyle w:val="BodyText"/>
        <w:spacing w:line="232" w:lineRule="exact" w:before="17"/>
        <w:ind w:right="192" w:firstLine="360"/>
        <w:jc w:val="both"/>
      </w:pPr>
      <w:r>
        <w:rPr>
          <w:spacing w:val="-2"/>
        </w:rPr>
        <w:t>满足下列条件之一的金融资产，予以终止确认：①收取该金融资产现金流量的合同权利终止；②该金融资产已转移，且</w:t>
      </w:r>
      <w:r>
        <w:rPr/>
        <w:t> </w:t>
      </w: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所有权上几乎所有的风险和报酬，但是放弃了对该金融资产的控制。</w:t>
      </w:r>
    </w:p>
    <w:p>
      <w:pPr>
        <w:pStyle w:val="BodyText"/>
        <w:spacing w:line="232" w:lineRule="exact" w:before="1"/>
        <w:ind w:right="19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p>
    <w:p>
      <w:pPr>
        <w:pStyle w:val="BodyText"/>
        <w:spacing w:line="232" w:lineRule="exact" w:before="3"/>
        <w:ind w:left="472" w:right="94" w:hanging="360"/>
        <w:jc w:val="left"/>
      </w:pPr>
      <w:r>
        <w:rPr/>
        <w:t>值变动使企业面临的风险水平。 </w:t>
      </w:r>
      <w:r>
        <w:rPr>
          <w:spacing w:val="-2"/>
        </w:rPr>
        <w:t>金融资产整体转移满足终止确认条件的，将所转移金融资产的账面价值及因转移而收到的对价与原计入其他综合收益的</w:t>
      </w:r>
    </w:p>
    <w:p>
      <w:pPr>
        <w:pStyle w:val="BodyText"/>
        <w:spacing w:line="212" w:lineRule="exact"/>
        <w:ind w:right="0"/>
        <w:jc w:val="both"/>
      </w:pPr>
      <w:r>
        <w:rPr/>
        <w:t>公允价值变动累计额之和的差额计入当期损益。</w:t>
      </w:r>
    </w:p>
    <w:p>
      <w:pPr>
        <w:pStyle w:val="BodyText"/>
        <w:spacing w:line="232" w:lineRule="exact" w:before="24"/>
        <w:ind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212" w:lineRule="exact"/>
        <w:ind w:right="0" w:firstLine="360"/>
        <w:jc w:val="left"/>
      </w:pPr>
      <w:r>
        <w:rPr/>
        <w:t>本公司对采用附追索权方式出售的金融资产，或将持有的金融资产背书转让，需确定该金融资产所有权上几乎所有的风</w:t>
      </w:r>
    </w:p>
    <w:p>
      <w:pPr>
        <w:pStyle w:val="BodyText"/>
        <w:spacing w:line="232" w:lineRule="exact" w:before="24"/>
        <w:ind w:right="192"/>
        <w:jc w:val="both"/>
      </w:pPr>
      <w:r>
        <w:rPr>
          <w:spacing w:val="-2"/>
        </w:rPr>
        <w:t>险和报酬是否已经转移。已将该金融资产所有权上几乎所有的风险和报酬转移给转入方的，终止确认该金融资产；保留了金</w:t>
      </w:r>
      <w:r>
        <w:rPr>
          <w:spacing w:val="-65"/>
        </w:rPr>
        <w:t> </w:t>
      </w:r>
      <w:r>
        <w:rPr>
          <w:spacing w:val="-65"/>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218" w:lineRule="exact"/>
        <w:ind w:left="472" w:right="94"/>
        <w:jc w:val="left"/>
      </w:pPr>
      <w:r>
        <w:rPr/>
        <w:t>（</w:t>
      </w:r>
      <w:r>
        <w:rPr>
          <w:rFonts w:ascii="Times New Roman" w:hAnsi="Times New Roman" w:cs="Times New Roman" w:eastAsia="Times New Roman" w:hint="default"/>
        </w:rPr>
        <w:t>5</w:t>
      </w:r>
      <w:r>
        <w:rPr/>
        <w:t>）金融负债的分类和计量</w:t>
      </w:r>
    </w:p>
    <w:p>
      <w:pPr>
        <w:pStyle w:val="BodyText"/>
        <w:spacing w:line="232" w:lineRule="exact" w:before="17"/>
        <w:ind w:right="94" w:firstLine="360"/>
        <w:jc w:val="left"/>
      </w:pPr>
      <w:r>
        <w:rPr/>
        <w:t>金融负债在初始确认时划分为以公允价值计量且其变动计入当期损益的金融负债和其他金融负债。初始确认金融负债， </w:t>
      </w:r>
      <w:r>
        <w:rPr>
          <w:spacing w:val="-2"/>
        </w:rPr>
        <w:t>以公允价值计量。对于以公允价值计量且其变动计入当期损益的金融负债，相关的交易费用直接计入当期损益；对于其他金</w:t>
      </w:r>
      <w:r>
        <w:rPr>
          <w:spacing w:val="-65"/>
        </w:rPr>
        <w:t> </w:t>
      </w:r>
      <w:r>
        <w:rPr>
          <w:spacing w:val="-65"/>
        </w:rPr>
      </w:r>
      <w:r>
        <w:rPr/>
        <w:t>融负债，相关交易费用计入初始确认金额。</w:t>
      </w:r>
    </w:p>
    <w:p>
      <w:pPr>
        <w:pStyle w:val="BodyText"/>
        <w:spacing w:line="232" w:lineRule="exact" w:before="3"/>
        <w:ind w:left="472" w:right="274"/>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232" w:lineRule="exact"/>
        <w:ind w:right="192"/>
        <w:jc w:val="both"/>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p>
    <w:p>
      <w:pPr>
        <w:pStyle w:val="BodyText"/>
        <w:spacing w:line="213" w:lineRule="exact"/>
        <w:ind w:right="0"/>
        <w:jc w:val="both"/>
      </w:pPr>
      <w:r>
        <w:rPr/>
        <w:t>等金融负债相关的股利和利息支出计入当期损益。</w:t>
      </w:r>
    </w:p>
    <w:p>
      <w:pPr>
        <w:pStyle w:val="BodyText"/>
        <w:spacing w:line="232" w:lineRule="exact" w:before="23"/>
        <w:ind w:left="472" w:right="94"/>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232" w:lineRule="exact" w:before="1"/>
        <w:ind w:right="192"/>
        <w:jc w:val="both"/>
      </w:pPr>
      <w:r>
        <w:rPr>
          <w:spacing w:val="-2"/>
        </w:rPr>
        <w:t>成本进行后续计量。其他金融负债采用实际利率法，按摊余成本进行后续计量，终止确认或摊销产生的利得或损失计入当期</w:t>
      </w:r>
      <w:r>
        <w:rPr>
          <w:spacing w:val="-65"/>
        </w:rPr>
        <w:t> </w:t>
      </w:r>
      <w:r>
        <w:rPr>
          <w:spacing w:val="-65"/>
        </w:rPr>
      </w:r>
      <w:r>
        <w:rPr/>
        <w:t>损益。</w:t>
      </w:r>
    </w:p>
    <w:p>
      <w:pPr>
        <w:pStyle w:val="BodyText"/>
        <w:spacing w:line="232" w:lineRule="exact" w:before="3"/>
        <w:ind w:left="472" w:right="94"/>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232" w:lineRule="exact" w:before="3"/>
        <w:ind w:right="192"/>
        <w:jc w:val="both"/>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4"/>
        </w:rPr>
        <w:t> </w:t>
      </w:r>
      <w:r>
        <w:rPr>
          <w:spacing w:val="-64"/>
        </w:rPr>
      </w:r>
      <w:r>
        <w:rPr/>
        <w:t>定的累计摊销额后的余额之中的较高者进行后续计量。</w:t>
      </w:r>
    </w:p>
    <w:p>
      <w:pPr>
        <w:pStyle w:val="BodyText"/>
        <w:spacing w:line="232" w:lineRule="exact"/>
        <w:ind w:left="472" w:right="94" w:hanging="89"/>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212" w:lineRule="exact"/>
        <w:ind w:right="0"/>
        <w:jc w:val="both"/>
      </w:pPr>
      <w:r>
        <w:rPr/>
        <w:t>订协议，以承担新金融负债方式替换现存金融负债，且新金融负债与现存金融负债的合同条款实质上不同的，终止确认现存</w:t>
      </w:r>
    </w:p>
    <w:p>
      <w:pPr>
        <w:pStyle w:val="BodyText"/>
        <w:spacing w:line="232" w:lineRule="exact" w:before="24"/>
        <w:ind w:left="472" w:right="94" w:hanging="360"/>
        <w:jc w:val="left"/>
      </w:pPr>
      <w:r>
        <w:rPr/>
        <w:t>金融负债，并同时确认新金融负债。 </w:t>
      </w:r>
      <w:r>
        <w:rPr>
          <w:spacing w:val="-2"/>
        </w:rPr>
        <w:t>金融负债全部或部分终止确认的，将终止确认部分的账面价值与支付的对价（包括转出的非现金资产或承担的新金融负</w:t>
      </w:r>
    </w:p>
    <w:p>
      <w:pPr>
        <w:pStyle w:val="BodyText"/>
        <w:spacing w:line="210" w:lineRule="exact"/>
        <w:ind w:right="0"/>
        <w:jc w:val="both"/>
      </w:pPr>
      <w:r>
        <w:rPr/>
        <w:t>债）之间的差额，计入当期损益。</w:t>
      </w:r>
    </w:p>
    <w:p>
      <w:pPr>
        <w:pStyle w:val="BodyText"/>
        <w:spacing w:line="236" w:lineRule="exact" w:before="20"/>
        <w:ind w:left="472" w:right="94" w:hanging="89"/>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10" w:lineRule="exact"/>
        <w:ind w:right="0"/>
        <w:jc w:val="both"/>
      </w:pPr>
      <w:r>
        <w:rPr/>
        <w:t>损益。</w:t>
      </w:r>
    </w:p>
    <w:p>
      <w:pPr>
        <w:pStyle w:val="BodyText"/>
        <w:spacing w:line="240" w:lineRule="auto"/>
        <w:ind w:right="101" w:firstLine="360"/>
        <w:jc w:val="both"/>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p>
    <w:p>
      <w:pPr>
        <w:spacing w:after="0" w:line="240" w:lineRule="auto"/>
        <w:jc w:val="both"/>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2" w:lineRule="exact" w:before="69"/>
        <w:ind w:left="132" w:right="0"/>
        <w:jc w:val="left"/>
      </w:pP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232" w:lineRule="exact" w:before="3"/>
        <w:ind w:left="492" w:right="0" w:hanging="89"/>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212" w:lineRule="exact"/>
        <w:ind w:left="132" w:right="0"/>
        <w:jc w:val="left"/>
      </w:pPr>
      <w:r>
        <w:rPr/>
        <w:t>同时变现该金融资产和清偿该金融负债时，金融资产和金融负债以相互抵销后的金额在资产负债表内列示。除此以外，金融</w:t>
      </w:r>
    </w:p>
    <w:p>
      <w:pPr>
        <w:pStyle w:val="BodyText"/>
        <w:spacing w:line="234" w:lineRule="exact"/>
        <w:ind w:left="132" w:right="0"/>
        <w:jc w:val="left"/>
      </w:pPr>
      <w:r>
        <w:rPr/>
        <w:t>资产和金融负债在资产负债表内分别列示，不予相互抵销。</w:t>
      </w:r>
    </w:p>
    <w:p>
      <w:pPr>
        <w:pStyle w:val="BodyText"/>
        <w:spacing w:line="232" w:lineRule="exact" w:before="23"/>
        <w:ind w:left="492" w:right="0" w:hanging="89"/>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212" w:lineRule="exact"/>
        <w:ind w:left="492" w:right="0" w:hanging="360"/>
        <w:jc w:val="left"/>
      </w:pPr>
      <w:r>
        <w:rPr/>
        <w:t>或注销权益工具作为权益的变动处理</w:t>
      </w:r>
      <w:r>
        <w:rPr>
          <w:spacing w:val="-84"/>
        </w:rPr>
        <w:t>。</w:t>
      </w:r>
      <w:r>
        <w:rPr/>
        <w:t>本公司不确认权益工具的公允价值变动</w:t>
      </w:r>
      <w:r>
        <w:rPr>
          <w:spacing w:val="-87"/>
        </w:rPr>
        <w:t>。</w:t>
      </w:r>
      <w:r>
        <w:rPr/>
        <w:t>与权益性交易相关的交易费用从权益中扣减。</w:t>
      </w:r>
    </w:p>
    <w:p>
      <w:pPr>
        <w:pStyle w:val="BodyText"/>
        <w:spacing w:line="240" w:lineRule="auto" w:before="38"/>
        <w:ind w:left="492" w:right="0"/>
        <w:jc w:val="left"/>
      </w:pPr>
      <w:r>
        <w:rPr/>
        <w:t>本公司对权益工具持有方的各种分配（不包括股票股利），减少股东权益。本公司不确认权益工具的公允价值变动额。</w:t>
      </w:r>
    </w:p>
    <w:p>
      <w:pPr>
        <w:spacing w:line="240" w:lineRule="auto" w:before="6"/>
        <w:rPr>
          <w:rFonts w:ascii="宋体" w:hAnsi="宋体" w:cs="宋体" w:eastAsia="宋体" w:hint="default"/>
          <w:sz w:val="22"/>
          <w:szCs w:val="22"/>
        </w:rPr>
      </w:pPr>
    </w:p>
    <w:p>
      <w:pPr>
        <w:pStyle w:val="Heading3"/>
        <w:spacing w:line="240" w:lineRule="auto"/>
        <w:ind w:left="132"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24"/>
          <w:szCs w:val="24"/>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2" w:firstLine="9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万元）以上的应收</w:t>
            </w:r>
            <w:r>
              <w:rPr>
                <w:rFonts w:ascii="宋体" w:hAnsi="宋体" w:cs="宋体" w:eastAsia="宋体" w:hint="default"/>
                <w:sz w:val="18"/>
                <w:szCs w:val="18"/>
              </w:rPr>
              <w:t> 款项确认为单项金额重大的应收款项。</w:t>
            </w:r>
          </w:p>
        </w:tc>
      </w:tr>
      <w:tr>
        <w:trPr>
          <w:trHeight w:val="278"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23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23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233"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278"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10"/>
        <w:rPr>
          <w:rFonts w:ascii="宋体" w:hAnsi="宋体" w:cs="宋体" w:eastAsia="宋体" w:hint="default"/>
          <w:b/>
          <w:bCs/>
          <w:sz w:val="17"/>
          <w:szCs w:val="17"/>
        </w:rPr>
      </w:pPr>
    </w:p>
    <w:p>
      <w:pPr>
        <w:pStyle w:val="Heading3"/>
        <w:spacing w:line="240" w:lineRule="auto" w:before="34"/>
        <w:ind w:left="132"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12"/>
        <w:ind w:left="132" w:right="0"/>
        <w:jc w:val="left"/>
      </w:pPr>
      <w:r>
        <w:rPr/>
        <w:t>组合中，采用账龄分析法计提坏账准备的：</w:t>
      </w:r>
    </w:p>
    <w:p>
      <w:pPr>
        <w:pStyle w:val="BodyText"/>
        <w:spacing w:line="240" w:lineRule="auto" w:before="38"/>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4"/>
          <w:szCs w:val="4"/>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40.00%</w:t>
            </w:r>
          </w:p>
        </w:tc>
      </w:tr>
    </w:tbl>
    <w:p>
      <w:pPr>
        <w:spacing w:line="240" w:lineRule="auto" w:before="6"/>
        <w:rPr>
          <w:rFonts w:ascii="宋体" w:hAnsi="宋体" w:cs="宋体" w:eastAsia="宋体" w:hint="default"/>
          <w:sz w:val="16"/>
          <w:szCs w:val="16"/>
        </w:rPr>
      </w:pPr>
    </w:p>
    <w:p>
      <w:pPr>
        <w:pStyle w:val="BodyText"/>
        <w:spacing w:line="232" w:lineRule="exact" w:before="69"/>
        <w:ind w:left="132" w:right="0" w:firstLine="360"/>
        <w:jc w:val="left"/>
      </w:pPr>
      <w:r>
        <w:rPr>
          <w:spacing w:val="-2"/>
        </w:rPr>
        <w:t>本公司之子公司神州易桥（北京）财税科技有限公司、企业管家（北京）科技服务有限公司采用账龄分析法计提坏账准</w:t>
      </w:r>
      <w:r>
        <w:rPr/>
        <w:t> 备的比例如下：</w:t>
      </w:r>
    </w:p>
    <w:p>
      <w:pPr>
        <w:spacing w:line="240" w:lineRule="auto" w:before="6"/>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433"/>
        <w:gridCol w:w="3247"/>
        <w:gridCol w:w="3014"/>
      </w:tblGrid>
      <w:tr>
        <w:trPr>
          <w:trHeight w:val="29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7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9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年，下同）</w:t>
            </w:r>
          </w:p>
        </w:tc>
        <w:tc>
          <w:tcPr>
            <w:tcW w:w="3247" w:type="dxa"/>
            <w:tcBorders>
              <w:top w:val="single" w:sz="4" w:space="0" w:color="000000"/>
              <w:left w:val="single" w:sz="4" w:space="0" w:color="000000"/>
              <w:bottom w:val="single" w:sz="4" w:space="0" w:color="000000"/>
              <w:right w:val="single" w:sz="4" w:space="0" w:color="000000"/>
            </w:tcBorders>
          </w:tcPr>
          <w:p>
            <w:pPr/>
          </w:p>
        </w:tc>
        <w:tc>
          <w:tcPr>
            <w:tcW w:w="301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30.00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pacing w:val="-1"/>
                <w:sz w:val="18"/>
              </w:rPr>
              <w:t>30.00</w:t>
            </w:r>
          </w:p>
        </w:tc>
      </w:tr>
      <w:tr>
        <w:trPr>
          <w:trHeight w:val="29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1"/>
              <w:jc w:val="right"/>
              <w:rPr>
                <w:rFonts w:ascii="宋体" w:hAnsi="宋体" w:cs="宋体" w:eastAsia="宋体" w:hint="default"/>
                <w:sz w:val="18"/>
                <w:szCs w:val="18"/>
              </w:rPr>
            </w:pPr>
            <w:r>
              <w:rPr>
                <w:rFonts w:ascii="宋体"/>
                <w:spacing w:val="-1"/>
                <w:sz w:val="18"/>
              </w:rPr>
              <w:t>50.00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0"/>
              <w:jc w:val="right"/>
              <w:rPr>
                <w:rFonts w:ascii="宋体" w:hAnsi="宋体" w:cs="宋体" w:eastAsia="宋体" w:hint="default"/>
                <w:sz w:val="18"/>
                <w:szCs w:val="18"/>
              </w:rPr>
            </w:pPr>
            <w:r>
              <w:rPr>
                <w:rFonts w:ascii="宋体"/>
                <w:spacing w:val="-1"/>
                <w:sz w:val="18"/>
              </w:rPr>
              <w:t>50.00</w:t>
            </w:r>
          </w:p>
        </w:tc>
      </w:tr>
      <w:tr>
        <w:trPr>
          <w:trHeight w:val="29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100.00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pacing w:val="-1"/>
                <w:sz w:val="18"/>
              </w:rPr>
              <w:t>100.00</w:t>
            </w:r>
          </w:p>
        </w:tc>
      </w:tr>
    </w:tbl>
    <w:p>
      <w:pPr>
        <w:spacing w:line="240" w:lineRule="auto" w:before="5"/>
        <w:rPr>
          <w:rFonts w:ascii="宋体" w:hAnsi="宋体" w:cs="宋体" w:eastAsia="宋体" w:hint="default"/>
          <w:sz w:val="16"/>
          <w:szCs w:val="16"/>
        </w:rPr>
      </w:pPr>
    </w:p>
    <w:p>
      <w:pPr>
        <w:pStyle w:val="BodyText"/>
        <w:spacing w:line="240" w:lineRule="auto" w:before="44"/>
        <w:ind w:left="132" w:right="0"/>
        <w:jc w:val="left"/>
      </w:pPr>
      <w:r>
        <w:rPr/>
        <w:t>组合中，采用余额百分比法计提坏账准备的：</w:t>
      </w:r>
    </w:p>
    <w:p>
      <w:pPr>
        <w:pStyle w:val="BodyText"/>
        <w:spacing w:line="501" w:lineRule="auto" w:before="38"/>
        <w:ind w:left="132"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spacing w:after="0" w:line="501" w:lineRule="auto"/>
        <w:jc w:val="left"/>
        <w:sectPr>
          <w:pgSz w:w="11910" w:h="16840"/>
          <w:pgMar w:header="878" w:footer="978" w:top="1100" w:bottom="1160" w:left="1000" w:right="940"/>
        </w:sectPr>
      </w:pPr>
    </w:p>
    <w:p>
      <w:pPr>
        <w:spacing w:line="240" w:lineRule="auto" w:before="12"/>
        <w:rPr>
          <w:rFonts w:ascii="宋体" w:hAnsi="宋体" w:cs="宋体" w:eastAsia="宋体" w:hint="default"/>
          <w:sz w:val="18"/>
          <w:szCs w:val="18"/>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201"/>
        <w:jc w:val="right"/>
      </w:pPr>
      <w:r>
        <w:rPr/>
        <w:pict>
          <v:shape style="position:absolute;margin-left:56.459999pt;margin-top:-22.108301pt;width:479.15pt;height:67.850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10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70"/>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计提坏账准备。</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个别计提。</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4"/>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6754"/>
        <w:jc w:val="left"/>
      </w:pPr>
      <w:r>
        <w:rPr/>
        <w:t>公司是否需要遵守特殊行业的披露要求 否</w:t>
      </w:r>
    </w:p>
    <w:p>
      <w:pPr>
        <w:pStyle w:val="BodyText"/>
        <w:spacing w:line="241" w:lineRule="exact" w:before="9"/>
        <w:ind w:right="0"/>
        <w:jc w:val="both"/>
      </w:pPr>
      <w:r>
        <w:rPr/>
        <w:t>（</w:t>
      </w:r>
      <w:r>
        <w:rPr>
          <w:rFonts w:ascii="Times New Roman" w:hAnsi="Times New Roman" w:cs="Times New Roman" w:eastAsia="Times New Roman" w:hint="default"/>
        </w:rPr>
        <w:t>1</w:t>
      </w:r>
      <w:r>
        <w:rPr/>
        <w:t>）存货的分类</w:t>
      </w:r>
    </w:p>
    <w:p>
      <w:pPr>
        <w:pStyle w:val="BodyText"/>
        <w:spacing w:line="226" w:lineRule="exact"/>
        <w:ind w:left="652" w:right="94"/>
        <w:jc w:val="left"/>
      </w:pPr>
      <w:r>
        <w:rPr/>
        <w:t>存货主要包括低值易耗品、库存商品等。</w:t>
      </w:r>
    </w:p>
    <w:p>
      <w:pPr>
        <w:pStyle w:val="BodyText"/>
        <w:spacing w:line="232" w:lineRule="exact" w:before="23"/>
        <w:ind w:left="472" w:right="454" w:hanging="89"/>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232" w:lineRule="exact" w:before="3"/>
        <w:ind w:left="472" w:right="94" w:hanging="89"/>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212" w:lineRule="exact"/>
        <w:ind w:right="0"/>
        <w:jc w:val="both"/>
      </w:pPr>
      <w:r>
        <w:rPr/>
        <w:t>金额。在确定存货的可变现净值时，以取得的确凿证据为基础，同时考虑持有存货的目的以及资产负债表日后事项的影响。</w:t>
      </w:r>
    </w:p>
    <w:p>
      <w:pPr>
        <w:pStyle w:val="BodyText"/>
        <w:spacing w:line="232" w:lineRule="exact" w:before="24"/>
        <w:ind w:right="94" w:firstLine="360"/>
        <w:jc w:val="left"/>
      </w:pPr>
      <w:r>
        <w:rPr>
          <w:spacing w:val="-2"/>
        </w:rPr>
        <w:t>在资产负债表日，存货按照成本与可变现净值孰低计量。当其可变现净值低于成本时，提取存货跌价准备。存货跌价准</w:t>
      </w:r>
      <w:r>
        <w:rPr/>
        <w:t> 备通常按单个存货项目的成本高于其可变现净值的差额提取。</w:t>
      </w:r>
    </w:p>
    <w:p>
      <w:pPr>
        <w:pStyle w:val="BodyText"/>
        <w:spacing w:line="232" w:lineRule="exact"/>
        <w:ind w:right="94"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20" w:lineRule="exact"/>
        <w:ind w:left="384" w:right="94"/>
        <w:jc w:val="left"/>
      </w:pPr>
      <w:r>
        <w:rPr/>
        <w:t>（</w:t>
      </w:r>
      <w:r>
        <w:rPr>
          <w:rFonts w:ascii="Times New Roman" w:hAnsi="Times New Roman" w:cs="Times New Roman" w:eastAsia="Times New Roman" w:hint="default"/>
        </w:rPr>
        <w:t>4</w:t>
      </w:r>
      <w:r>
        <w:rPr/>
        <w:t>）存货的盘存制度为永续盘存制。</w:t>
      </w:r>
    </w:p>
    <w:p>
      <w:pPr>
        <w:pStyle w:val="BodyText"/>
        <w:spacing w:line="232" w:lineRule="exact" w:before="16"/>
        <w:ind w:left="472" w:right="6214" w:hanging="89"/>
        <w:jc w:val="left"/>
      </w:pPr>
      <w:r>
        <w:rPr/>
        <w:t>（</w:t>
      </w:r>
      <w:r>
        <w:rPr>
          <w:rFonts w:ascii="Times New Roman" w:hAnsi="Times New Roman" w:cs="Times New Roman" w:eastAsia="Times New Roman" w:hint="default"/>
        </w:rPr>
        <w:t>5</w:t>
      </w:r>
      <w:r>
        <w:rPr/>
        <w:t>）低值易耗品的摊销方法 低值易耗品于领用时按一次摊销法摊销。</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4"/>
          <w:szCs w:val="24"/>
        </w:rPr>
      </w:pPr>
    </w:p>
    <w:p>
      <w:pPr>
        <w:pStyle w:val="BodyText"/>
        <w:spacing w:line="232" w:lineRule="exact"/>
        <w:ind w:right="192" w:firstLine="480"/>
        <w:jc w:val="both"/>
      </w:pPr>
      <w:r>
        <w:rPr>
          <w:spacing w:val="-1"/>
        </w:rPr>
        <w:t>本公司若主要通过出售包括具有商业实质的非货币性资产交换，而非持续使用一项非流动资产或处置组收回其账面价</w:t>
      </w:r>
      <w:r>
        <w:rPr/>
        <w:t> 值的，则将其划分为持有待售类别。具体标准为同时满足以下条件：</w:t>
      </w:r>
    </w:p>
    <w:p>
      <w:pPr>
        <w:pStyle w:val="BodyText"/>
        <w:spacing w:line="232" w:lineRule="exact"/>
        <w:ind w:right="261" w:firstLine="480"/>
        <w:jc w:val="both"/>
      </w:pPr>
      <w:r>
        <w:rPr/>
        <w:t>（</w:t>
      </w:r>
      <w:r>
        <w:rPr>
          <w:rFonts w:ascii="Times New Roman" w:hAnsi="Times New Roman" w:cs="Times New Roman" w:eastAsia="Times New Roman" w:hint="default"/>
        </w:rPr>
        <w:t>1</w:t>
      </w:r>
      <w:r>
        <w:rPr/>
        <w:t>）某项非流动资产或处置组根据类似交易中出售此类资产或处置组的惯例，在当前状况下即可立即出售；本公司 已经就出售计划作出决议且获得确定的购买承诺。</w:t>
      </w:r>
    </w:p>
    <w:p>
      <w:pPr>
        <w:pStyle w:val="BodyText"/>
        <w:spacing w:line="212" w:lineRule="exact"/>
        <w:ind w:left="412" w:right="94"/>
        <w:jc w:val="left"/>
      </w:pPr>
      <w:r>
        <w:rPr/>
        <w:t>确定的购买承诺，是指公司与其他方签订的具有法律约束力的购买协议，该协议包含交易价格、时间和足够严厉的违约</w:t>
      </w:r>
    </w:p>
    <w:p>
      <w:pPr>
        <w:pStyle w:val="BodyText"/>
        <w:spacing w:line="234" w:lineRule="exact"/>
        <w:ind w:right="0"/>
        <w:jc w:val="both"/>
      </w:pPr>
      <w:r>
        <w:rPr/>
        <w:t>惩罚等重要条款，使协议出现重大调整或者撤销的可能性极小。</w:t>
      </w:r>
    </w:p>
    <w:p>
      <w:pPr>
        <w:pStyle w:val="BodyText"/>
        <w:spacing w:line="232" w:lineRule="exact" w:before="23"/>
        <w:ind w:left="592" w:right="94" w:firstLine="60"/>
        <w:jc w:val="left"/>
      </w:pPr>
      <w:r>
        <w:rPr/>
        <w:t>（</w:t>
      </w:r>
      <w:r>
        <w:rPr>
          <w:rFonts w:ascii="Times New Roman" w:hAnsi="Times New Roman" w:cs="Times New Roman" w:eastAsia="Times New Roman" w:hint="default"/>
        </w:rPr>
        <w:t>2</w:t>
      </w:r>
      <w:r>
        <w:rPr/>
        <w:t>）预计出售将在一年内完成。 </w:t>
      </w:r>
      <w:r>
        <w:rPr>
          <w:spacing w:val="-1"/>
        </w:rPr>
        <w:t>其中，处置组是指在一项交易中作为整体通过出售或其他方式一并处置的一组资产，以及在该交易中转让的与这些资</w:t>
      </w:r>
    </w:p>
    <w:p>
      <w:pPr>
        <w:pStyle w:val="BodyText"/>
        <w:spacing w:line="218" w:lineRule="exact"/>
        <w:ind w:right="0"/>
        <w:jc w:val="both"/>
      </w:pPr>
      <w:r>
        <w:rPr/>
        <w:t>产直接相关的负债。处置组所属的资产组或资产组组合按照《企业会计准则第 </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资产减值》分摊了企业合并中取得</w:t>
      </w:r>
    </w:p>
    <w:p>
      <w:pPr>
        <w:pStyle w:val="BodyText"/>
        <w:spacing w:line="232" w:lineRule="exact" w:before="17"/>
        <w:ind w:left="592" w:right="94" w:hanging="480"/>
        <w:jc w:val="left"/>
      </w:pPr>
      <w:r>
        <w:rPr/>
        <w:t>的商誉的，该处置组应当包含分摊至处置组的商誉。 </w:t>
      </w:r>
      <w:r>
        <w:rPr>
          <w:spacing w:val="-1"/>
        </w:rPr>
        <w:t>本公司初始计量或在资产负债表日重新计量划分为持有待售的非流动资产和处置组时，其账面价值高于公允价值减去</w:t>
      </w:r>
    </w:p>
    <w:p>
      <w:pPr>
        <w:pStyle w:val="BodyText"/>
        <w:spacing w:line="212" w:lineRule="exact"/>
        <w:ind w:right="0"/>
        <w:jc w:val="both"/>
      </w:pPr>
      <w:r>
        <w:rPr>
          <w:spacing w:val="-4"/>
        </w:rPr>
        <w:t>出售费用后的净额的，将账面价值减记至公允价值减去出售费用后的净额，减记的金额确认为资产减值损失，计入当期损益，</w:t>
      </w:r>
    </w:p>
    <w:p>
      <w:pPr>
        <w:pStyle w:val="BodyText"/>
        <w:spacing w:line="235" w:lineRule="auto" w:before="4"/>
        <w:ind w:right="192"/>
        <w:jc w:val="both"/>
      </w:pPr>
      <w:r>
        <w:rPr>
          <w:spacing w:val="-2"/>
        </w:rPr>
        <w:t>同时计提持有待售资产减值准备。对于处置组，所确认的资产减值损失先抵减处置组中商誉的账面价值，再按比例抵减该处</w:t>
      </w:r>
      <w:r>
        <w:rPr>
          <w:spacing w:val="-65"/>
        </w:rPr>
        <w:t> </w:t>
      </w:r>
      <w:r>
        <w:rPr>
          <w:spacing w:val="-65"/>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持有待售的非流动资产、处置组和终止经营》的计量规定的各项非流动资产的账面价</w:t>
      </w:r>
      <w:r>
        <w:rPr>
          <w:spacing w:val="-64"/>
        </w:rPr>
        <w:t> </w:t>
      </w:r>
      <w:r>
        <w:rPr>
          <w:spacing w:val="-64"/>
        </w:rPr>
      </w:r>
      <w:r>
        <w:rPr>
          <w:spacing w:val="-2"/>
        </w:rPr>
        <w:t>值。后续资产负债表日持有待售的处置组公允价值减去出售费用后的净额增加的，以前减记的金额应当予以恢复，并在划分</w:t>
      </w:r>
      <w:r>
        <w:rPr>
          <w:spacing w:val="-65"/>
        </w:rPr>
        <w:t> </w:t>
      </w:r>
      <w:r>
        <w:rPr>
          <w:spacing w:val="-65"/>
        </w:rPr>
      </w:r>
      <w:r>
        <w:rPr>
          <w:spacing w:val="-2"/>
        </w:rPr>
        <w:t>为持有待售类别后适用持有待售准则计量规定的非流动资产确认的资产减值损失金额内转回，转回金额计入当期损益，并根</w:t>
      </w:r>
      <w:r>
        <w:rPr>
          <w:spacing w:val="-64"/>
        </w:rPr>
        <w:t> </w:t>
      </w:r>
      <w:r>
        <w:rPr>
          <w:spacing w:val="-64"/>
        </w:rPr>
      </w:r>
      <w:r>
        <w:rPr>
          <w:spacing w:val="-2"/>
        </w:rPr>
        <w:t>据处置组中除商誉外适用持有待售准则计量规定的各项非流动资产账面价值所占比重按比例增加其账面价值；已抵减的商誉</w:t>
      </w:r>
      <w:r>
        <w:rPr>
          <w:spacing w:val="-64"/>
        </w:rPr>
        <w:t> </w:t>
      </w:r>
      <w:r>
        <w:rPr>
          <w:spacing w:val="-64"/>
        </w:rPr>
      </w:r>
      <w:r>
        <w:rPr/>
        <w:t>账面价值，以及适用持有待售准则计量规定的非流动资产在划分为持有待售类别前确认的资产减值损失不得转回。</w:t>
      </w:r>
    </w:p>
    <w:p>
      <w:pPr>
        <w:pStyle w:val="BodyText"/>
        <w:spacing w:line="232" w:lineRule="exact" w:before="22"/>
        <w:ind w:right="192" w:firstLine="480"/>
        <w:jc w:val="both"/>
      </w:pPr>
      <w:r>
        <w:rPr>
          <w:spacing w:val="-1"/>
        </w:rPr>
        <w:t>持有待售的非流动资产或处置组中的非流动资产不计提折旧或摊销，持有待售的处置组中负债的利息和其他费用继续</w:t>
      </w:r>
      <w:r>
        <w:rPr/>
        <w:t> 予以确认。</w:t>
      </w:r>
    </w:p>
    <w:p>
      <w:pPr>
        <w:pStyle w:val="BodyText"/>
        <w:spacing w:line="232" w:lineRule="exact" w:before="3"/>
        <w:ind w:right="192" w:firstLine="480"/>
        <w:jc w:val="both"/>
      </w:pPr>
      <w:r>
        <w:rPr>
          <w:spacing w:val="-1"/>
        </w:rPr>
        <w:t>非流动资产或处置组不再满足持有待售类别的划分条件时，本公司不再将其继续划分为持有待售类别或将非流动资产</w:t>
      </w:r>
      <w:r>
        <w:rPr/>
        <w:t> 从持有待售的处置组中移除，并按照以下两者孰低计量：（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 待售类别情况下本应确认的折旧、摊销或减值等进行调整后的金额；（</w:t>
      </w:r>
      <w:r>
        <w:rPr>
          <w:rFonts w:ascii="Times New Roman" w:hAnsi="Times New Roman" w:cs="Times New Roman" w:eastAsia="Times New Roman" w:hint="default"/>
        </w:rPr>
        <w:t>2</w:t>
      </w:r>
      <w:r>
        <w:rPr/>
        <w:t>）可收回金额。</w:t>
      </w:r>
    </w:p>
    <w:p>
      <w:pPr>
        <w:spacing w:after="0" w:line="232" w:lineRule="exact"/>
        <w:jc w:val="both"/>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92" w:firstLine="180"/>
        <w:jc w:val="both"/>
      </w:pPr>
      <w:r>
        <w:rPr>
          <w:spacing w:val="-2"/>
        </w:rPr>
        <w:t>本部分所指的长期股权投资是指本公司对被投资单位具有控制、共同控制或重大影响的长期股权投资。本公司对被投资单</w:t>
      </w:r>
      <w:r>
        <w:rPr/>
        <w:t> </w:t>
      </w:r>
      <w:r>
        <w:rPr>
          <w:spacing w:val="-2"/>
        </w:rPr>
        <w:t>位不具有控制、共同控制或重大影响的长期股权投资，作为可供出售金融资产或以公允价值计量且其变动计入当期损益的金</w:t>
      </w:r>
      <w:r>
        <w:rPr>
          <w:spacing w:val="-64"/>
        </w:rPr>
        <w:t> </w:t>
      </w:r>
      <w:r>
        <w:rPr>
          <w:spacing w:val="-64"/>
        </w:rPr>
      </w:r>
      <w:r>
        <w:rPr/>
        <w:t>融资产核算，其会计政策详见附注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32" w:lineRule="exact" w:before="8"/>
        <w:ind w:right="19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5"/>
        </w:rPr>
        <w:t> </w:t>
      </w:r>
      <w:r>
        <w:rPr>
          <w:spacing w:val="-65"/>
        </w:rPr>
      </w:r>
      <w:r>
        <w:rPr/>
        <w:t>方一起共同控制这些政策的制定。</w:t>
      </w:r>
    </w:p>
    <w:p>
      <w:pPr>
        <w:pStyle w:val="BodyText"/>
        <w:spacing w:line="232" w:lineRule="exact" w:before="3"/>
        <w:ind w:left="472" w:right="94" w:hanging="89"/>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212" w:lineRule="exact"/>
        <w:ind w:right="0"/>
        <w:jc w:val="left"/>
      </w:pPr>
      <w:r>
        <w:rPr/>
        <w:t>价值的份额作为长期股权投资的初始投资成本。长期股权投资初始投资成本与支付的现金、转让的非现金资产以及所承担债</w:t>
      </w:r>
    </w:p>
    <w:p>
      <w:pPr>
        <w:pStyle w:val="BodyText"/>
        <w:spacing w:line="235" w:lineRule="auto" w:before="4"/>
        <w:ind w:right="94"/>
        <w:jc w:val="left"/>
      </w:pPr>
      <w:r>
        <w:rPr>
          <w:spacing w:val="-2"/>
        </w:rPr>
        <w:t>务账面价值之间的差额，调整资本公积；资本公积不足冲减的，调整留存收益。以发行权益性证券作为合并对价的，在合并</w:t>
      </w:r>
      <w:r>
        <w:rPr>
          <w:spacing w:val="-65"/>
        </w:rPr>
        <w:t> </w:t>
      </w:r>
      <w:r>
        <w:rPr>
          <w:spacing w:val="-65"/>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2"/>
        </w:rPr>
        <w:t> </w:t>
      </w:r>
      <w:r>
        <w:rPr>
          <w:spacing w:val="-42"/>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7"/>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232" w:lineRule="auto" w:before="6"/>
        <w:ind w:right="94"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2"/>
        </w:rPr>
        <w:t> </w:t>
      </w:r>
      <w:r>
        <w:rPr>
          <w:spacing w:val="-42"/>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99"/>
        </w:rPr>
        <w:t>取得控制权的交易进行会计处理。不属于</w:t>
      </w:r>
      <w:r>
        <w:rPr>
          <w:rFonts w:ascii="Times New Roman" w:hAnsi="Times New Roman" w:cs="Times New Roman" w:eastAsia="Times New Roman" w:hint="default"/>
          <w:spacing w:val="-3"/>
          <w:w w:val="99"/>
        </w:rPr>
        <w:t>“</w:t>
      </w:r>
      <w:r>
        <w:rPr>
          <w:spacing w:val="-3"/>
          <w:w w:val="99"/>
        </w:rPr>
        <w:t>一揽子交易</w:t>
      </w:r>
      <w:r>
        <w:rPr>
          <w:rFonts w:ascii="Times New Roman" w:hAnsi="Times New Roman" w:cs="Times New Roman" w:eastAsia="Times New Roman" w:hint="default"/>
          <w:spacing w:val="-3"/>
          <w:w w:val="99"/>
        </w:rPr>
        <w:t>”</w:t>
      </w:r>
      <w:r>
        <w:rPr>
          <w:spacing w:val="-3"/>
          <w:w w:val="99"/>
        </w:rPr>
        <w:t>的，按照原持有被购买方的股权投资账面价值加上新增投资成本之和，</w:t>
      </w:r>
      <w:r>
        <w:rPr>
          <w:spacing w:val="-74"/>
          <w:w w:val="99"/>
        </w:rPr>
        <w:t> </w:t>
      </w:r>
      <w:r>
        <w:rPr>
          <w:spacing w:val="-74"/>
          <w:w w:val="99"/>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5"/>
        </w:rPr>
        <w:t> </w:t>
      </w:r>
      <w:r>
        <w:rPr>
          <w:spacing w:val="-65"/>
        </w:rPr>
      </w:r>
      <w:r>
        <w:rPr/>
        <w:t>变动转入当期损益。</w:t>
      </w:r>
    </w:p>
    <w:p>
      <w:pPr>
        <w:pStyle w:val="BodyText"/>
        <w:spacing w:line="232" w:lineRule="exact" w:before="25"/>
        <w:ind w:right="94" w:firstLine="360"/>
        <w:jc w:val="left"/>
      </w:pPr>
      <w:r>
        <w:rPr>
          <w:spacing w:val="-2"/>
        </w:rPr>
        <w:t>合并方或购买方为企业合并发生的审计、法律服务、评估咨询等中介费用以及其他相关管理费用，于发生时计入当期损</w:t>
      </w:r>
      <w:r>
        <w:rPr/>
        <w:t> 益。</w:t>
      </w:r>
    </w:p>
    <w:p>
      <w:pPr>
        <w:pStyle w:val="BodyText"/>
        <w:spacing w:line="232" w:lineRule="exact" w:before="1"/>
        <w:ind w:right="94" w:firstLine="360"/>
        <w:jc w:val="left"/>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p>
    <w:p>
      <w:pPr>
        <w:pStyle w:val="BodyText"/>
        <w:spacing w:line="232" w:lineRule="exact" w:before="3"/>
        <w:ind w:right="94"/>
        <w:jc w:val="left"/>
      </w:pP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p>
    <w:p>
      <w:pPr>
        <w:pStyle w:val="BodyText"/>
        <w:spacing w:line="232" w:lineRule="exact" w:before="3"/>
        <w:ind w:right="94"/>
        <w:jc w:val="left"/>
      </w:pP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232" w:lineRule="exact"/>
        <w:ind w:left="472" w:right="94" w:hanging="89"/>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12" w:lineRule="exact"/>
        <w:ind w:right="94"/>
        <w:jc w:val="left"/>
      </w:pPr>
      <w:r>
        <w:rPr/>
        <w:t>表采用成本法核算能够对被投资单位实施控制的长期股权投资。</w:t>
      </w:r>
    </w:p>
    <w:p>
      <w:pPr>
        <w:pStyle w:val="BodyText"/>
        <w:spacing w:line="232" w:lineRule="exact" w:before="24"/>
        <w:ind w:left="472" w:right="94"/>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232" w:lineRule="exact" w:before="1"/>
        <w:ind w:right="94"/>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232" w:lineRule="exact" w:before="3"/>
        <w:ind w:left="472" w:right="94"/>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212" w:lineRule="exact"/>
        <w:ind w:right="0"/>
        <w:jc w:val="left"/>
      </w:pPr>
      <w:r>
        <w:rPr/>
        <w:t>长期股权投资的初始投资成本；初始投资成本小于投资时应享有被投资单位可辨认净资产公允价值份额的，其差额计入当期</w:t>
      </w:r>
    </w:p>
    <w:p>
      <w:pPr>
        <w:pStyle w:val="BodyText"/>
        <w:spacing w:line="232" w:lineRule="exact" w:before="24"/>
        <w:ind w:left="472" w:right="94" w:hanging="360"/>
        <w:jc w:val="left"/>
      </w:pPr>
      <w:r>
        <w:rPr/>
        <w:t>损益，同时调整长期股权投资的成本。 </w:t>
      </w:r>
      <w:r>
        <w:rPr>
          <w:spacing w:val="-2"/>
        </w:rPr>
        <w:t>采用权益法核算时，按照应享有或应分担的被投资单位实现的净损益和其他综合收益的份额，分别确认投资收益和其他</w:t>
      </w:r>
    </w:p>
    <w:p>
      <w:pPr>
        <w:pStyle w:val="BodyText"/>
        <w:spacing w:line="232" w:lineRule="exact"/>
        <w:ind w:right="94"/>
        <w:jc w:val="left"/>
      </w:pPr>
      <w:r>
        <w:rPr>
          <w:spacing w:val="-2"/>
        </w:rPr>
        <w:t>综合收益，同时调整长期股权投资的账面价值；按照被投资单位宣告分派的利润或现金股利计算应享有的部分，相应减少长</w:t>
      </w:r>
      <w:r>
        <w:rPr>
          <w:spacing w:val="-65"/>
        </w:rPr>
        <w:t> </w:t>
      </w:r>
      <w:r>
        <w:rPr>
          <w:spacing w:val="-65"/>
        </w:rPr>
      </w:r>
      <w:r>
        <w:rPr>
          <w:spacing w:val="-2"/>
        </w:rPr>
        <w:t>期股权投资的账面价值；对于被投资单位除净损益、其他综合收益和利润分配以外所有者权益的其他变动，调整长期股权投</w:t>
      </w:r>
    </w:p>
    <w:p>
      <w:pPr>
        <w:pStyle w:val="BodyText"/>
        <w:spacing w:line="232" w:lineRule="exact" w:before="3"/>
        <w:ind w:right="101"/>
        <w:jc w:val="both"/>
      </w:pP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5"/>
        </w:rPr>
        <w:t> </w:t>
      </w:r>
      <w:r>
        <w:rPr>
          <w:spacing w:val="-65"/>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p>
    <w:p>
      <w:pPr>
        <w:pStyle w:val="BodyText"/>
        <w:spacing w:line="232" w:lineRule="exact" w:before="3"/>
        <w:ind w:right="94"/>
        <w:jc w:val="left"/>
      </w:pPr>
      <w:r>
        <w:rPr>
          <w:spacing w:val="-4"/>
        </w:rPr>
        <w:t>部分予以抵销，在此基础上确认投资损益。但本公司与被投资单位发生的未实现内部交易损失，属于所转让资产减值损失的，</w:t>
      </w:r>
      <w:r>
        <w:rPr>
          <w:spacing w:val="-42"/>
        </w:rPr>
        <w:t> </w:t>
      </w:r>
      <w:r>
        <w:rPr>
          <w:spacing w:val="-42"/>
        </w:rPr>
      </w:r>
      <w:r>
        <w:rPr>
          <w:spacing w:val="-2"/>
        </w:rPr>
        <w:t>不予以抵销。本公司向合营企业或联营企业投出的资产构成业务的，投资方因此取得长期股权投资但未取得控制权的，以投</w:t>
      </w:r>
      <w:r>
        <w:rPr>
          <w:spacing w:val="-65"/>
        </w:rPr>
        <w:t> </w:t>
      </w:r>
      <w:r>
        <w:rPr>
          <w:spacing w:val="-65"/>
        </w:rPr>
      </w:r>
      <w:r>
        <w:rPr/>
        <w:t>出业务的公允价值作为新增长期股权投资的初始投资成本，初始投资成本与投出业务的账面价值之差，全额计入当期损益。</w:t>
      </w:r>
    </w:p>
    <w:p>
      <w:pPr>
        <w:pStyle w:val="BodyText"/>
        <w:spacing w:line="232" w:lineRule="exact" w:before="3"/>
        <w:ind w:right="192"/>
        <w:jc w:val="both"/>
      </w:pPr>
      <w:r>
        <w:rPr>
          <w:spacing w:val="-2"/>
        </w:rPr>
        <w:t>本公司向合营企业或联营企业出售的资产构成业务的，取得的对价与业务的账面价值之差，全额计入当期损益。本公司自联</w:t>
      </w:r>
      <w:r>
        <w:rPr>
          <w:spacing w:val="-65"/>
        </w:rPr>
        <w:t> </w:t>
      </w:r>
      <w:r>
        <w:rPr>
          <w:spacing w:val="-65"/>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5"/>
        </w:rPr>
        <w:t> </w:t>
      </w:r>
      <w:r>
        <w:rPr>
          <w:spacing w:val="-65"/>
        </w:rPr>
      </w:r>
      <w:r>
        <w:rPr/>
        <w:t>相关的利得或损失。</w:t>
      </w:r>
    </w:p>
    <w:p>
      <w:pPr>
        <w:spacing w:after="0" w:line="232" w:lineRule="exact"/>
        <w:jc w:val="both"/>
        <w:sectPr>
          <w:footerReference w:type="default" r:id="rId37"/>
          <w:pgSz w:w="11910" w:h="16840"/>
          <w:pgMar w:footer="978" w:header="878" w:top="1100" w:bottom="1160" w:left="1020" w:right="940"/>
          <w:pgNumType w:start="90"/>
        </w:sectPr>
      </w:pPr>
    </w:p>
    <w:p>
      <w:pPr>
        <w:spacing w:line="240" w:lineRule="auto" w:before="12"/>
        <w:rPr>
          <w:rFonts w:ascii="宋体" w:hAnsi="宋体" w:cs="宋体" w:eastAsia="宋体" w:hint="default"/>
          <w:sz w:val="18"/>
          <w:szCs w:val="18"/>
        </w:rPr>
      </w:pPr>
    </w:p>
    <w:p>
      <w:pPr>
        <w:pStyle w:val="BodyText"/>
        <w:spacing w:line="237" w:lineRule="auto" w:before="46"/>
        <w:ind w:right="192"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232" w:lineRule="exact" w:before="22"/>
        <w:ind w:right="192" w:firstLine="360"/>
        <w:jc w:val="both"/>
      </w:pP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232" w:lineRule="exact" w:before="3"/>
        <w:ind w:left="472" w:right="94"/>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10" w:lineRule="exact"/>
        <w:ind w:right="94"/>
        <w:jc w:val="left"/>
      </w:pPr>
      <w:r>
        <w:rPr/>
        <w:t>日）开始持续计算的净资产份额之间的差额，调整资本公积，资本公积不足冲减的，调整留存收益。</w:t>
      </w:r>
    </w:p>
    <w:p>
      <w:pPr>
        <w:pStyle w:val="BodyText"/>
        <w:spacing w:line="232" w:lineRule="exact" w:before="23"/>
        <w:ind w:left="472" w:right="94"/>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232" w:lineRule="exact" w:before="3"/>
        <w:ind w:right="94"/>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212" w:lineRule="exact"/>
        <w:ind w:left="472" w:right="94"/>
        <w:jc w:val="left"/>
      </w:pPr>
      <w:r>
        <w:rPr/>
        <w:t>其他情形下的长期股权投资处置，对于处置的股权，其账面价值与实际取得价款的差额，计入当期损益。</w:t>
      </w:r>
    </w:p>
    <w:p>
      <w:pPr>
        <w:pStyle w:val="BodyText"/>
        <w:spacing w:line="237" w:lineRule="auto" w:before="2"/>
        <w:ind w:right="94" w:firstLine="360"/>
        <w:jc w:val="left"/>
      </w:pPr>
      <w:r>
        <w:rPr>
          <w:spacing w:val="-2"/>
        </w:rPr>
        <w:t>采用权益法核算的长期股权投资，处置后的剩余股权仍采用权益法核算的，在处置时将原计入股东权益的其他综合收益</w:t>
      </w:r>
      <w:r>
        <w:rPr/>
        <w:t> </w:t>
      </w: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5"/>
        </w:rPr>
        <w:t> </w:t>
      </w:r>
      <w:r>
        <w:rPr>
          <w:spacing w:val="-65"/>
        </w:rPr>
      </w:r>
      <w:r>
        <w:rPr/>
        <w:t>其他所有者权益变动按比例结转当期损益。</w:t>
      </w:r>
    </w:p>
    <w:p>
      <w:pPr>
        <w:pStyle w:val="BodyText"/>
        <w:spacing w:line="237" w:lineRule="auto"/>
        <w:ind w:right="192"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5"/>
        </w:rPr>
        <w:t> </w:t>
      </w:r>
      <w:r>
        <w:rPr>
          <w:spacing w:val="-65"/>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5"/>
        </w:rPr>
        <w:t> </w:t>
      </w:r>
      <w:r>
        <w:rPr>
          <w:spacing w:val="-65"/>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237" w:lineRule="auto"/>
        <w:ind w:right="94"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237" w:lineRule="auto"/>
        <w:ind w:right="192"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8014"/>
        <w:jc w:val="left"/>
      </w:pPr>
      <w:r>
        <w:rPr/>
        <w:t>投资性房地产计量模式 成本法计量 折旧或摊销方法</w:t>
      </w:r>
    </w:p>
    <w:p>
      <w:pPr>
        <w:pStyle w:val="BodyText"/>
        <w:spacing w:line="232" w:lineRule="exact" w:before="34"/>
        <w:ind w:right="94" w:firstLine="480"/>
        <w:jc w:val="left"/>
      </w:pPr>
      <w:r>
        <w:rPr>
          <w:spacing w:val="-1"/>
        </w:rPr>
        <w:t>投资性房地产是指为赚取租金或资本增值，或两者兼有而持有的房地产。包括已出租的土地使用权、持有并准备增值</w:t>
      </w:r>
      <w:r>
        <w:rPr/>
        <w:t> 后转让的土地使用权、已出租的建筑物等。</w:t>
      </w:r>
    </w:p>
    <w:p>
      <w:pPr>
        <w:pStyle w:val="BodyText"/>
        <w:spacing w:line="212" w:lineRule="exact"/>
        <w:ind w:left="592" w:right="94"/>
        <w:jc w:val="left"/>
      </w:pPr>
      <w:r>
        <w:rPr/>
        <w:t>对于本公司持有以备经营出租的空置建筑物，若董事会（或类似机构）作出书面决议，明确表示将其用于经营出租且</w:t>
      </w:r>
    </w:p>
    <w:p>
      <w:pPr>
        <w:pStyle w:val="BodyText"/>
        <w:spacing w:line="232" w:lineRule="exact" w:before="24"/>
        <w:ind w:left="592" w:right="94" w:hanging="480"/>
        <w:jc w:val="left"/>
      </w:pPr>
      <w:r>
        <w:rPr/>
        <w:t>持有意图短期内不再发生变化的，也作为投资性房地产列报。 </w:t>
      </w:r>
      <w:r>
        <w:rPr>
          <w:spacing w:val="-1"/>
        </w:rPr>
        <w:t>投资性房地产按成本进行初始计量。与投资性房地产有关的后续支出，如果与该资产有关的经济利益很可能流入且其</w:t>
      </w:r>
    </w:p>
    <w:p>
      <w:pPr>
        <w:pStyle w:val="BodyText"/>
        <w:spacing w:line="232" w:lineRule="exact"/>
        <w:ind w:left="592" w:right="154" w:hanging="480"/>
        <w:jc w:val="left"/>
      </w:pPr>
      <w:r>
        <w:rPr/>
        <w:t>成本能可靠地计量，则计入投资性房地产成本。其他后续支出，在发生时计入当期损益。 本公司采用成本模式对投资性房地产进行后续计量，并按照与房屋建筑物或土地使用权一致的政策进行折旧或摊销。</w:t>
      </w:r>
    </w:p>
    <w:p>
      <w:pPr>
        <w:pStyle w:val="BodyText"/>
        <w:spacing w:line="232" w:lineRule="exact" w:before="3"/>
        <w:ind w:left="592" w:right="154"/>
        <w:jc w:val="left"/>
      </w:pPr>
      <w:r>
        <w:rPr/>
        <w:t>投资性房地产的减值测试方法和减值准备计提方法详见附注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 自用房地产转换为投资性房地产或投资性房地产转换为自用房地产时，按转换前的账面价值作为转换后的入账价值。 </w:t>
      </w:r>
      <w:r>
        <w:rPr>
          <w:spacing w:val="-1"/>
        </w:rPr>
        <w:t>投资性房地产的用途改变为自用时，自改变之日起，将该投资性房地产转换为固定资产。自用房地产的用途改变为赚</w:t>
      </w:r>
    </w:p>
    <w:p>
      <w:pPr>
        <w:pStyle w:val="BodyText"/>
        <w:spacing w:line="212" w:lineRule="exact"/>
        <w:ind w:right="0"/>
        <w:jc w:val="left"/>
      </w:pPr>
      <w:r>
        <w:rPr/>
        <w:t>取租金或资本增值时，自改变之日起，将固定资产转换为投资性房地产。发生转换时，转换为采用成本模式计量的投资性房</w:t>
      </w:r>
    </w:p>
    <w:p>
      <w:pPr>
        <w:pStyle w:val="BodyText"/>
        <w:spacing w:line="232" w:lineRule="exact" w:before="24"/>
        <w:ind w:right="94"/>
        <w:jc w:val="left"/>
      </w:pPr>
      <w:r>
        <w:rPr>
          <w:spacing w:val="-2"/>
        </w:rPr>
        <w:t>地产的，以转换前的账面价值作为转换后的入账价值；转换为以公允价值模式计量的投资性房地产的，以转换日的公允价值</w:t>
      </w:r>
      <w:r>
        <w:rPr>
          <w:spacing w:val="-63"/>
        </w:rPr>
        <w:t> </w:t>
      </w:r>
      <w:r>
        <w:rPr>
          <w:spacing w:val="-63"/>
        </w:rPr>
      </w:r>
      <w:r>
        <w:rPr/>
        <w:t>作为转换后的入账价值。</w:t>
      </w:r>
    </w:p>
    <w:p>
      <w:pPr>
        <w:pStyle w:val="BodyText"/>
        <w:spacing w:line="212" w:lineRule="exact"/>
        <w:ind w:left="592" w:right="94"/>
        <w:jc w:val="left"/>
      </w:pPr>
      <w:r>
        <w:rPr/>
        <w:t>当投资性房地产被处置、或者永久退出使用且预计不能从其处置中取得经济利益时，终止确认该项投资性房地产。投</w:t>
      </w:r>
    </w:p>
    <w:p>
      <w:pPr>
        <w:pStyle w:val="BodyText"/>
        <w:spacing w:line="240" w:lineRule="auto"/>
        <w:ind w:right="94"/>
        <w:jc w:val="left"/>
      </w:pPr>
      <w:r>
        <w:rPr/>
        <w:t>资性房地产出售、转让、报废或毁损的处置收入扣除其账面价值和相关税费后计入当期损益。</w:t>
      </w:r>
    </w:p>
    <w:p>
      <w:pPr>
        <w:spacing w:after="0" w:line="240" w:lineRule="auto"/>
        <w:jc w:val="left"/>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292" w:firstLine="91"/>
        <w:jc w:val="both"/>
      </w:pPr>
      <w:r>
        <w:rPr/>
        <w:t>固定资产是指为生产商品、提供劳务、出租或经营管理而持有的，使用寿命超过一个会计年度的有形资产。固定资产仅在 </w:t>
      </w:r>
      <w:r>
        <w:rPr>
          <w:spacing w:val="-2"/>
        </w:rPr>
        <w:t>与其有关的经济利益很可能流入本公司，且其成本能够可靠地计量时才予以确认。固定资产按成本并考虑预计弃置费用因素</w:t>
      </w:r>
      <w:r>
        <w:rPr>
          <w:spacing w:val="-64"/>
        </w:rPr>
        <w:t> </w:t>
      </w:r>
      <w:r>
        <w:rPr>
          <w:spacing w:val="-64"/>
        </w:rPr>
      </w:r>
      <w:r>
        <w:rPr/>
        <w:t>的影响进行初始计量。</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sz w:val="18"/>
              </w:rPr>
              <w:t>15-35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sz w:val="18"/>
              </w:rPr>
              <w:t>6.47%-2.77%</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sz w:val="18"/>
              </w:rPr>
              <w:t>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sz w:val="18"/>
              </w:rPr>
              <w:t>13.86%-6.93%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Times New Roman"/>
                <w:sz w:val="18"/>
              </w:rPr>
              <w:t>12.13%</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19.40%-12.13%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
        <w:rPr>
          <w:rFonts w:ascii="宋体" w:hAnsi="宋体" w:cs="宋体" w:eastAsia="宋体" w:hint="default"/>
          <w:b/>
          <w:bCs/>
          <w:sz w:val="22"/>
          <w:szCs w:val="22"/>
        </w:rPr>
      </w:pPr>
    </w:p>
    <w:p>
      <w:pPr>
        <w:pStyle w:val="BodyText"/>
        <w:spacing w:line="237" w:lineRule="auto"/>
        <w:ind w:right="0"/>
        <w:jc w:val="left"/>
      </w:pPr>
      <w:r>
        <w:rPr/>
        <w:t>融资租赁为实质上转移了与资产所有权有关的全部风险和报酬的租赁，其所有权最终可能转移，也可能不转移。以融资租赁 </w:t>
      </w:r>
      <w:r>
        <w:rPr>
          <w:spacing w:val="-2"/>
        </w:rPr>
        <w:t>方式租入的固定资产采用与自有固定资产一致的政策计提租赁资产折旧。能够合理确定租赁期届满时取得租赁资产所有权的，</w:t>
      </w:r>
      <w:r>
        <w:rPr>
          <w:spacing w:val="-62"/>
        </w:rPr>
        <w:t> </w:t>
      </w:r>
      <w:r>
        <w:rPr>
          <w:spacing w:val="-62"/>
        </w:rPr>
      </w:r>
      <w:r>
        <w:rPr/>
        <w:t>在租赁资产使用寿命内计提折旧；无法合理确定租赁期届满能够取得租赁资产所有权的，在租赁期与租赁资产使用寿命两者</w:t>
      </w:r>
      <w:r>
        <w:rPr/>
        <w:t> 中较短的期间内计提折旧。</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2"/>
          <w:szCs w:val="22"/>
        </w:rPr>
      </w:pPr>
    </w:p>
    <w:p>
      <w:pPr>
        <w:pStyle w:val="BodyText"/>
        <w:spacing w:line="276" w:lineRule="auto"/>
        <w:ind w:right="6854"/>
        <w:jc w:val="left"/>
      </w:pPr>
      <w:r>
        <w:rPr/>
        <w:t>公司是否需要遵守特殊行业的披露要求 否</w:t>
      </w:r>
    </w:p>
    <w:p>
      <w:pPr>
        <w:pStyle w:val="BodyText"/>
        <w:spacing w:line="240" w:lineRule="auto" w:before="11"/>
        <w:ind w:right="283" w:firstLine="91"/>
        <w:jc w:val="left"/>
      </w:pPr>
      <w:r>
        <w:rPr/>
        <w:t>在建工程成本按实际工程支出确定，包括在建期间发生的各项工程支出以及其他相关费用等。在建工程在达到预定可使用 状态后结转为固定资产。</w:t>
      </w:r>
    </w:p>
    <w:p>
      <w:pPr>
        <w:pStyle w:val="BodyText"/>
        <w:spacing w:line="246" w:lineRule="exact"/>
        <w:ind w:left="472" w:right="0"/>
        <w:jc w:val="left"/>
      </w:pPr>
      <w:r>
        <w:rPr/>
        <w:t>在建工程的减值测试方法和减值准备计提方法详见附注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292" w:firstLine="180"/>
        <w:jc w:val="both"/>
      </w:pPr>
      <w:r>
        <w:rPr>
          <w:spacing w:val="-2"/>
        </w:rPr>
        <w:t>借款费用包括借款利息、折价或溢价的摊销、辅助费用以及因外币借款而发生的汇兑差额等。可直接归属于符合资本化条</w:t>
      </w:r>
      <w:r>
        <w:rPr/>
        <w:t> </w:t>
      </w:r>
      <w:r>
        <w:rPr>
          <w:spacing w:val="-2"/>
        </w:rPr>
        <w:t>件的资产的购建或者生产的借款费用，在资产支出已经发生、借款费用已经发生、为使资产达到预定可使用或可销售状态所</w:t>
      </w:r>
      <w:r>
        <w:rPr>
          <w:spacing w:val="-65"/>
        </w:rPr>
        <w:t> </w:t>
      </w:r>
      <w:r>
        <w:rPr>
          <w:spacing w:val="-65"/>
        </w:rPr>
      </w:r>
      <w:r>
        <w:rPr>
          <w:spacing w:val="-2"/>
        </w:rPr>
        <w:t>必要的购建或生产活动已经开始时，开始资本化；构建或者生产的符合资本化条件的资产达到预定可使用状态或者可销售状</w:t>
      </w:r>
      <w:r>
        <w:rPr>
          <w:spacing w:val="-64"/>
        </w:rPr>
        <w:t> </w:t>
      </w:r>
      <w:r>
        <w:rPr>
          <w:spacing w:val="-64"/>
        </w:rPr>
      </w:r>
      <w:r>
        <w:rPr/>
        <w:t>态时，停止资本化。其余借款费用在发生当期确认为费用。</w:t>
      </w:r>
    </w:p>
    <w:p>
      <w:pPr>
        <w:pStyle w:val="BodyText"/>
        <w:spacing w:line="237" w:lineRule="auto"/>
        <w:ind w:right="292"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32" w:lineRule="exact" w:before="22"/>
        <w:ind w:left="472"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12" w:lineRule="exact"/>
        <w:ind w:right="0"/>
        <w:jc w:val="left"/>
      </w:pPr>
      <w:r>
        <w:rPr/>
        <w:t>性房地产和存货等资产。</w:t>
      </w:r>
    </w:p>
    <w:p>
      <w:pPr>
        <w:pStyle w:val="BodyText"/>
        <w:spacing w:line="232" w:lineRule="exact" w:before="24"/>
        <w:ind w:right="301" w:firstLine="36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92" w:right="0"/>
        <w:jc w:val="left"/>
      </w:pPr>
      <w:r>
        <w:rPr/>
        <w:t>无形资产是指本公司拥有或者控制的没有实物形态的可辨认非货币性资产。</w:t>
      </w:r>
    </w:p>
    <w:p>
      <w:pPr>
        <w:spacing w:after="0" w:line="240" w:lineRule="auto"/>
        <w:jc w:val="left"/>
        <w:sectPr>
          <w:pgSz w:w="11910" w:h="16840"/>
          <w:pgMar w:header="878" w:footer="978" w:top="1100" w:bottom="1160" w:left="1020" w:right="840"/>
        </w:sectPr>
      </w:pPr>
    </w:p>
    <w:p>
      <w:pPr>
        <w:spacing w:line="240" w:lineRule="auto" w:before="12"/>
        <w:rPr>
          <w:rFonts w:ascii="宋体" w:hAnsi="宋体" w:cs="宋体" w:eastAsia="宋体" w:hint="default"/>
          <w:sz w:val="18"/>
          <w:szCs w:val="18"/>
        </w:rPr>
      </w:pPr>
    </w:p>
    <w:p>
      <w:pPr>
        <w:pStyle w:val="BodyText"/>
        <w:spacing w:line="232" w:lineRule="exact" w:before="69"/>
        <w:ind w:right="101"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232" w:lineRule="exact" w:before="3"/>
        <w:ind w:right="19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pStyle w:val="BodyText"/>
        <w:spacing w:line="232" w:lineRule="exact" w:before="3"/>
        <w:ind w:right="192" w:firstLine="360"/>
        <w:jc w:val="both"/>
      </w:pPr>
      <w:r>
        <w:rPr>
          <w:spacing w:val="-2"/>
        </w:rPr>
        <w:t>使用寿命有限的无形资产自可供使用时起，对其原值在其预计使用寿命内采用摊销。使用寿命不确定的无形资产不予摊</w:t>
      </w:r>
      <w:r>
        <w:rPr/>
        <w:t> 销。</w:t>
      </w:r>
    </w:p>
    <w:p>
      <w:pPr>
        <w:pStyle w:val="BodyText"/>
        <w:spacing w:line="232" w:lineRule="exact" w:before="1"/>
        <w:ind w:right="192"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472" w:right="4323" w:hanging="269"/>
        <w:jc w:val="left"/>
      </w:pPr>
      <w:r>
        <w:rPr/>
        <w:t>本公司内部研究开发项目的支出分为研究阶段支出与开发阶段支出。 研究阶段的支出，于发生时计入当期损益。</w:t>
      </w:r>
    </w:p>
    <w:p>
      <w:pPr>
        <w:pStyle w:val="BodyText"/>
        <w:spacing w:line="212" w:lineRule="exact"/>
        <w:ind w:left="472" w:right="94"/>
        <w:jc w:val="left"/>
      </w:pPr>
      <w:r>
        <w:rPr/>
        <w:t>开发阶段的支出同时满足下列条件的，确认为无形资产，不能满足下述条件的开发阶段的支出计入当期损益：</w:t>
      </w:r>
    </w:p>
    <w:p>
      <w:pPr>
        <w:pStyle w:val="BodyText"/>
        <w:spacing w:line="234" w:lineRule="exact"/>
        <w:ind w:left="472" w:right="94"/>
        <w:jc w:val="left"/>
      </w:pPr>
      <w:r>
        <w:rPr/>
        <w:t>①完成该无形资产以使其能够使用或出售在技术上具有可行性；</w:t>
      </w:r>
    </w:p>
    <w:p>
      <w:pPr>
        <w:pStyle w:val="BodyText"/>
        <w:spacing w:line="233" w:lineRule="exact"/>
        <w:ind w:left="472" w:right="94"/>
        <w:jc w:val="left"/>
      </w:pPr>
      <w:r>
        <w:rPr/>
        <w:t>②具有完成该无形资产并使用或出售的意图；</w:t>
      </w:r>
    </w:p>
    <w:p>
      <w:pPr>
        <w:pStyle w:val="BodyText"/>
        <w:spacing w:line="232" w:lineRule="exact" w:before="23"/>
        <w:ind w:right="19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12" w:lineRule="exact"/>
        <w:ind w:left="472" w:right="94"/>
        <w:jc w:val="left"/>
      </w:pPr>
      <w:r>
        <w:rPr/>
        <w:t>④有足够的技术、财务资源和其他资源支持，以完成该无形资产的开发，并有能力使用或出售该无形资产；</w:t>
      </w:r>
    </w:p>
    <w:p>
      <w:pPr>
        <w:pStyle w:val="BodyText"/>
        <w:spacing w:line="237" w:lineRule="auto" w:before="2"/>
        <w:ind w:left="472" w:right="94"/>
        <w:jc w:val="left"/>
      </w:pPr>
      <w:r>
        <w:rPr/>
        <w:t>⑤归属于该无形资产开发阶段的支出能够可靠地计量。 无法区分研究阶段支出和开发阶段支出的，将发生的研发支出全部计入当期损益。 </w:t>
      </w:r>
      <w:r>
        <w:rPr>
          <w:spacing w:val="-4"/>
        </w:rPr>
        <w:t>研究开发项目在满足上述条件，通过技术可行性及经济可行性研究，形成项目立项后，且预计带来稳定的经济利益流入，</w:t>
      </w:r>
    </w:p>
    <w:p>
      <w:pPr>
        <w:pStyle w:val="BodyText"/>
        <w:spacing w:line="232" w:lineRule="exact"/>
        <w:ind w:right="94"/>
        <w:jc w:val="left"/>
      </w:pPr>
      <w:r>
        <w:rPr/>
        <w:t>进入开发阶段。</w:t>
      </w:r>
    </w:p>
    <w:p>
      <w:pPr>
        <w:pStyle w:val="BodyText"/>
        <w:spacing w:line="232" w:lineRule="exact" w:before="23"/>
        <w:ind w:left="472" w:right="3714" w:hanging="89"/>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92" w:firstLine="180"/>
        <w:jc w:val="both"/>
      </w:pPr>
      <w:r>
        <w:rPr>
          <w:spacing w:val="-2"/>
        </w:rPr>
        <w:t>对于固定资产、在建工程、使用寿命有限的无形资产、以成本模式计量的投资性房地产及对子公司、合营企业、联营企业</w:t>
      </w:r>
      <w:r>
        <w:rPr/>
        <w:t> </w:t>
      </w:r>
      <w:r>
        <w:rPr>
          <w:spacing w:val="-2"/>
        </w:rPr>
        <w:t>的长期股权投资等非流动非金融资产，本公司于资产负债表日判断是否存在减值迹象。如存在减值迹象的，则估计其可收回</w:t>
      </w:r>
      <w:r>
        <w:rPr>
          <w:spacing w:val="-65"/>
        </w:rPr>
        <w:t> </w:t>
      </w:r>
      <w:r>
        <w:rPr>
          <w:spacing w:val="-65"/>
        </w:rPr>
      </w:r>
      <w:r>
        <w:rPr>
          <w:spacing w:val="-2"/>
        </w:rPr>
        <w:t>金额，进行减值测试。商誉、使用寿命不确定的无形资产和尚未达到可使用状态的无形资产，无论是否存在减值迹象，每年</w:t>
      </w:r>
      <w:r>
        <w:rPr>
          <w:spacing w:val="-65"/>
        </w:rPr>
        <w:t> </w:t>
      </w:r>
      <w:r>
        <w:rPr>
          <w:spacing w:val="-65"/>
        </w:rPr>
      </w:r>
      <w:r>
        <w:rPr/>
        <w:t>均进行减值测试。</w:t>
      </w:r>
    </w:p>
    <w:p>
      <w:pPr>
        <w:pStyle w:val="BodyText"/>
        <w:spacing w:line="237" w:lineRule="auto" w:before="2"/>
        <w:ind w:right="94"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5"/>
        </w:rPr>
        <w:t> </w:t>
      </w:r>
      <w:r>
        <w:rPr>
          <w:spacing w:val="-65"/>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1"/>
        </w:rPr>
        <w:t> </w:t>
      </w:r>
      <w:r>
        <w:rPr>
          <w:spacing w:val="-41"/>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237" w:lineRule="auto" w:before="2"/>
        <w:ind w:right="19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33" w:lineRule="exact"/>
        <w:ind w:left="472" w:right="94"/>
        <w:jc w:val="left"/>
      </w:pPr>
      <w:r>
        <w:rPr/>
        <w:t>上述资产减值损失一经确认，以后期间不予转回价值得以恢复的部分。</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201" w:firstLine="91"/>
        <w:jc w:val="both"/>
      </w:pPr>
      <w:r>
        <w:rPr/>
        <w:t>长期待摊费用为已经发生但应由报告期和以后各期负担的分摊期限在一年以上的各项费用。长期待摊费用在预计受益期间 按直线法摊销。</w:t>
      </w:r>
    </w:p>
    <w:p>
      <w:pPr>
        <w:spacing w:after="0" w:line="232" w:lineRule="exact"/>
        <w:jc w:val="both"/>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94" w:firstLine="91"/>
        <w:jc w:val="left"/>
      </w:pPr>
      <w:r>
        <w:rPr/>
        <w:t>短期薪酬主要包括工资、奖金、津贴和补贴、职工福利费、医疗保险费、生育保险费、工伤保险费、住房公积金、工会经 费和职工教育经费、非货币性福利等。本公司在职工为本公司提供服务的会计期间将实际发生的短期职工薪酬确认为负债， 并计入当期损益或相关资产成本。其中非货币性福利按公允价值计量。</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0"/>
        <w:jc w:val="left"/>
      </w:pPr>
      <w:r>
        <w:rPr>
          <w:spacing w:val="-2"/>
        </w:rPr>
        <w:t>离职后福利主要包括基本养老保险、失业保险以及年金等。离职后福利计划包括设定提存计划。采用设定提存计划的，相应</w:t>
      </w:r>
      <w:r>
        <w:rPr>
          <w:spacing w:val="-66"/>
        </w:rPr>
        <w:t> </w:t>
      </w:r>
      <w:r>
        <w:rPr>
          <w:spacing w:val="-66"/>
        </w:rPr>
      </w:r>
      <w:r>
        <w:rPr/>
        <w:t>的应缴存金额于发生时计入相关资产成本或当期损益。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0"/>
        <w:jc w:val="left"/>
      </w:pPr>
      <w:r>
        <w:rPr/>
        <w:t>在职工劳动合同到期之前解除与职工的劳动关系，或为鼓励职工自愿接受裁减而提出给予补偿的建议，在本公司不能单方面 </w:t>
      </w:r>
      <w:r>
        <w:rPr>
          <w:spacing w:val="-2"/>
        </w:rPr>
        <w:t>撤回因解除劳动关系计划或裁减建议所提供的辞退福利时，和本公司确认与涉及支付辞退福利的重组相关的成本两者孰早日，</w:t>
      </w:r>
      <w:r>
        <w:rPr>
          <w:spacing w:val="-62"/>
        </w:rPr>
        <w:t> </w:t>
      </w:r>
      <w:r>
        <w:rPr>
          <w:spacing w:val="-62"/>
        </w:rPr>
      </w:r>
      <w:r>
        <w:rPr/>
        <w:t>确认辞退福利产生的职工薪酬负债，并计入当期损益。但辞退福利预期在年度报告期结束后十二个月不能完全支付的，按照</w:t>
      </w:r>
      <w:r>
        <w:rPr/>
        <w:t> 其他长期职工薪酬处理。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0"/>
        <w:jc w:val="left"/>
      </w:pPr>
      <w:r>
        <w:rPr>
          <w:spacing w:val="-2"/>
        </w:rPr>
        <w:t>本公司向职工提供的其他长期职工福利，符合设定提存计划的，按照设定提存计划进行会计处理，除此之外按照设定受益计</w:t>
      </w:r>
      <w:r>
        <w:rPr>
          <w:spacing w:val="-65"/>
        </w:rPr>
        <w:t> </w:t>
      </w:r>
      <w:r>
        <w:rPr>
          <w:spacing w:val="-65"/>
        </w:rPr>
      </w:r>
      <w:r>
        <w:rPr/>
        <w:t>划进行会计处理。</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w:t>
      </w:r>
    </w:p>
    <w:p>
      <w:pPr>
        <w:pStyle w:val="BodyText"/>
        <w:spacing w:line="232" w:lineRule="exact"/>
        <w:ind w:right="292"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232" w:lineRule="exact" w:before="3"/>
        <w:ind w:right="292"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218" w:lineRule="exact"/>
        <w:ind w:left="384" w:right="0"/>
        <w:jc w:val="left"/>
      </w:pPr>
      <w:r>
        <w:rPr/>
        <w:t>（</w:t>
      </w:r>
      <w:r>
        <w:rPr>
          <w:rFonts w:ascii="Times New Roman" w:hAnsi="Times New Roman" w:cs="Times New Roman" w:eastAsia="Times New Roman" w:hint="default"/>
        </w:rPr>
        <w:t>1</w:t>
      </w:r>
      <w:r>
        <w:rPr/>
        <w:t>）亏损合同</w:t>
      </w:r>
    </w:p>
    <w:p>
      <w:pPr>
        <w:pStyle w:val="BodyText"/>
        <w:spacing w:line="232" w:lineRule="exact" w:before="17"/>
        <w:ind w:right="292" w:firstLine="360"/>
        <w:jc w:val="both"/>
      </w:pPr>
      <w:r>
        <w:rPr>
          <w:spacing w:val="-2"/>
        </w:rPr>
        <w:t>亏损合同是履行合同义务不可避免会发生的成本超过预期经济利益的合同。待执行合同变成亏损合同，且该亏损合同产</w:t>
      </w:r>
      <w:r>
        <w:rPr/>
        <w:t> </w:t>
      </w: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232" w:lineRule="exact" w:before="3"/>
        <w:ind w:left="472" w:right="0" w:hanging="89"/>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12" w:lineRule="exact"/>
        <w:ind w:right="0"/>
        <w:jc w:val="left"/>
      </w:pPr>
      <w:r>
        <w:rPr/>
        <w:t>出确定预计负债金额。</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0"/>
        <w:rPr>
          <w:rFonts w:ascii="宋体" w:hAnsi="宋体" w:cs="宋体" w:eastAsia="宋体" w:hint="default"/>
          <w:b/>
          <w:bCs/>
          <w:sz w:val="23"/>
          <w:szCs w:val="23"/>
        </w:rPr>
      </w:pPr>
    </w:p>
    <w:p>
      <w:pPr>
        <w:pStyle w:val="BodyText"/>
        <w:spacing w:line="236" w:lineRule="exact"/>
        <w:ind w:left="472" w:right="0" w:hanging="36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10" w:lineRule="exact"/>
        <w:ind w:right="0"/>
        <w:jc w:val="left"/>
      </w:pPr>
      <w:r>
        <w:rPr/>
        <w:t>为以权益结算的股份支付和以现金结算的股份支付。</w:t>
      </w:r>
    </w:p>
    <w:p>
      <w:pPr>
        <w:pStyle w:val="BodyText"/>
        <w:spacing w:line="232" w:lineRule="exact" w:before="23"/>
        <w:ind w:left="472"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232" w:lineRule="exact" w:before="3"/>
        <w:ind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232" w:lineRule="exact"/>
        <w:ind w:right="29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212" w:lineRule="exact"/>
        <w:ind w:right="0" w:firstLine="360"/>
        <w:jc w:val="left"/>
      </w:pPr>
      <w:r>
        <w:rPr/>
        <w:t>用以换取其他方服务的权益结算的股份支付，如果其他方服务的公允价值能够可靠计量，按照其他方服务在取得日的公</w:t>
      </w:r>
    </w:p>
    <w:p>
      <w:pPr>
        <w:pStyle w:val="BodyText"/>
        <w:spacing w:line="232" w:lineRule="exact" w:before="24"/>
        <w:ind w:right="0"/>
        <w:jc w:val="left"/>
      </w:pPr>
      <w:r>
        <w:rPr>
          <w:spacing w:val="-2"/>
        </w:rPr>
        <w:t>允价值计量，如果其他方服务的公允价值不能可靠计量，但权益工具的公允价值能够可靠计量的，按照权益工具在服务取得</w:t>
      </w:r>
      <w:r>
        <w:rPr>
          <w:spacing w:val="-65"/>
        </w:rPr>
        <w:t> </w:t>
      </w:r>
      <w:r>
        <w:rPr>
          <w:spacing w:val="-65"/>
        </w:rPr>
      </w:r>
      <w:r>
        <w:rPr/>
        <w:t>日的公允价值计量，计入相关成本或费用，相应增加股东权益。</w:t>
      </w:r>
    </w:p>
    <w:p>
      <w:pPr>
        <w:spacing w:after="0" w:line="232" w:lineRule="exact"/>
        <w:jc w:val="left"/>
        <w:sectPr>
          <w:pgSz w:w="11910" w:h="16840"/>
          <w:pgMar w:header="878" w:footer="978" w:top="1100" w:bottom="1160" w:left="1020" w:right="840"/>
        </w:sectPr>
      </w:pPr>
    </w:p>
    <w:p>
      <w:pPr>
        <w:spacing w:line="240" w:lineRule="auto" w:before="12"/>
        <w:rPr>
          <w:rFonts w:ascii="宋体" w:hAnsi="宋体" w:cs="宋体" w:eastAsia="宋体" w:hint="default"/>
          <w:sz w:val="18"/>
          <w:szCs w:val="18"/>
        </w:rPr>
      </w:pPr>
    </w:p>
    <w:p>
      <w:pPr>
        <w:pStyle w:val="BodyText"/>
        <w:spacing w:line="232" w:lineRule="exact" w:before="69"/>
        <w:ind w:left="472"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232" w:lineRule="exact" w:before="3"/>
        <w:ind w:right="112"/>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5"/>
        </w:rPr>
        <w:t> </w:t>
      </w:r>
      <w:r>
        <w:rPr>
          <w:spacing w:val="-65"/>
        </w:rPr>
      </w:r>
      <w:r>
        <w:rPr/>
        <w:t>成本或费用，相应增加负债。</w:t>
      </w:r>
    </w:p>
    <w:p>
      <w:pPr>
        <w:pStyle w:val="BodyText"/>
        <w:spacing w:line="213" w:lineRule="exact"/>
        <w:ind w:left="472" w:right="0"/>
        <w:jc w:val="left"/>
      </w:pPr>
      <w:r>
        <w:rPr/>
        <w:t>在相关负债结算前的每个资产负债表日以及结算日，对负债的公允价值重新计量，其变动计入当期损益。</w:t>
      </w:r>
    </w:p>
    <w:p>
      <w:pPr>
        <w:pStyle w:val="BodyText"/>
        <w:spacing w:line="232" w:lineRule="exact" w:before="23"/>
        <w:ind w:left="472" w:right="0" w:hanging="89"/>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232" w:lineRule="exact"/>
        <w:ind w:right="0"/>
        <w:jc w:val="left"/>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p>
    <w:p>
      <w:pPr>
        <w:pStyle w:val="BodyText"/>
        <w:spacing w:line="232" w:lineRule="exact" w:before="3"/>
        <w:ind w:left="472" w:right="0" w:hanging="360"/>
        <w:jc w:val="left"/>
      </w:pPr>
      <w:r>
        <w:rPr/>
        <w:t>取消了部分或全部已授予的权益工具。 </w:t>
      </w:r>
      <w:r>
        <w:rPr>
          <w:spacing w:val="-2"/>
        </w:rPr>
        <w:t>在等待期内，如果取消了授予的权益工具，本公司对取消所授予的权益性工具作为加速行权处理，将剩余等待期内应确</w:t>
      </w:r>
    </w:p>
    <w:p>
      <w:pPr>
        <w:pStyle w:val="BodyText"/>
        <w:spacing w:line="212" w:lineRule="exact"/>
        <w:ind w:right="0"/>
        <w:jc w:val="left"/>
      </w:pPr>
      <w:r>
        <w:rPr>
          <w:spacing w:val="-2"/>
        </w:rPr>
        <w:t>认的金额立即计入当期损益，同时确认资本公积。职工或其他方能够选择满足非可行权条件但在等待期内未满足的，本公司</w:t>
      </w:r>
    </w:p>
    <w:p>
      <w:pPr>
        <w:pStyle w:val="BodyText"/>
        <w:spacing w:line="234" w:lineRule="exact"/>
        <w:ind w:right="0"/>
        <w:jc w:val="left"/>
      </w:pPr>
      <w:r>
        <w:rPr/>
        <w:t>将其作为授予权益工具的取消处理。</w:t>
      </w:r>
    </w:p>
    <w:p>
      <w:pPr>
        <w:pStyle w:val="BodyText"/>
        <w:spacing w:line="232" w:lineRule="exact" w:before="23"/>
        <w:ind w:left="472" w:right="0" w:hanging="89"/>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13" w:lineRule="exact"/>
        <w:ind w:right="0"/>
        <w:jc w:val="left"/>
      </w:pPr>
      <w:r>
        <w:rPr/>
        <w:t>的，在本公司合并财务报表中按照以下规定进行会计处理：</w:t>
      </w:r>
    </w:p>
    <w:p>
      <w:pPr>
        <w:pStyle w:val="BodyText"/>
        <w:spacing w:line="232" w:lineRule="exact" w:before="23"/>
        <w:ind w:right="112" w:firstLine="360"/>
        <w:jc w:val="both"/>
      </w:pPr>
      <w:r>
        <w:rPr>
          <w:spacing w:val="-2"/>
        </w:rPr>
        <w:t>①结算企业以其本身权益工具结算的，将该股份支付交易作为权益结算的股份支付处理；除此之外，作为现金结算的股</w:t>
      </w:r>
      <w:r>
        <w:rPr/>
        <w:t> 份支付处理。</w:t>
      </w:r>
      <w:r>
        <w:rPr>
          <w:spacing w:val="1"/>
        </w:rPr>
        <w:t> </w:t>
      </w:r>
      <w:r>
        <w:rPr/>
        <w:t>结算企业是接受服务企业的投资者的，按照授予日权益工具的公允价值或应承担负债的公允价值确认为对接</w:t>
      </w:r>
      <w:r>
        <w:rPr/>
        <w:t> 受服务企业的长期股权投资，同时确认资本公积（其他资本公积）或负债。</w:t>
      </w:r>
    </w:p>
    <w:p>
      <w:pPr>
        <w:pStyle w:val="BodyText"/>
        <w:spacing w:line="212" w:lineRule="exact"/>
        <w:ind w:right="0" w:firstLine="360"/>
        <w:jc w:val="left"/>
      </w:pPr>
      <w:r>
        <w:rPr/>
        <w:t>②接受服务企业没有结算义务或授予本企业职工的是其本身权益工具的</w:t>
      </w:r>
      <w:r>
        <w:rPr>
          <w:spacing w:val="-82"/>
        </w:rPr>
        <w:t>，</w:t>
      </w:r>
      <w:r>
        <w:rPr/>
        <w:t>将该股份支付交易作为权益结算的股份支付处</w:t>
      </w:r>
    </w:p>
    <w:p>
      <w:pPr>
        <w:pStyle w:val="BodyText"/>
        <w:spacing w:line="232" w:lineRule="exact" w:before="24"/>
        <w:ind w:right="0"/>
        <w:jc w:val="left"/>
      </w:pP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212" w:lineRule="exact"/>
        <w:ind w:left="472" w:right="0"/>
        <w:jc w:val="left"/>
      </w:pPr>
      <w:r>
        <w:rPr>
          <w:spacing w:val="-2"/>
        </w:rPr>
        <w:t>本公司内各企业之间发生的股份支付交易，接受服务企业和结算企业不是同一企业的，在接受服务企业和结算企业各自</w:t>
      </w:r>
    </w:p>
    <w:p>
      <w:pPr>
        <w:pStyle w:val="BodyText"/>
        <w:spacing w:line="240" w:lineRule="auto"/>
        <w:ind w:right="0"/>
        <w:jc w:val="left"/>
      </w:pPr>
      <w:r>
        <w:rPr/>
        <w:t>的个别财务报表中对该股份支付交易的确认和计量，比照上述原则处理。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472" w:right="2894" w:hanging="360"/>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32" w:lineRule="exact" w:before="1"/>
        <w:ind w:right="112" w:firstLine="360"/>
        <w:jc w:val="both"/>
      </w:pPr>
      <w:r>
        <w:rPr>
          <w:spacing w:val="-2"/>
        </w:rPr>
        <w:t>①该金融工具不包括交付现金或其他金融资产给其他方，或在潜在不利条件下与其他方交换金融资产或金融负债的合同</w:t>
      </w:r>
      <w:r>
        <w:rPr/>
        <w:t> 义务；</w:t>
      </w:r>
    </w:p>
    <w:p>
      <w:pPr>
        <w:pStyle w:val="BodyText"/>
        <w:tabs>
          <w:tab w:pos="5071" w:val="left" w:leader="none"/>
        </w:tabs>
        <w:spacing w:line="232" w:lineRule="exact" w:before="3"/>
        <w:ind w:right="112" w:firstLine="360"/>
        <w:jc w:val="both"/>
      </w:pPr>
      <w:r>
        <w:rPr>
          <w:spacing w:val="-2"/>
        </w:rPr>
        <w:t>②如将来须用或可用企业自身权益工具结算该金融工具的，如该金融工具为非衍生工具，则不包括交付可变数量的自身</w:t>
      </w:r>
      <w:r>
        <w:rPr/>
        <w:t> </w:t>
      </w:r>
      <w:r>
        <w:rPr>
          <w:spacing w:val="-4"/>
        </w:rPr>
        <w:t>权益工具进行结算的合同义务；如为衍生工具，则</w:t>
        <w:tab/>
      </w:r>
      <w:r>
        <w:rPr/>
        <w:t>本公司只能通过以固定数量的自身权益工具交换固定金额的</w:t>
      </w:r>
    </w:p>
    <w:p>
      <w:pPr>
        <w:pStyle w:val="BodyText"/>
        <w:spacing w:line="232" w:lineRule="exact" w:before="3"/>
        <w:ind w:left="472" w:right="0" w:hanging="360"/>
        <w:jc w:val="left"/>
      </w:pPr>
      <w:r>
        <w:rPr/>
        <w:t>现金或其他金融资产结算该金融工具。 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232" w:lineRule="exact"/>
        <w:ind w:right="0"/>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232" w:lineRule="exact" w:before="3"/>
        <w:ind w:left="472" w:right="0" w:hanging="89"/>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232" w:lineRule="exact" w:before="1"/>
        <w:ind w:left="472" w:right="0" w:hanging="360"/>
        <w:jc w:val="left"/>
      </w:pPr>
      <w:r>
        <w:rPr/>
        <w:t>利得或损失等，除符合资本化条件的借款费用（参见本附注</w:t>
      </w:r>
      <w:r>
        <w:rPr>
          <w:rFonts w:ascii="Times New Roman" w:hAnsi="Times New Roman" w:cs="Times New Roman" w:eastAsia="Times New Roman" w:hint="default"/>
        </w:rPr>
        <w:t>“</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232" w:lineRule="exact" w:before="3"/>
        <w:ind w:left="472" w:right="2714" w:hanging="360"/>
        <w:jc w:val="left"/>
      </w:pPr>
      <w:r>
        <w:rPr/>
        <w:t>理，相关交易费用亦从权益中扣减。本公司对权益工具持有方的分配作为利润分配处理。 本公司不确认权益工具的公允价值变动。</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6674"/>
        <w:jc w:val="left"/>
      </w:pPr>
      <w:r>
        <w:rPr/>
        <w:t>公司是否需要遵守特殊行业的披露要求 否</w:t>
      </w:r>
    </w:p>
    <w:p>
      <w:pPr>
        <w:pStyle w:val="BodyText"/>
        <w:spacing w:line="232" w:lineRule="exact" w:before="34"/>
        <w:ind w:left="472"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232" w:lineRule="exact" w:before="3"/>
        <w:ind w:right="0"/>
        <w:jc w:val="left"/>
      </w:pPr>
      <w:r>
        <w:rPr>
          <w:spacing w:val="-2"/>
        </w:rPr>
        <w:t>实施有效控制，收入的金额能够可靠地计量，相关的经济利益很可能流入企业，相关的已发生或将发生的成本能够可靠地计</w:t>
      </w:r>
      <w:r>
        <w:rPr>
          <w:spacing w:val="-65"/>
        </w:rPr>
        <w:t> </w:t>
      </w:r>
      <w:r>
        <w:rPr>
          <w:spacing w:val="-65"/>
        </w:rPr>
      </w:r>
      <w:r>
        <w:rPr/>
        <w:t>量时，确认商品销售收入的实现。</w:t>
      </w:r>
    </w:p>
    <w:p>
      <w:pPr>
        <w:pStyle w:val="BodyText"/>
        <w:spacing w:line="232" w:lineRule="exact" w:before="1"/>
        <w:ind w:left="472"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214" w:lineRule="exact"/>
        <w:ind w:right="0"/>
        <w:jc w:val="left"/>
      </w:pPr>
      <w:r>
        <w:rPr/>
        <w:t>工进度按已经提供的劳务占应提供劳务总量的比例确定。</w:t>
      </w:r>
    </w:p>
    <w:p>
      <w:pPr>
        <w:spacing w:after="0" w:line="214" w:lineRule="exact"/>
        <w:jc w:val="left"/>
        <w:sectPr>
          <w:pgSz w:w="11910" w:h="16840"/>
          <w:pgMar w:header="878" w:footer="978" w:top="1100" w:bottom="1160" w:left="1020" w:right="1020"/>
        </w:sectPr>
      </w:pPr>
    </w:p>
    <w:p>
      <w:pPr>
        <w:spacing w:line="240" w:lineRule="auto" w:before="12"/>
        <w:rPr>
          <w:rFonts w:ascii="宋体" w:hAnsi="宋体" w:cs="宋体" w:eastAsia="宋体" w:hint="default"/>
          <w:sz w:val="18"/>
          <w:szCs w:val="18"/>
        </w:rPr>
      </w:pPr>
    </w:p>
    <w:p>
      <w:pPr>
        <w:pStyle w:val="BodyText"/>
        <w:spacing w:line="234" w:lineRule="exact" w:before="44"/>
        <w:ind w:left="472" w:right="0"/>
        <w:jc w:val="left"/>
      </w:pPr>
      <w:r>
        <w:rPr/>
        <w:t>提供劳务交易的结果能够可靠估计是指同时满足：①收入的金额能够可靠地计量；②相关的经济利益很可能流入企业；</w:t>
      </w:r>
    </w:p>
    <w:p>
      <w:pPr>
        <w:pStyle w:val="BodyText"/>
        <w:spacing w:line="240" w:lineRule="auto"/>
        <w:ind w:left="472" w:right="94"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232" w:lineRule="exact" w:before="22"/>
        <w:ind w:left="472" w:right="94"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232" w:lineRule="exact" w:before="3"/>
        <w:ind w:right="94"/>
        <w:jc w:val="left"/>
      </w:pPr>
      <w:r>
        <w:rPr>
          <w:spacing w:val="-2"/>
        </w:rPr>
        <w:t>的，将销售商品部分和提供劳务部分分别处理；如销售商品部分和提供劳务部分不能够区分，或虽能区分但不能够单独计量</w:t>
      </w:r>
      <w:r>
        <w:rPr>
          <w:spacing w:val="-65"/>
        </w:rPr>
        <w:t> </w:t>
      </w:r>
      <w:r>
        <w:rPr>
          <w:spacing w:val="-65"/>
        </w:rPr>
      </w:r>
      <w:r>
        <w:rPr/>
        <w:t>的，将该合同全部作为销售商品处理。</w:t>
      </w:r>
    </w:p>
    <w:p>
      <w:pPr>
        <w:pStyle w:val="BodyText"/>
        <w:spacing w:line="232" w:lineRule="exact" w:before="1"/>
        <w:ind w:left="472" w:right="94" w:hanging="89"/>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w:t>
      </w:r>
    </w:p>
    <w:p>
      <w:pPr>
        <w:pStyle w:val="BodyText"/>
        <w:spacing w:line="212" w:lineRule="exact"/>
        <w:ind w:right="94"/>
        <w:jc w:val="left"/>
      </w:pPr>
      <w:r>
        <w:rPr/>
        <w:t>按已经完成的合同工作量占合同预计总工作量的比例确定。</w:t>
      </w:r>
    </w:p>
    <w:p>
      <w:pPr>
        <w:pStyle w:val="BodyText"/>
        <w:spacing w:line="234" w:lineRule="exact"/>
        <w:ind w:left="472" w:right="0"/>
        <w:jc w:val="left"/>
      </w:pPr>
      <w:r>
        <w:rPr/>
        <w:t>建造合同的结果能够可靠估计是指同时满足</w:t>
      </w:r>
      <w:r>
        <w:rPr>
          <w:spacing w:val="-84"/>
        </w:rPr>
        <w:t>：</w:t>
      </w:r>
      <w:r>
        <w:rPr/>
        <w:t>①合同总收入能够可靠地计量</w:t>
      </w:r>
      <w:r>
        <w:rPr>
          <w:spacing w:val="-87"/>
        </w:rPr>
        <w:t>；</w:t>
      </w:r>
      <w:r>
        <w:rPr/>
        <w:t>②与合同相关的经济利益很可能流入企业；</w:t>
      </w:r>
    </w:p>
    <w:p>
      <w:pPr>
        <w:pStyle w:val="BodyText"/>
        <w:spacing w:line="232" w:lineRule="exact" w:before="23"/>
        <w:ind w:left="472" w:right="94" w:hanging="360"/>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232" w:lineRule="exact" w:before="3"/>
        <w:ind w:right="94"/>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212" w:lineRule="exact"/>
        <w:ind w:left="472" w:right="94"/>
        <w:jc w:val="left"/>
      </w:pPr>
      <w:r>
        <w:rPr/>
        <w:t>合同预计总成本超过合同总收入的，将预计损失确认为当期费用。</w:t>
      </w:r>
    </w:p>
    <w:p>
      <w:pPr>
        <w:pStyle w:val="BodyText"/>
        <w:spacing w:line="232" w:lineRule="exact" w:before="24"/>
        <w:ind w:right="192" w:firstLine="360"/>
        <w:jc w:val="both"/>
      </w:pP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w:t>
      </w:r>
      <w:r>
        <w:rPr/>
        <w:t> </w:t>
      </w:r>
      <w:r>
        <w:rPr>
          <w:spacing w:val="-1"/>
        </w:rPr>
        <w:t>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w:t>
      </w:r>
      <w:r>
        <w:rPr>
          <w:spacing w:val="-57"/>
        </w:rPr>
        <w:t> </w:t>
      </w:r>
      <w:r>
        <w:rPr>
          <w:spacing w:val="-57"/>
        </w:rPr>
      </w:r>
      <w:r>
        <w:rPr/>
        <w:t>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232" w:lineRule="exact" w:before="1"/>
        <w:ind w:left="472" w:right="5674" w:hanging="89"/>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232" w:lineRule="exact" w:before="3"/>
        <w:ind w:left="472" w:right="4954" w:hanging="89"/>
        <w:jc w:val="left"/>
      </w:pPr>
      <w:r>
        <w:rPr/>
        <w:t>（</w:t>
      </w:r>
      <w:r>
        <w:rPr>
          <w:rFonts w:ascii="Times New Roman" w:hAnsi="Times New Roman" w:cs="Times New Roman" w:eastAsia="Times New Roman" w:hint="default"/>
        </w:rPr>
        <w:t>5</w:t>
      </w:r>
      <w:r>
        <w:rPr/>
        <w:t>）利息收入 按照他人使用本公司货币资金的时间和实际利率计算确定 本公司对企业互联网服务的收入确认如下：</w:t>
      </w:r>
    </w:p>
    <w:p>
      <w:pPr>
        <w:pStyle w:val="BodyText"/>
        <w:spacing w:line="232" w:lineRule="exact" w:before="3"/>
        <w:ind w:left="472" w:right="5134" w:hanging="89"/>
        <w:jc w:val="left"/>
      </w:pPr>
      <w:r>
        <w:rPr/>
        <w:t>（</w:t>
      </w:r>
      <w:r>
        <w:rPr>
          <w:rFonts w:ascii="Times New Roman" w:hAnsi="Times New Roman" w:cs="Times New Roman" w:eastAsia="Times New Roman" w:hint="default"/>
        </w:rPr>
        <w:t>6</w:t>
      </w:r>
      <w:r>
        <w:rPr/>
        <w:t>）企业综合服务收入 此项业务收入分为一次性服务收入和周期性服务收入：</w:t>
      </w:r>
    </w:p>
    <w:p>
      <w:pPr>
        <w:pStyle w:val="BodyText"/>
        <w:spacing w:line="232" w:lineRule="exact" w:before="1"/>
        <w:ind w:right="94" w:firstLine="360"/>
        <w:jc w:val="left"/>
      </w:pPr>
      <w:r>
        <w:rPr>
          <w:spacing w:val="-2"/>
        </w:rPr>
        <w:t>一次性服务收入：双方如签署服务协议，本公司依据服务协议提供服务，并依据服务协议提交或形成工作成果，对方已</w:t>
      </w:r>
      <w:r>
        <w:rPr/>
        <w:t> </w:t>
      </w:r>
      <w:r>
        <w:rPr>
          <w:spacing w:val="-2"/>
        </w:rPr>
        <w:t>付款或按服务协议约定付款，或预计相关的经济利益很可能流入本公司时，本公司在服务完成时一次性确认收入；如双方未</w:t>
      </w:r>
    </w:p>
    <w:p>
      <w:pPr>
        <w:pStyle w:val="BodyText"/>
        <w:spacing w:line="232" w:lineRule="exact" w:before="3"/>
        <w:ind w:left="472" w:right="94" w:hanging="360"/>
        <w:jc w:val="left"/>
      </w:pPr>
      <w:r>
        <w:rPr/>
        <w:t>签署服务协议，本公司在服务完成时如已收款或取得收款凭据，或预计相关的经济利益很可能流入本公司时确认收入。 </w:t>
      </w:r>
      <w:r>
        <w:rPr>
          <w:spacing w:val="-2"/>
        </w:rPr>
        <w:t>周期性服务收入：双方签署周期性服务协议，本公司依据服务协议提供周期性服务，并依据服务协议提交或形成周期性</w:t>
      </w:r>
    </w:p>
    <w:p>
      <w:pPr>
        <w:pStyle w:val="BodyText"/>
        <w:spacing w:line="232" w:lineRule="exact"/>
        <w:ind w:right="94"/>
        <w:jc w:val="left"/>
      </w:pPr>
      <w:r>
        <w:rPr>
          <w:spacing w:val="-2"/>
        </w:rPr>
        <w:t>的工作成果，对方已付款或按服务协议约定付款，或预计相关的经济利益很可能流入本公司时，本公司根据服务期限分期确</w:t>
      </w:r>
      <w:r>
        <w:rPr>
          <w:spacing w:val="-65"/>
        </w:rPr>
        <w:t> </w:t>
      </w:r>
      <w:r>
        <w:rPr>
          <w:spacing w:val="-65"/>
        </w:rPr>
      </w:r>
      <w:r>
        <w:rPr/>
        <w:t>认收入。</w:t>
      </w:r>
    </w:p>
    <w:p>
      <w:pPr>
        <w:pStyle w:val="BodyText"/>
        <w:spacing w:line="232" w:lineRule="exact" w:before="3"/>
        <w:ind w:left="472" w:right="94" w:hanging="89"/>
        <w:jc w:val="left"/>
      </w:pPr>
      <w:r>
        <w:rPr/>
        <w:t>（</w:t>
      </w:r>
      <w:r>
        <w:rPr>
          <w:rFonts w:ascii="Times New Roman" w:hAnsi="Times New Roman" w:cs="Times New Roman" w:eastAsia="Times New Roman" w:hint="default"/>
        </w:rPr>
        <w:t>7</w:t>
      </w:r>
      <w:r>
        <w:rPr/>
        <w:t>）行业应用与开发收入 </w:t>
      </w:r>
      <w:r>
        <w:rPr>
          <w:spacing w:val="-2"/>
        </w:rPr>
        <w:t>本公司依据协议按预定进度提供技术开发服务，并依据协议形成阶段性及最终工作成果，经双方技术验收后，按照从接</w:t>
      </w:r>
    </w:p>
    <w:p>
      <w:pPr>
        <w:pStyle w:val="BodyText"/>
        <w:spacing w:line="212" w:lineRule="exact"/>
        <w:ind w:right="0"/>
        <w:jc w:val="left"/>
      </w:pPr>
      <w:r>
        <w:rPr/>
        <w:t>受服务方已收或应收的合同或协议价款并相关的经济利益很可能流入本公司时，按完工进度确认提供服务收入；否则按已经</w:t>
      </w:r>
    </w:p>
    <w:p>
      <w:pPr>
        <w:pStyle w:val="BodyText"/>
        <w:spacing w:line="234" w:lineRule="exact"/>
        <w:ind w:right="94"/>
        <w:jc w:val="left"/>
      </w:pPr>
      <w:r>
        <w:rPr/>
        <w:t>发生并预计能够得到补偿的服务成本金额确认收入。</w:t>
      </w:r>
    </w:p>
    <w:p>
      <w:pPr>
        <w:pStyle w:val="BodyText"/>
        <w:spacing w:line="232" w:lineRule="exact" w:before="23"/>
        <w:ind w:left="472" w:right="94" w:hanging="89"/>
        <w:jc w:val="left"/>
      </w:pPr>
      <w:r>
        <w:rPr/>
        <w:t>（</w:t>
      </w:r>
      <w:r>
        <w:rPr>
          <w:rFonts w:ascii="Times New Roman" w:hAnsi="Times New Roman" w:cs="Times New Roman" w:eastAsia="Times New Roman" w:hint="default"/>
        </w:rPr>
        <w:t>8</w:t>
      </w:r>
      <w:r>
        <w:rPr/>
        <w:t>）增值业务收入 </w:t>
      </w:r>
      <w:r>
        <w:rPr>
          <w:spacing w:val="-2"/>
        </w:rPr>
        <w:t>增值业务中销售业务按照商品销售收入确认；平台导流收入，根据权责发生制确认收入，双方签署流量采购协议，并依</w:t>
      </w:r>
    </w:p>
    <w:p>
      <w:pPr>
        <w:pStyle w:val="BodyText"/>
        <w:spacing w:line="212" w:lineRule="exact"/>
        <w:ind w:right="0"/>
        <w:jc w:val="left"/>
      </w:pPr>
      <w:r>
        <w:rPr/>
        <w:t>据协议对期间消耗流量计算统计，形成期间结算单据，双方对结算单据共同核对确认，依据确认的结算单据金额开具发票并</w:t>
      </w:r>
    </w:p>
    <w:p>
      <w:pPr>
        <w:pStyle w:val="BodyText"/>
        <w:spacing w:line="234" w:lineRule="exact"/>
        <w:ind w:right="94"/>
        <w:jc w:val="left"/>
      </w:pPr>
      <w:r>
        <w:rPr/>
        <w:t>按协议约定结算款项，双方主要的权利义务至此已经基本履行，本公司按期间结算单据确认当期收入。</w:t>
      </w:r>
    </w:p>
    <w:p>
      <w:pPr>
        <w:pStyle w:val="BodyText"/>
        <w:spacing w:line="232" w:lineRule="exact" w:before="23"/>
        <w:ind w:left="472" w:right="94" w:hanging="89"/>
        <w:jc w:val="left"/>
      </w:pPr>
      <w:r>
        <w:rPr/>
        <w:t>（</w:t>
      </w:r>
      <w:r>
        <w:rPr>
          <w:rFonts w:ascii="Times New Roman" w:hAnsi="Times New Roman" w:cs="Times New Roman" w:eastAsia="Times New Roman" w:hint="default"/>
        </w:rPr>
        <w:t>9</w:t>
      </w:r>
      <w:r>
        <w:rPr/>
        <w:t>）资源整合收入 </w:t>
      </w:r>
      <w:r>
        <w:rPr>
          <w:spacing w:val="-2"/>
        </w:rPr>
        <w:t>根据权责发生制确认收入，双方签署业务协议，本公司依据协议授权对方使用我方品牌及相关平台，并根据实际情况为</w:t>
      </w:r>
    </w:p>
    <w:p>
      <w:pPr>
        <w:pStyle w:val="BodyText"/>
        <w:spacing w:line="232" w:lineRule="exact" w:before="1"/>
        <w:ind w:right="94"/>
        <w:jc w:val="left"/>
      </w:pPr>
      <w:r>
        <w:rPr>
          <w:spacing w:val="-2"/>
        </w:rPr>
        <w:t>对方开通相关平台权限，对方根据协议已经支付款项或按协议约定支付协议款项，或预计相关的经济利益很可能流入本公司</w:t>
      </w:r>
      <w:r>
        <w:rPr>
          <w:spacing w:val="-64"/>
        </w:rPr>
        <w:t> </w:t>
      </w:r>
      <w:r>
        <w:rPr>
          <w:spacing w:val="-64"/>
        </w:rPr>
      </w:r>
      <w:r>
        <w:rPr/>
        <w:t>时，双方主要的权利义务至此已经基本履行，本公司确认相关收入。</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440" w:lineRule="atLeast" w:before="84"/>
        <w:ind w:left="292" w:right="94"/>
        <w:jc w:val="left"/>
      </w:pPr>
      <w:r>
        <w:rPr/>
        <w:t>公司取得的、用于购建或以其他方式形成长期资产的政府补助划分为与资产相关的政府补助。 </w:t>
      </w:r>
      <w:r>
        <w:rPr>
          <w:spacing w:val="-2"/>
        </w:rPr>
        <w:t>与资产相关的政府补助，冲减相关资产的账面价值或确认为递延收益。与资产相关补助确认为递延收益的，在相关资产使</w:t>
      </w:r>
    </w:p>
    <w:p>
      <w:pPr>
        <w:pStyle w:val="BodyText"/>
        <w:spacing w:line="232" w:lineRule="exact" w:before="24"/>
        <w:ind w:right="94"/>
        <w:jc w:val="left"/>
      </w:pPr>
      <w:r>
        <w:rPr>
          <w:spacing w:val="-2"/>
        </w:rPr>
        <w:t>用寿命内按照合理、系统的方法分期计入损益。按照名义金额计量的政府补助，直接计入当期损益。相关资产在使用寿命结</w:t>
      </w:r>
      <w:r>
        <w:rPr>
          <w:spacing w:val="-66"/>
        </w:rPr>
        <w:t> </w:t>
      </w:r>
      <w:r>
        <w:rPr>
          <w:spacing w:val="-66"/>
        </w:rPr>
      </w:r>
      <w:r>
        <w:rPr/>
        <w:t>束前被出售、转让、报废或发生毁损的，将尚未分配的相关递延收益余额转入资产处置当期的损益。</w:t>
      </w:r>
    </w:p>
    <w:p>
      <w:pPr>
        <w:spacing w:after="0" w:line="232" w:lineRule="exact"/>
        <w:jc w:val="left"/>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94"/>
        <w:jc w:val="left"/>
      </w:pPr>
      <w:r>
        <w:rPr/>
        <w:t>除与资产相关的政府补助之外的政府补助划分为与收益相关的政府补助。 </w:t>
      </w:r>
      <w:r>
        <w:rPr>
          <w:spacing w:val="-2"/>
        </w:rPr>
        <w:t>对于同时包含与资产相关部分和与收益相关部分的政府补助，难以区分与资产相关或与收益相关的，整体归类为与收益相关</w:t>
      </w:r>
      <w:r>
        <w:rPr>
          <w:spacing w:val="-64"/>
        </w:rPr>
        <w:t> </w:t>
      </w:r>
      <w:r>
        <w:rPr>
          <w:spacing w:val="-64"/>
        </w:rPr>
      </w:r>
      <w:r>
        <w:rPr>
          <w:spacing w:val="-2"/>
        </w:rPr>
        <w:t>的政府补助。与收益相关的政府补助，用于补偿以后期间的相关成本费用或损失的，确认为递延收益，在确认相关成本费用</w:t>
      </w:r>
      <w:r>
        <w:rPr>
          <w:spacing w:val="-66"/>
        </w:rPr>
        <w:t> </w:t>
      </w:r>
      <w:r>
        <w:rPr>
          <w:spacing w:val="-66"/>
        </w:rPr>
      </w:r>
      <w:r>
        <w:rPr>
          <w:spacing w:val="-2"/>
        </w:rPr>
        <w:t>或损失的期间，计入当期损益或冲减相关成本；用于补偿已发生的相关成本费用或损失的，直接计入当期损益或冲减相关成</w:t>
      </w:r>
      <w:r>
        <w:rPr>
          <w:spacing w:val="-65"/>
        </w:rPr>
        <w:t> </w:t>
      </w:r>
      <w:r>
        <w:rPr>
          <w:spacing w:val="-65"/>
        </w:rPr>
      </w:r>
      <w:r>
        <w:rPr/>
        <w:t>本。 </w:t>
      </w:r>
      <w:r>
        <w:rPr>
          <w:spacing w:val="-2"/>
        </w:rPr>
        <w:t>与公司日常经营活动相关的政府补助，按照经济业务实质，计入其他收益或冲减相关成本费用。与公司日常活动无关的政府</w:t>
      </w:r>
      <w:r>
        <w:rPr>
          <w:spacing w:val="-65"/>
        </w:rPr>
        <w:t> </w:t>
      </w:r>
      <w:r>
        <w:rPr>
          <w:spacing w:val="-65"/>
        </w:rPr>
      </w:r>
      <w:r>
        <w:rPr/>
        <w:t>补助，计入营业外收支。</w:t>
      </w:r>
    </w:p>
    <w:p>
      <w:pPr>
        <w:pStyle w:val="BodyText"/>
        <w:spacing w:line="237" w:lineRule="auto"/>
        <w:ind w:right="94"/>
        <w:jc w:val="left"/>
      </w:pPr>
      <w:r>
        <w:rPr/>
        <w:t>财政将贴息资金直接拨付给公司的，将对应的贴息冲减相关借款费用。 </w:t>
      </w:r>
      <w:r>
        <w:rPr>
          <w:spacing w:val="-2"/>
        </w:rPr>
        <w:t>已确认的政府补助需要返还时，初始确认时冲减相关资产账面价值的，调整资产账面价值；存在相关递延收益余额的，冲减</w:t>
      </w:r>
      <w:r>
        <w:rPr>
          <w:spacing w:val="-66"/>
        </w:rPr>
        <w:t> </w:t>
      </w:r>
      <w:r>
        <w:rPr>
          <w:spacing w:val="-66"/>
        </w:rPr>
      </w:r>
      <w:r>
        <w:rPr/>
        <w:t>相关递延收益账面余额，超出部分计入当期损益；不存在相关递延收益的，直接计入当期损益。</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472" w:right="94" w:hanging="360"/>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232" w:lineRule="exact" w:before="1"/>
        <w:ind w:right="94"/>
        <w:jc w:val="left"/>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232" w:lineRule="exact" w:before="3"/>
        <w:ind w:left="472" w:right="94" w:hanging="89"/>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212" w:lineRule="exact"/>
        <w:ind w:right="94"/>
        <w:jc w:val="left"/>
      </w:pPr>
      <w:r>
        <w:rPr/>
        <w:t>基础的项目的账面价值与计税基础之间的差额产生的暂时性差异</w:t>
      </w:r>
      <w:r>
        <w:rPr>
          <w:spacing w:val="-82"/>
        </w:rPr>
        <w:t>，</w:t>
      </w:r>
      <w:r>
        <w:rPr/>
        <w:t>采用资产负债表债务法确认递延所得税资产及递延所得税</w:t>
      </w:r>
    </w:p>
    <w:p>
      <w:pPr>
        <w:pStyle w:val="BodyText"/>
        <w:spacing w:line="234" w:lineRule="exact"/>
        <w:ind w:right="94"/>
        <w:jc w:val="left"/>
      </w:pPr>
      <w:r>
        <w:rPr/>
        <w:t>负债。</w:t>
      </w:r>
    </w:p>
    <w:p>
      <w:pPr>
        <w:pStyle w:val="BodyText"/>
        <w:spacing w:line="237" w:lineRule="auto"/>
        <w:ind w:right="192"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5"/>
        </w:rPr>
        <w:t> </w:t>
      </w:r>
      <w:r>
        <w:rPr>
          <w:spacing w:val="-65"/>
        </w:rPr>
      </w:r>
      <w:r>
        <w:rPr/>
        <w:t>得税负债。</w:t>
      </w:r>
    </w:p>
    <w:p>
      <w:pPr>
        <w:pStyle w:val="BodyText"/>
        <w:spacing w:line="237" w:lineRule="auto"/>
        <w:ind w:right="192"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5"/>
        </w:rPr>
        <w:t> </w:t>
      </w:r>
      <w:r>
        <w:rPr>
          <w:spacing w:val="-65"/>
        </w:rPr>
      </w:r>
      <w:r>
        <w:rPr/>
        <w:t>额为限，确认其他可抵扣暂时性差异产生的递延所得税资产。</w:t>
      </w:r>
    </w:p>
    <w:p>
      <w:pPr>
        <w:pStyle w:val="BodyText"/>
        <w:spacing w:line="232" w:lineRule="exact" w:before="24"/>
        <w:ind w:right="94" w:firstLine="360"/>
        <w:jc w:val="left"/>
      </w:pPr>
      <w:r>
        <w:rPr>
          <w:spacing w:val="-2"/>
        </w:rPr>
        <w:t>对于能够结转以后年度的可抵扣亏损和税款抵减，以很可能获得用来抵扣可抵扣亏损和税款抵减的未来应纳税所得额为</w:t>
      </w:r>
      <w:r>
        <w:rPr/>
        <w:t> 限，确认相应的递延所得税资产。 </w:t>
      </w:r>
      <w:r>
        <w:rPr>
          <w:spacing w:val="-2"/>
        </w:rPr>
        <w:t>资产负债表日，对于递延所得税资产和递延所得税负债，根据税法规定，按照预期收回相关资产或清偿相关负债期间的适用</w:t>
      </w:r>
      <w:r>
        <w:rPr>
          <w:spacing w:val="-65"/>
        </w:rPr>
        <w:t> </w:t>
      </w:r>
      <w:r>
        <w:rPr>
          <w:spacing w:val="-65"/>
        </w:rPr>
      </w:r>
      <w:r>
        <w:rPr/>
        <w:t>税率计量。</w:t>
      </w:r>
    </w:p>
    <w:p>
      <w:pPr>
        <w:pStyle w:val="BodyText"/>
        <w:spacing w:line="212" w:lineRule="exact"/>
        <w:ind w:left="472" w:right="0"/>
        <w:jc w:val="left"/>
      </w:pPr>
      <w:r>
        <w:rPr/>
        <w:t>于资产负债表日，对递延所得税资产的账面价值进行复核，如果未来很可能无法获得足够的应纳税所得额用以抵扣递延</w:t>
      </w:r>
    </w:p>
    <w:p>
      <w:pPr>
        <w:pStyle w:val="BodyText"/>
        <w:spacing w:line="234" w:lineRule="exact"/>
        <w:ind w:right="94"/>
        <w:jc w:val="left"/>
      </w:pPr>
      <w:r>
        <w:rPr/>
        <w:t>所得税资产的利益，则减记递延所得税资产的账面价值。在很可能获得足够的应纳税所得额时，减记的金额予以转回。</w:t>
      </w:r>
    </w:p>
    <w:p>
      <w:pPr>
        <w:pStyle w:val="BodyText"/>
        <w:spacing w:line="232" w:lineRule="exact" w:before="23"/>
        <w:ind w:left="472" w:right="6034" w:hanging="89"/>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232" w:lineRule="exact" w:before="3"/>
        <w:ind w:right="291"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218" w:lineRule="exact"/>
        <w:ind w:left="384" w:right="94"/>
        <w:jc w:val="left"/>
      </w:pPr>
      <w:r>
        <w:rPr/>
        <w:t>（</w:t>
      </w:r>
      <w:r>
        <w:rPr>
          <w:rFonts w:ascii="Times New Roman" w:hAnsi="Times New Roman" w:cs="Times New Roman" w:eastAsia="Times New Roman" w:hint="default"/>
        </w:rPr>
        <w:t>4</w:t>
      </w:r>
      <w:r>
        <w:rPr/>
        <w:t>）所得税的抵销</w:t>
      </w:r>
    </w:p>
    <w:p>
      <w:pPr>
        <w:pStyle w:val="BodyText"/>
        <w:spacing w:line="232" w:lineRule="exact" w:before="17"/>
        <w:ind w:right="192" w:firstLine="360"/>
        <w:jc w:val="both"/>
      </w:pPr>
      <w:r>
        <w:rPr>
          <w:spacing w:val="-2"/>
        </w:rPr>
        <w:t>当拥有以净额结算的法定权利，且意图以净额结算或取得资产、清偿负债同时进行时，本公司当期所得税资产及当期所</w:t>
      </w:r>
      <w:r>
        <w:rPr/>
        <w:t> 得税负债以抵销后的净额列报。</w:t>
      </w:r>
    </w:p>
    <w:p>
      <w:pPr>
        <w:pStyle w:val="BodyText"/>
        <w:spacing w:line="232" w:lineRule="exact"/>
        <w:ind w:right="19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p>
    <w:p>
      <w:pPr>
        <w:pStyle w:val="BodyText"/>
        <w:spacing w:line="214" w:lineRule="exact"/>
        <w:ind w:right="94"/>
        <w:jc w:val="left"/>
      </w:pPr>
      <w:r>
        <w:rPr/>
        <w:t>资产及递延所得税负债以抵销后的净额列报。</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34" w:lineRule="exact"/>
        <w:ind w:left="204" w:right="94"/>
        <w:jc w:val="left"/>
      </w:pPr>
      <w:r>
        <w:rPr/>
        <w:t>融资租赁以外的其他租赁为经营租赁。</w:t>
      </w:r>
    </w:p>
    <w:p>
      <w:pPr>
        <w:pStyle w:val="BodyText"/>
        <w:spacing w:line="248" w:lineRule="exact"/>
        <w:ind w:left="384" w:right="94"/>
        <w:jc w:val="left"/>
      </w:pPr>
      <w:r>
        <w:rPr/>
        <w:t>（</w:t>
      </w:r>
      <w:r>
        <w:rPr>
          <w:rFonts w:ascii="Times New Roman" w:hAnsi="Times New Roman" w:cs="Times New Roman" w:eastAsia="Times New Roman" w:hint="default"/>
        </w:rPr>
        <w:t>1</w:t>
      </w:r>
      <w:r>
        <w:rPr/>
        <w:t>）本公司作为承租人记录经营租赁业务</w:t>
      </w:r>
    </w:p>
    <w:p>
      <w:pPr>
        <w:spacing w:after="0" w:line="248" w:lineRule="exact"/>
        <w:jc w:val="left"/>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2" w:lineRule="exact" w:before="69"/>
        <w:ind w:right="0"/>
        <w:jc w:val="left"/>
      </w:pP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232" w:lineRule="exact" w:before="3"/>
        <w:ind w:left="472" w:right="0" w:hanging="89"/>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w:t>
      </w:r>
    </w:p>
    <w:p>
      <w:pPr>
        <w:pStyle w:val="BodyText"/>
        <w:spacing w:line="212" w:lineRule="exact"/>
        <w:ind w:right="0"/>
        <w:jc w:val="left"/>
      </w:pPr>
      <w:r>
        <w:rPr/>
        <w:t>在整个租赁期间内按照与确认租金收入相同的基础分期计入当期损益</w:t>
      </w:r>
      <w:r>
        <w:rPr>
          <w:spacing w:val="-82"/>
        </w:rPr>
        <w:t>；</w:t>
      </w:r>
      <w:r>
        <w:rPr/>
        <w:t>其他金额较小的初始直接费用于发生时计入当期损益。</w:t>
      </w:r>
    </w:p>
    <w:p>
      <w:pPr>
        <w:pStyle w:val="BodyText"/>
        <w:spacing w:line="240" w:lineRule="auto"/>
        <w:ind w:right="0"/>
        <w:jc w:val="left"/>
      </w:pPr>
      <w:r>
        <w:rPr/>
        <w:t>或有租金于实际发生时计入当期损益。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34" w:lineRule="exact"/>
        <w:ind w:left="384" w:right="0"/>
        <w:jc w:val="left"/>
      </w:pPr>
      <w:r>
        <w:rPr/>
        <w:t>融资租赁为实质上转移了与资产所有权有关的全部风险和报酬的租赁，其所有权最终可能转移，也可能不转移。</w:t>
      </w:r>
    </w:p>
    <w:p>
      <w:pPr>
        <w:pStyle w:val="BodyText"/>
        <w:spacing w:line="232" w:lineRule="exact" w:before="23"/>
        <w:ind w:left="472" w:right="0" w:hanging="89"/>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232" w:lineRule="exact" w:before="3"/>
        <w:ind w:right="0"/>
        <w:jc w:val="left"/>
      </w:pPr>
      <w:r>
        <w:rPr>
          <w:spacing w:val="-4"/>
        </w:rPr>
        <w:t>最低租赁付款额作为长期应付款的入账价值，其差额作为未确认融资费用。此外，在租赁谈判和签订租赁合同过程中发生的，</w:t>
      </w:r>
      <w:r>
        <w:rPr>
          <w:spacing w:val="-42"/>
        </w:rPr>
        <w:t> </w:t>
      </w:r>
      <w:r>
        <w:rPr>
          <w:spacing w:val="-42"/>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12" w:lineRule="exact"/>
        <w:ind w:left="472" w:right="0"/>
        <w:jc w:val="left"/>
      </w:pPr>
      <w:r>
        <w:rPr/>
        <w:t>未确认融资费用在租赁期内采用实际利率法计算确认当期的融资费用。或有租金于实际发生时计入当期损益。</w:t>
      </w:r>
    </w:p>
    <w:p>
      <w:pPr>
        <w:pStyle w:val="BodyText"/>
        <w:spacing w:line="232" w:lineRule="exact" w:before="24"/>
        <w:ind w:left="472" w:right="0" w:hanging="89"/>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232" w:lineRule="exact" w:before="1"/>
        <w:ind w:right="0"/>
        <w:jc w:val="left"/>
      </w:pPr>
      <w:r>
        <w:rPr>
          <w:spacing w:val="-2"/>
        </w:rPr>
        <w:t>余值；将最低租赁收款额、初始直接费用及未担保余值之和与其现值之和的差额确认为未实现融资收益。应收融资租赁款扣</w:t>
      </w:r>
      <w:r>
        <w:rPr>
          <w:spacing w:val="-65"/>
        </w:rPr>
        <w:t> </w:t>
      </w:r>
      <w:r>
        <w:rPr>
          <w:spacing w:val="-65"/>
        </w:rPr>
      </w:r>
      <w:r>
        <w:rPr/>
        <w:t>除未实现融资收益后的余额分别长期债权和一年内到期的长期债权列示。</w:t>
      </w:r>
    </w:p>
    <w:p>
      <w:pPr>
        <w:pStyle w:val="BodyText"/>
        <w:spacing w:line="212" w:lineRule="exact"/>
        <w:ind w:left="472" w:right="0"/>
        <w:jc w:val="left"/>
      </w:pPr>
      <w:r>
        <w:rPr/>
        <w:t>未实现融资收益在租赁期内采用实际利率法计算确认当期的融资收入。或有租金于实际发生时计入当期损益。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472" w:right="284" w:hanging="269"/>
        <w:jc w:val="left"/>
      </w:pPr>
      <w:r>
        <w:rPr/>
        <w:t>（</w:t>
      </w:r>
      <w:r>
        <w:rPr>
          <w:rFonts w:ascii="Times New Roman" w:hAnsi="Times New Roman" w:cs="Times New Roman" w:eastAsia="Times New Roman" w:hint="default"/>
        </w:rPr>
        <w:t>1</w:t>
      </w:r>
      <w:r>
        <w:rPr/>
        <w:t>）终止经营 终止经营，是指满足下列条件之一的、能够单独区分的组成部分，且该组成部分已经处置或划分为持有待售类别：</w:t>
      </w:r>
      <w:r>
        <w:rPr>
          <w:rFonts w:ascii="Times New Roman" w:hAnsi="Times New Roman" w:cs="Times New Roman" w:eastAsia="Times New Roman" w:hint="default"/>
        </w:rPr>
        <w:t>1</w:t>
      </w:r>
      <w:r>
        <w:rPr/>
        <w:t>）</w:t>
      </w:r>
    </w:p>
    <w:p>
      <w:pPr>
        <w:pStyle w:val="BodyText"/>
        <w:spacing w:line="218" w:lineRule="exact"/>
        <w:ind w:right="0"/>
        <w:jc w:val="left"/>
      </w:pPr>
      <w:r>
        <w:rPr/>
        <w:t>该组成部分代表一项独立的主要业务或一个单独的主要经营地区；</w:t>
      </w:r>
      <w:r>
        <w:rPr>
          <w:spacing w:val="-33"/>
        </w:rPr>
        <w:t> </w:t>
      </w:r>
      <w:r>
        <w:rPr>
          <w:rFonts w:ascii="Times New Roman" w:hAnsi="Times New Roman" w:cs="Times New Roman" w:eastAsia="Times New Roman" w:hint="default"/>
          <w:spacing w:val="-2"/>
        </w:rPr>
        <w:t>2</w:t>
      </w:r>
      <w:r>
        <w:rPr>
          <w:spacing w:val="-2"/>
        </w:rPr>
        <w:t>）该组成部分是拟对一项独立的主要业务或一个单独的</w:t>
      </w:r>
    </w:p>
    <w:p>
      <w:pPr>
        <w:pStyle w:val="BodyText"/>
        <w:spacing w:line="232" w:lineRule="exact" w:before="17"/>
        <w:ind w:left="204" w:right="2175" w:hanging="92"/>
        <w:jc w:val="left"/>
      </w:pPr>
      <w:r>
        <w:rPr/>
        <w:t>主要经营地区进行处置的一项相关联计划的一部分；</w:t>
      </w:r>
      <w:r>
        <w:rPr>
          <w:spacing w:val="-1"/>
        </w:rPr>
        <w:t> </w:t>
      </w:r>
      <w:r>
        <w:rPr>
          <w:rFonts w:ascii="Times New Roman" w:hAnsi="Times New Roman" w:cs="Times New Roman" w:eastAsia="Times New Roman" w:hint="default"/>
        </w:rPr>
        <w:t>3</w:t>
      </w:r>
      <w:r>
        <w:rPr/>
        <w:t>）该组成部分是专为转售而取得的子公司。 终止经营的会计处理方法参见本附注</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相关描述。</w:t>
      </w:r>
    </w:p>
    <w:p>
      <w:pPr>
        <w:pStyle w:val="BodyText"/>
        <w:spacing w:line="232" w:lineRule="exact" w:before="1"/>
        <w:ind w:left="472" w:right="7574" w:hanging="89"/>
        <w:jc w:val="left"/>
      </w:pPr>
      <w:r>
        <w:rPr/>
        <w:t>（</w:t>
      </w:r>
      <w:r>
        <w:rPr>
          <w:rFonts w:ascii="Times New Roman" w:hAnsi="Times New Roman" w:cs="Times New Roman" w:eastAsia="Times New Roman" w:hint="default"/>
        </w:rPr>
        <w:t>2</w:t>
      </w:r>
      <w:r>
        <w:rPr/>
        <w:t>）套期会计 本公司无套期会计处理。</w:t>
      </w:r>
    </w:p>
    <w:p>
      <w:pPr>
        <w:pStyle w:val="BodyText"/>
        <w:spacing w:line="232" w:lineRule="exact" w:before="3"/>
        <w:ind w:left="472" w:right="7934" w:hanging="89"/>
        <w:jc w:val="left"/>
      </w:pPr>
      <w:r>
        <w:rPr/>
        <w:t>（</w:t>
      </w:r>
      <w:r>
        <w:rPr>
          <w:rFonts w:ascii="Times New Roman" w:hAnsi="Times New Roman" w:cs="Times New Roman" w:eastAsia="Times New Roman" w:hint="default"/>
        </w:rPr>
        <w:t>3</w:t>
      </w:r>
      <w:r>
        <w:rPr/>
        <w:t>）回购股份 本公司无回购股份。</w:t>
      </w:r>
    </w:p>
    <w:p>
      <w:pPr>
        <w:pStyle w:val="BodyText"/>
        <w:spacing w:line="218" w:lineRule="exact"/>
        <w:ind w:left="384" w:right="0"/>
        <w:jc w:val="left"/>
      </w:pPr>
      <w:r>
        <w:rPr/>
        <w:t>（</w:t>
      </w:r>
      <w:r>
        <w:rPr>
          <w:rFonts w:ascii="Times New Roman" w:hAnsi="Times New Roman" w:cs="Times New Roman" w:eastAsia="Times New Roman" w:hint="default"/>
        </w:rPr>
        <w:t>4</w:t>
      </w:r>
      <w:r>
        <w:rPr/>
        <w:t>）资产证券化</w:t>
      </w:r>
    </w:p>
    <w:p>
      <w:pPr>
        <w:pStyle w:val="BodyText"/>
        <w:spacing w:line="227" w:lineRule="exact"/>
        <w:ind w:left="472" w:right="0"/>
        <w:jc w:val="left"/>
      </w:pPr>
      <w:r>
        <w:rPr/>
        <w:t>本公司无资产证券化业务。</w:t>
      </w:r>
    </w:p>
    <w:p>
      <w:pPr>
        <w:pStyle w:val="BodyText"/>
        <w:spacing w:line="232" w:lineRule="exact" w:before="23"/>
        <w:ind w:left="472" w:right="0" w:hanging="89"/>
        <w:jc w:val="left"/>
      </w:pPr>
      <w:r>
        <w:rPr/>
        <w:t>（</w:t>
      </w:r>
      <w:r>
        <w:rPr>
          <w:rFonts w:ascii="Times New Roman" w:hAnsi="Times New Roman" w:cs="Times New Roman" w:eastAsia="Times New Roman" w:hint="default"/>
        </w:rPr>
        <w:t>5</w:t>
      </w:r>
      <w:r>
        <w:rPr/>
        <w:t>）重大会计判断和估计 </w:t>
      </w:r>
      <w:r>
        <w:rPr>
          <w:spacing w:val="-2"/>
        </w:rPr>
        <w:t>本公司在运用会计政策过程中，由于经营活动内在的不确定性，本公司需要对无法准确计量的报表项目的账面价值进行</w:t>
      </w:r>
    </w:p>
    <w:p>
      <w:pPr>
        <w:pStyle w:val="BodyText"/>
        <w:spacing w:line="232" w:lineRule="exact"/>
        <w:ind w:right="194"/>
        <w:jc w:val="left"/>
      </w:pPr>
      <w:r>
        <w:rPr/>
        <w:t>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p>
    <w:p>
      <w:pPr>
        <w:pStyle w:val="BodyText"/>
        <w:spacing w:line="232" w:lineRule="exact" w:before="3"/>
        <w:ind w:right="0"/>
        <w:jc w:val="left"/>
      </w:pP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212" w:lineRule="exact"/>
        <w:ind w:left="472" w:right="0"/>
        <w:jc w:val="left"/>
      </w:pPr>
      <w:r>
        <w:rPr/>
        <w:t>本公司对前述判断、估计和假设在持续经营的基础上进行定期复核，会计估计的变更仅影响变更当期的，其影响数在变</w:t>
      </w:r>
    </w:p>
    <w:p>
      <w:pPr>
        <w:pStyle w:val="BodyText"/>
        <w:spacing w:line="232" w:lineRule="exact" w:before="24"/>
        <w:ind w:left="472" w:right="2174" w:hanging="360"/>
        <w:jc w:val="left"/>
      </w:pPr>
      <w:r>
        <w:rPr/>
        <w:t>更当期予以确认；既影响变更当期又影响未来期间的，其影响数在变更当期和未来期间予以确认。 于资产负债表日，本公司需对财务报表项目金额进行判断、估计和假设的重要领域如下： </w:t>
      </w:r>
      <w:r>
        <w:rPr>
          <w:rFonts w:ascii="Times New Roman" w:hAnsi="Times New Roman" w:cs="Times New Roman" w:eastAsia="Times New Roman" w:hint="default"/>
        </w:rPr>
        <w:t>1</w:t>
      </w:r>
      <w:r>
        <w:rPr/>
        <w:t>）租赁的归类</w:t>
      </w:r>
    </w:p>
    <w:p>
      <w:pPr>
        <w:pStyle w:val="BodyText"/>
        <w:spacing w:line="232" w:lineRule="exact" w:before="3"/>
        <w:ind w:right="292" w:firstLine="360"/>
        <w:jc w:val="both"/>
      </w:pP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r>
        <w:rPr/>
        <w:t> </w:t>
      </w: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232" w:lineRule="exact"/>
        <w:ind w:left="472" w:right="0"/>
        <w:jc w:val="left"/>
      </w:pPr>
      <w:r>
        <w:rPr>
          <w:rFonts w:ascii="Times New Roman" w:hAnsi="Times New Roman" w:cs="Times New Roman" w:eastAsia="Times New Roman" w:hint="default"/>
        </w:rPr>
        <w:t>2</w:t>
      </w:r>
      <w:r>
        <w:rPr/>
        <w:t>）坏账准备计提 </w:t>
      </w:r>
      <w:r>
        <w:rPr>
          <w:spacing w:val="-2"/>
        </w:rPr>
        <w:t>本公司根据应收款项的会计政策，采用备抵法核算坏账损失。应收账款减值是基于评估应收账款的可收回性。鉴定应收</w:t>
      </w:r>
    </w:p>
    <w:p>
      <w:pPr>
        <w:pStyle w:val="BodyText"/>
        <w:spacing w:line="232" w:lineRule="exact" w:before="3"/>
        <w:ind w:right="0"/>
        <w:jc w:val="left"/>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218" w:lineRule="exact"/>
        <w:ind w:left="472" w:right="0"/>
        <w:jc w:val="left"/>
      </w:pPr>
      <w:r>
        <w:rPr>
          <w:rFonts w:ascii="Times New Roman" w:hAnsi="Times New Roman" w:cs="Times New Roman" w:eastAsia="Times New Roman" w:hint="default"/>
        </w:rPr>
        <w:t>3</w:t>
      </w:r>
      <w:r>
        <w:rPr/>
        <w:t>）存货跌价准备</w:t>
      </w:r>
    </w:p>
    <w:p>
      <w:pPr>
        <w:pStyle w:val="BodyText"/>
        <w:spacing w:line="232" w:lineRule="exact" w:before="17"/>
        <w:ind w:right="292" w:firstLine="360"/>
        <w:jc w:val="both"/>
      </w:pPr>
      <w:r>
        <w:rPr>
          <w:spacing w:val="-2"/>
        </w:rPr>
        <w:t>本公司根据存货会计政策，按照成本与可变现净值孰低计量，对成本高于可变现净值及陈旧和滞销的存货，计提存货跌</w:t>
      </w:r>
      <w:r>
        <w:rPr/>
        <w:t> </w:t>
      </w:r>
      <w:r>
        <w:rPr>
          <w:spacing w:val="-2"/>
        </w:rPr>
        <w:t>价准备。存货减值至可变现净值是基于评估存货的可售性及其可变现净值。鉴定存货减值要求管理层在取得确凿证据，并且</w:t>
      </w:r>
      <w:r>
        <w:rPr>
          <w:spacing w:val="-65"/>
        </w:rPr>
        <w:t> </w:t>
      </w:r>
      <w:r>
        <w:rPr>
          <w:spacing w:val="-65"/>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228" w:lineRule="exact"/>
        <w:ind w:left="472" w:right="0"/>
        <w:jc w:val="left"/>
      </w:pPr>
      <w:r>
        <w:rPr>
          <w:rFonts w:ascii="Times New Roman" w:hAnsi="Times New Roman" w:cs="Times New Roman" w:eastAsia="Times New Roman" w:hint="default"/>
        </w:rPr>
        <w:t>4</w:t>
      </w:r>
      <w:r>
        <w:rPr/>
        <w:t>）金融工具公允价值</w:t>
      </w:r>
    </w:p>
    <w:p>
      <w:pPr>
        <w:spacing w:after="0" w:line="228" w:lineRule="exact"/>
        <w:jc w:val="left"/>
        <w:sectPr>
          <w:pgSz w:w="11910" w:h="16840"/>
          <w:pgMar w:header="878" w:footer="978" w:top="1100" w:bottom="1160" w:left="1020" w:right="840"/>
        </w:sectPr>
      </w:pPr>
    </w:p>
    <w:p>
      <w:pPr>
        <w:spacing w:line="240" w:lineRule="auto" w:before="12"/>
        <w:rPr>
          <w:rFonts w:ascii="宋体" w:hAnsi="宋体" w:cs="宋体" w:eastAsia="宋体" w:hint="default"/>
          <w:sz w:val="18"/>
          <w:szCs w:val="18"/>
        </w:rPr>
      </w:pPr>
    </w:p>
    <w:p>
      <w:pPr>
        <w:pStyle w:val="BodyText"/>
        <w:spacing w:line="237" w:lineRule="auto" w:before="46"/>
        <w:ind w:right="292" w:firstLine="360"/>
        <w:jc w:val="both"/>
      </w:pPr>
      <w:r>
        <w:rPr>
          <w:spacing w:val="-2"/>
        </w:rPr>
        <w:t>对不存在活跃交易市场的金融工具，本公司通过各种估值方法确定其公允价值。这些估值方法包括贴现现金流模型分析</w:t>
      </w:r>
      <w:r>
        <w:rPr/>
        <w:t> </w:t>
      </w:r>
      <w:r>
        <w:rPr>
          <w:spacing w:val="-2"/>
        </w:rPr>
        <w:t>等。估值时本公司需对未来现金流量、信用风险、市场波动率和相关性等方面进行估计，并选择适当的折现率。这些相关假</w:t>
      </w:r>
      <w:r>
        <w:rPr>
          <w:spacing w:val="-65"/>
        </w:rPr>
        <w:t> </w:t>
      </w:r>
      <w:r>
        <w:rPr>
          <w:spacing w:val="-65"/>
        </w:rPr>
      </w:r>
      <w:r>
        <w:rPr/>
        <w:t>设具有不确定性，其变化会对金融工具的公允价值产生影响。</w:t>
      </w:r>
    </w:p>
    <w:p>
      <w:pPr>
        <w:pStyle w:val="BodyText"/>
        <w:spacing w:line="232" w:lineRule="exact" w:before="22"/>
        <w:ind w:left="472" w:right="374"/>
        <w:jc w:val="left"/>
      </w:pPr>
      <w:r>
        <w:rPr>
          <w:rFonts w:ascii="Times New Roman" w:hAnsi="Times New Roman" w:cs="Times New Roman" w:eastAsia="Times New Roman" w:hint="default"/>
        </w:rPr>
        <w:t>5</w:t>
      </w:r>
      <w:r>
        <w:rPr/>
        <w:t>）持有至到期投资 本公司将符合条件的有固定或可确定还款金额和固定到期日且本公司有明确意图和能力持有至到期的非衍生金融资产</w:t>
      </w:r>
    </w:p>
    <w:p>
      <w:pPr>
        <w:pStyle w:val="BodyText"/>
        <w:spacing w:line="232" w:lineRule="exact" w:before="3"/>
        <w:ind w:right="292"/>
        <w:jc w:val="both"/>
      </w:pPr>
      <w:r>
        <w:rPr>
          <w:spacing w:val="-2"/>
        </w:rPr>
        <w:t>归类为持有至到期投资。进行此项归类工作需涉及大量的判断。在进行判断的过程中，本公司会对其持有该类投资至到期日</w:t>
      </w:r>
      <w:r>
        <w:rPr>
          <w:spacing w:val="-65"/>
        </w:rPr>
        <w:t> </w:t>
      </w:r>
      <w:r>
        <w:rPr>
          <w:spacing w:val="-65"/>
        </w:rPr>
      </w:r>
      <w:r>
        <w:rPr>
          <w:spacing w:val="-2"/>
        </w:rPr>
        <w:t>的意愿和能力进行评估。除特定情况外（例如在接近到期日时出售金额不重大的投资），如果本公司未能将这些投资持有至</w:t>
      </w:r>
      <w:r>
        <w:rPr>
          <w:spacing w:val="-66"/>
        </w:rPr>
        <w:t> </w:t>
      </w:r>
      <w:r>
        <w:rPr>
          <w:spacing w:val="-66"/>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5"/>
        </w:rPr>
        <w:t> </w:t>
      </w:r>
      <w:r>
        <w:rPr>
          <w:spacing w:val="-65"/>
        </w:rPr>
      </w:r>
      <w:r>
        <w:rPr/>
        <w:t>本公司的金融工具风险管理策略。</w:t>
      </w:r>
    </w:p>
    <w:p>
      <w:pPr>
        <w:pStyle w:val="BodyText"/>
        <w:spacing w:line="232" w:lineRule="exact" w:before="3"/>
        <w:ind w:left="472" w:right="0"/>
        <w:jc w:val="left"/>
      </w:pPr>
      <w:r>
        <w:rPr>
          <w:rFonts w:ascii="Times New Roman" w:hAnsi="Times New Roman" w:cs="Times New Roman" w:eastAsia="Times New Roman" w:hint="default"/>
        </w:rPr>
        <w:t>6</w:t>
      </w:r>
      <w:r>
        <w:rPr/>
        <w:t>）持有至到期投资减值 </w:t>
      </w:r>
      <w:r>
        <w:rPr>
          <w:spacing w:val="-2"/>
        </w:rPr>
        <w:t>本公司确定持有至到期投资是否减值在很大程度上依赖于管理层的判断。发生减值的客观证据包括发行方发生严重财务</w:t>
      </w:r>
    </w:p>
    <w:p>
      <w:pPr>
        <w:pStyle w:val="BodyText"/>
        <w:spacing w:line="212" w:lineRule="exact"/>
        <w:ind w:right="0"/>
        <w:jc w:val="both"/>
      </w:pPr>
      <w:r>
        <w:rPr/>
        <w:t>困难使该金融资产无法在活跃市场继续交易、无法履行合同条款（例如，偿付利息或本金发生违约）等。在进行判断的过程</w:t>
      </w:r>
    </w:p>
    <w:p>
      <w:pPr>
        <w:pStyle w:val="BodyText"/>
        <w:spacing w:line="234" w:lineRule="exact"/>
        <w:ind w:right="0"/>
        <w:jc w:val="both"/>
      </w:pPr>
      <w:r>
        <w:rPr/>
        <w:t>中，本公司需评估发生减值的客观证据对该项投资预计未来现金流的影响。</w:t>
      </w:r>
    </w:p>
    <w:p>
      <w:pPr>
        <w:pStyle w:val="BodyText"/>
        <w:spacing w:line="232" w:lineRule="exact" w:before="23"/>
        <w:ind w:left="472" w:right="0"/>
        <w:jc w:val="left"/>
      </w:pPr>
      <w:r>
        <w:rPr>
          <w:rFonts w:ascii="Times New Roman" w:hAnsi="Times New Roman" w:cs="Times New Roman" w:eastAsia="Times New Roman" w:hint="default"/>
        </w:rPr>
        <w:t>7</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232" w:lineRule="exact" w:before="3"/>
        <w:ind w:right="292"/>
        <w:jc w:val="both"/>
      </w:pPr>
      <w:r>
        <w:rPr>
          <w:spacing w:val="-2"/>
        </w:rPr>
        <w:t>值损失。在进行判断和作出假设的过程中，本公司需评估该项投资的公允价值低于成本的程度和持续期间，以及被投资对象</w:t>
      </w:r>
      <w:r>
        <w:rPr>
          <w:spacing w:val="-65"/>
        </w:rPr>
        <w:t> </w:t>
      </w:r>
      <w:r>
        <w:rPr>
          <w:spacing w:val="-65"/>
        </w:rPr>
      </w:r>
      <w:r>
        <w:rPr/>
        <w:t>的财务状况和短期业务展望，包括行业状况、技术变革、信用评级、违约率和对手方的风险。</w:t>
      </w:r>
    </w:p>
    <w:p>
      <w:pPr>
        <w:pStyle w:val="BodyText"/>
        <w:spacing w:line="232" w:lineRule="exact"/>
        <w:ind w:left="472" w:right="0"/>
        <w:jc w:val="left"/>
      </w:pPr>
      <w:r>
        <w:rPr>
          <w:rFonts w:ascii="Times New Roman" w:hAnsi="Times New Roman" w:cs="Times New Roman" w:eastAsia="Times New Roman" w:hint="default"/>
        </w:rPr>
        <w:t>8</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212" w:lineRule="exact"/>
        <w:ind w:right="0"/>
        <w:jc w:val="both"/>
      </w:pPr>
      <w:r>
        <w:rPr/>
        <w:t>产，除每年进行的减值测试外，当其存在减值迹象时，也进行减值测试。其他除金融资产之外的非流动资产，当存在迹象表</w:t>
      </w:r>
    </w:p>
    <w:p>
      <w:pPr>
        <w:pStyle w:val="BodyText"/>
        <w:spacing w:line="232" w:lineRule="exact" w:before="24"/>
        <w:ind w:left="472" w:right="0" w:hanging="360"/>
        <w:jc w:val="left"/>
      </w:pPr>
      <w:r>
        <w:rPr/>
        <w:t>明其账面金额不可收回时，进行减值测试。 </w:t>
      </w:r>
      <w:r>
        <w:rPr>
          <w:spacing w:val="-2"/>
        </w:rPr>
        <w:t>当资产或资产组的账面价值高于可收回金额，即公允价值减去处置费用后的净额和预计未来现金流量的现值中的较高者，</w:t>
      </w:r>
    </w:p>
    <w:p>
      <w:pPr>
        <w:pStyle w:val="BodyText"/>
        <w:spacing w:line="212" w:lineRule="exact"/>
        <w:ind w:right="0"/>
        <w:jc w:val="both"/>
      </w:pPr>
      <w:r>
        <w:rPr/>
        <w:t>表明发生了减值。</w:t>
      </w:r>
    </w:p>
    <w:p>
      <w:pPr>
        <w:pStyle w:val="BodyText"/>
        <w:spacing w:line="232" w:lineRule="exact" w:before="24"/>
        <w:ind w:right="292" w:firstLine="360"/>
        <w:jc w:val="both"/>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232" w:lineRule="exact" w:before="1"/>
        <w:ind w:right="201" w:firstLine="360"/>
        <w:jc w:val="both"/>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p>
    <w:p>
      <w:pPr>
        <w:pStyle w:val="BodyText"/>
        <w:spacing w:line="232" w:lineRule="exact" w:before="3"/>
        <w:ind w:left="472" w:right="0" w:hanging="360"/>
        <w:jc w:val="left"/>
      </w:pPr>
      <w:r>
        <w:rPr/>
        <w:t>售价和相关经营成本的预测。 </w:t>
      </w:r>
      <w:r>
        <w:rPr>
          <w:spacing w:val="-2"/>
        </w:rPr>
        <w:t>本公司至少每年测试商誉是否发生减值。这要求对分配了商誉的资产组或者资产组组合的未来现金流量的现值进行预计。</w:t>
      </w:r>
    </w:p>
    <w:p>
      <w:pPr>
        <w:pStyle w:val="BodyText"/>
        <w:spacing w:line="232" w:lineRule="exact"/>
        <w:ind w:right="292"/>
        <w:jc w:val="both"/>
      </w:pPr>
      <w:r>
        <w:rPr>
          <w:spacing w:val="-2"/>
        </w:rPr>
        <w:t>对未来现金流量的现值进行预计时，本公司需要预计未来资产组或者资产组组合产生的现金流量，同时选择恰当的折现率确</w:t>
      </w:r>
      <w:r>
        <w:rPr>
          <w:spacing w:val="-64"/>
        </w:rPr>
        <w:t> </w:t>
      </w:r>
      <w:r>
        <w:rPr>
          <w:spacing w:val="-64"/>
        </w:rPr>
      </w:r>
      <w:r>
        <w:rPr/>
        <w:t>定未来现金流量的现值。</w:t>
      </w:r>
    </w:p>
    <w:p>
      <w:pPr>
        <w:pStyle w:val="BodyText"/>
        <w:spacing w:line="232" w:lineRule="exact" w:before="3"/>
        <w:ind w:left="472" w:right="0"/>
        <w:jc w:val="left"/>
      </w:pPr>
      <w:r>
        <w:rPr>
          <w:rFonts w:ascii="Times New Roman" w:hAnsi="Times New Roman" w:cs="Times New Roman" w:eastAsia="Times New Roman" w:hint="default"/>
        </w:rPr>
        <w:t>9</w:t>
      </w:r>
      <w:r>
        <w:rPr/>
        <w:t>）折旧和摊销 </w:t>
      </w:r>
      <w:r>
        <w:rPr>
          <w:spacing w:val="-2"/>
        </w:rPr>
        <w:t>本公司对投资性房地产、固定资产和无形资产在考虑其残值后，在使用寿命内按直线法计提折旧和摊销。本公司定期复</w:t>
      </w:r>
    </w:p>
    <w:p>
      <w:pPr>
        <w:pStyle w:val="BodyText"/>
        <w:spacing w:line="212" w:lineRule="exact"/>
        <w:ind w:right="0"/>
        <w:jc w:val="both"/>
      </w:pPr>
      <w:r>
        <w:rPr/>
        <w:t>核使用寿命，以决定将计入每个报告期的折旧和摊销费用数额。使用寿命是本公司根据对同类资产的以往经验并结合预期的</w:t>
      </w:r>
    </w:p>
    <w:p>
      <w:pPr>
        <w:pStyle w:val="BodyText"/>
        <w:spacing w:line="234" w:lineRule="exact"/>
        <w:ind w:right="0"/>
        <w:jc w:val="both"/>
      </w:pPr>
      <w:r>
        <w:rPr/>
        <w:t>技术更新而确定的。如果以前的估计发生重大变化，则会在未来期间对折旧和摊销费用进行调整。</w:t>
      </w:r>
    </w:p>
    <w:p>
      <w:pPr>
        <w:pStyle w:val="BodyText"/>
        <w:spacing w:line="230" w:lineRule="auto" w:before="7"/>
        <w:ind w:left="384" w:right="0"/>
        <w:jc w:val="left"/>
      </w:pPr>
      <w:r>
        <w:rPr>
          <w:rFonts w:ascii="Times New Roman" w:hAnsi="Times New Roman" w:cs="Times New Roman" w:eastAsia="Times New Roman" w:hint="default"/>
        </w:rPr>
        <w:t>10</w:t>
      </w:r>
      <w:r>
        <w:rPr/>
        <w:t>）开发支出 确定资本化的金额时，本公司管理层需要作出有关资产的预计未来现金流量、适用的折现率以及预计受益期间的假设。 </w:t>
      </w:r>
      <w:r>
        <w:rPr>
          <w:rFonts w:ascii="Times New Roman" w:hAnsi="Times New Roman" w:cs="Times New Roman" w:eastAsia="Times New Roman" w:hint="default"/>
        </w:rPr>
        <w:t>11</w:t>
      </w:r>
      <w:r>
        <w:rPr/>
        <w:t>）递延所得税资产 在很有可能有足够的应纳税利润来抵扣亏损的限度内，本公司就所有未利用的税务亏损确认递延所得税资产。这需要本</w:t>
      </w:r>
    </w:p>
    <w:p>
      <w:pPr>
        <w:pStyle w:val="BodyText"/>
        <w:spacing w:line="232" w:lineRule="exact" w:before="23"/>
        <w:ind w:right="292"/>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232" w:lineRule="exact" w:before="1"/>
        <w:ind w:left="472" w:right="0" w:hanging="89"/>
        <w:jc w:val="left"/>
      </w:pPr>
      <w:r>
        <w:rPr>
          <w:rFonts w:ascii="Times New Roman" w:hAnsi="Times New Roman" w:cs="Times New Roman" w:eastAsia="Times New Roman" w:hint="default"/>
        </w:rPr>
        <w:t>12</w:t>
      </w:r>
      <w:r>
        <w:rPr/>
        <w:t>）所得税 </w:t>
      </w:r>
      <w:r>
        <w:rPr>
          <w:spacing w:val="-2"/>
        </w:rPr>
        <w:t>本公司在正常的经营活动中，有部分交易其最终的税务处理和计算存在一定的不确定性。部分项目是否能够在税前列支</w:t>
      </w:r>
    </w:p>
    <w:p>
      <w:pPr>
        <w:pStyle w:val="BodyText"/>
        <w:spacing w:line="232" w:lineRule="exact" w:before="3"/>
        <w:ind w:right="292"/>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232" w:lineRule="exact" w:before="3"/>
        <w:ind w:left="472" w:right="0" w:hanging="89"/>
        <w:jc w:val="left"/>
      </w:pPr>
      <w:r>
        <w:rPr>
          <w:rFonts w:ascii="Times New Roman" w:hAnsi="Times New Roman" w:cs="Times New Roman" w:eastAsia="Times New Roman" w:hint="default"/>
        </w:rPr>
        <w:t>13</w:t>
      </w:r>
      <w:r>
        <w:rPr/>
        <w:t>）预计负债 </w:t>
      </w:r>
      <w:r>
        <w:rPr>
          <w:spacing w:val="-4"/>
        </w:rPr>
        <w:t>本公司根据合约条款、现有知识及历史经验，对产品质量保证、预计合同亏损、延迟交货违约金等估计并计提相应准备。</w:t>
      </w:r>
    </w:p>
    <w:p>
      <w:pPr>
        <w:pStyle w:val="BodyText"/>
        <w:spacing w:line="232" w:lineRule="exact"/>
        <w:ind w:right="29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r>
        <w:rPr>
          <w:spacing w:val="1"/>
        </w:rPr>
        <w:t> </w:t>
      </w:r>
      <w:r>
        <w:rPr/>
        <w:t>其中，本公司会就出售、维修</w:t>
      </w:r>
    </w:p>
    <w:p>
      <w:pPr>
        <w:pStyle w:val="BodyText"/>
        <w:spacing w:line="232" w:lineRule="exact" w:before="3"/>
        <w:ind w:right="292"/>
        <w:jc w:val="both"/>
      </w:pPr>
      <w:r>
        <w:rPr>
          <w:spacing w:val="-2"/>
        </w:rPr>
        <w:t>及改造所售商品向客户提供的售后质量维修承诺预计负债。预计负债时已考虑本公司近期的维修经验数据，但近期的维修经</w:t>
      </w:r>
      <w:r>
        <w:rPr>
          <w:spacing w:val="-64"/>
        </w:rPr>
        <w:t> </w:t>
      </w:r>
      <w:r>
        <w:rPr>
          <w:spacing w:val="-64"/>
        </w:rPr>
      </w:r>
      <w:r>
        <w:rPr/>
        <w:t>验可能无法反映将来的维修情况。这项准备的任何增加或减少，均可能影响未来年度的损益。</w:t>
      </w:r>
    </w:p>
    <w:p>
      <w:pPr>
        <w:pStyle w:val="BodyText"/>
        <w:spacing w:line="232" w:lineRule="exact" w:before="1"/>
        <w:ind w:left="472" w:right="0"/>
        <w:jc w:val="left"/>
      </w:pPr>
      <w:r>
        <w:rPr>
          <w:rFonts w:ascii="Times New Roman" w:hAnsi="Times New Roman" w:cs="Times New Roman" w:eastAsia="Times New Roman" w:hint="default"/>
        </w:rPr>
        <w:t>14</w:t>
      </w:r>
      <w:r>
        <w:rPr/>
        <w:t>）公允价值计量 </w:t>
      </w:r>
      <w:r>
        <w:rPr>
          <w:spacing w:val="-2"/>
        </w:rPr>
        <w:t>本公司的某些资产和负债在财务报表中按公允价值计量。本公司的董事会已成立估价委员会（该估价委员会由本公司的</w:t>
      </w:r>
    </w:p>
    <w:p>
      <w:pPr>
        <w:pStyle w:val="BodyText"/>
        <w:spacing w:line="232" w:lineRule="exact" w:before="3"/>
        <w:ind w:right="292"/>
        <w:jc w:val="both"/>
      </w:pPr>
      <w:r>
        <w:rPr>
          <w:spacing w:val="-2"/>
        </w:rPr>
        <w:t>首席财务官领导），以便为公允价值计量确定适当的估值技术和输入值。在对某项资产或负债的公允价值作出估计时，本公</w:t>
      </w:r>
      <w:r>
        <w:rPr>
          <w:spacing w:val="-66"/>
        </w:rPr>
        <w:t> </w:t>
      </w:r>
      <w:r>
        <w:rPr>
          <w:spacing w:val="-66"/>
        </w:rPr>
      </w:r>
      <w:r>
        <w:rPr>
          <w:spacing w:val="-2"/>
        </w:rPr>
        <w:t>司采用可获得的可观察市场数据。如果无法获得第一层次输入值，本公司会聘用第三方有资质的评估师来执行估价。估价委</w:t>
      </w:r>
      <w:r>
        <w:rPr>
          <w:spacing w:val="-65"/>
        </w:rPr>
        <w:t> </w:t>
      </w:r>
      <w:r>
        <w:rPr>
          <w:spacing w:val="-65"/>
        </w:rPr>
      </w:r>
      <w:r>
        <w:rPr>
          <w:spacing w:val="-2"/>
        </w:rPr>
        <w:t>员会与有资质的外部估价师紧密合作，以确定适当的估值技术和相关模型的输入值。首席财务官每季度向本公司董事会呈报</w:t>
      </w:r>
    </w:p>
    <w:p>
      <w:pPr>
        <w:pStyle w:val="BodyText"/>
        <w:spacing w:line="214" w:lineRule="exact"/>
        <w:ind w:right="0"/>
        <w:jc w:val="both"/>
      </w:pPr>
      <w:r>
        <w:rPr/>
        <w:t>估价委员会的发现，以说明导致相关资产和负债的公允价值发生波动的原因。在确定各类资产和负债的公允价值的过程中所</w:t>
      </w:r>
    </w:p>
    <w:p>
      <w:pPr>
        <w:spacing w:after="0" w:line="214" w:lineRule="exact"/>
        <w:jc w:val="both"/>
        <w:sectPr>
          <w:pgSz w:w="11910" w:h="16840"/>
          <w:pgMar w:header="878" w:footer="978" w:top="1100" w:bottom="1160" w:left="1020" w:right="840"/>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采用的估值技术和输入值的相关信息在附注中披露。</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962"/>
        <w:gridCol w:w="2835"/>
        <w:gridCol w:w="1842"/>
      </w:tblGrid>
      <w:tr>
        <w:trPr>
          <w:trHeight w:val="32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日印发了《企业会计准则第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府补助</w:t>
            </w:r>
            <w:r>
              <w:rPr>
                <w:rFonts w:ascii="宋体" w:hAnsi="宋体" w:cs="宋体" w:eastAsia="宋体" w:hint="default"/>
                <w:spacing w:val="-89"/>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并要求自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日起实施</w:t>
            </w:r>
            <w:r>
              <w:rPr>
                <w:rFonts w:ascii="宋体" w:hAnsi="宋体" w:cs="宋体" w:eastAsia="宋体" w:hint="default"/>
                <w:spacing w:val="-22"/>
                <w:sz w:val="18"/>
                <w:szCs w:val="18"/>
              </w:rPr>
              <w:t>。</w:t>
            </w:r>
            <w:r>
              <w:rPr>
                <w:rFonts w:ascii="宋体" w:hAnsi="宋体" w:cs="宋体" w:eastAsia="宋体" w:hint="default"/>
                <w:sz w:val="18"/>
                <w:szCs w:val="18"/>
              </w:rPr>
              <w:t>修订后准则要求</w:t>
            </w:r>
          </w:p>
          <w:p>
            <w:pPr>
              <w:pStyle w:val="TableParagraph"/>
              <w:spacing w:line="236" w:lineRule="exact" w:before="13"/>
              <w:ind w:left="22" w:right="22"/>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日之后发生的与日常活动相关的政府补助，计</w:t>
            </w:r>
            <w:r>
              <w:rPr>
                <w:rFonts w:ascii="宋体" w:hAnsi="宋体" w:cs="宋体" w:eastAsia="宋体" w:hint="default"/>
                <w:sz w:val="18"/>
                <w:szCs w:val="18"/>
              </w:rPr>
              <w:t> 入其他收益；与日常活动无关的政府补助，计入营业外收支。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日召开第七届董事会</w:t>
            </w:r>
          </w:p>
          <w:p>
            <w:pPr>
              <w:pStyle w:val="TableParagraph"/>
              <w:spacing w:line="232" w:lineRule="exact" w:before="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11"/>
                <w:sz w:val="18"/>
                <w:szCs w:val="18"/>
              </w:rPr>
              <w:t>年第四次会议，审议通过了《关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于会计政策变更的议案》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3" w:right="187"/>
              <w:jc w:val="left"/>
              <w:rPr>
                <w:rFonts w:ascii="宋体" w:hAnsi="宋体" w:cs="宋体" w:eastAsia="宋体" w:hint="default"/>
                <w:sz w:val="18"/>
                <w:szCs w:val="18"/>
              </w:rPr>
            </w:pPr>
            <w:r>
              <w:rPr>
                <w:rFonts w:ascii="宋体" w:hAnsi="宋体" w:cs="宋体" w:eastAsia="宋体" w:hint="default"/>
                <w:sz w:val="18"/>
                <w:szCs w:val="18"/>
              </w:rPr>
              <w:t>本次会计政策变更采 用未来适用法处理</w:t>
            </w:r>
          </w:p>
        </w:tc>
      </w:tr>
      <w:tr>
        <w:trPr>
          <w:trHeight w:val="10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22"/>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日印发了《企业会计准则第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 有待售的非流动资产、处置组和终止经营》</w:t>
            </w:r>
            <w:r>
              <w:rPr>
                <w:rFonts w:ascii="宋体" w:hAnsi="宋体" w:cs="宋体" w:eastAsia="宋体" w:hint="default"/>
                <w:spacing w:val="-42"/>
                <w:sz w:val="18"/>
                <w:szCs w:val="18"/>
              </w:rPr>
              <w:t> </w:t>
            </w:r>
            <w:r>
              <w:rPr>
                <w:rFonts w:ascii="宋体" w:hAnsi="宋体" w:cs="宋体" w:eastAsia="宋体" w:hint="default"/>
                <w:sz w:val="18"/>
                <w:szCs w:val="18"/>
              </w:rPr>
              <w:t>，本准则规范了持</w:t>
            </w:r>
            <w:r>
              <w:rPr>
                <w:rFonts w:ascii="宋体" w:hAnsi="宋体" w:cs="宋体" w:eastAsia="宋体" w:hint="default"/>
                <w:sz w:val="18"/>
                <w:szCs w:val="18"/>
              </w:rPr>
              <w:t> 有待售的非流动资产或处置组的分类、计量和列报，以及终止 经营的列报，并要求在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日执行。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日召开第七届董事会</w:t>
            </w:r>
          </w:p>
          <w:p>
            <w:pPr>
              <w:pStyle w:val="TableParagraph"/>
              <w:spacing w:line="232" w:lineRule="exact" w:before="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11"/>
                <w:sz w:val="18"/>
                <w:szCs w:val="18"/>
              </w:rPr>
              <w:t>年第四次会议，审议通过了《关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于会计政策变更的议案》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3" w:right="187"/>
              <w:jc w:val="left"/>
              <w:rPr>
                <w:rFonts w:ascii="宋体" w:hAnsi="宋体" w:cs="宋体" w:eastAsia="宋体" w:hint="default"/>
                <w:sz w:val="18"/>
                <w:szCs w:val="18"/>
              </w:rPr>
            </w:pPr>
            <w:r>
              <w:rPr>
                <w:rFonts w:ascii="宋体" w:hAnsi="宋体" w:cs="宋体" w:eastAsia="宋体" w:hint="default"/>
                <w:sz w:val="18"/>
                <w:szCs w:val="18"/>
              </w:rPr>
              <w:t>本次会计政策变更采 用未来适用法处理</w:t>
            </w:r>
          </w:p>
        </w:tc>
      </w:tr>
      <w:tr>
        <w:trPr>
          <w:trHeight w:val="282" w:hRule="exact"/>
        </w:trPr>
        <w:tc>
          <w:tcPr>
            <w:tcW w:w="49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年度报表执行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日颁布的《财</w:t>
            </w:r>
          </w:p>
        </w:tc>
        <w:tc>
          <w:tcPr>
            <w:tcW w:w="2835" w:type="dxa"/>
            <w:tcBorders>
              <w:top w:val="single" w:sz="4" w:space="0" w:color="000000"/>
              <w:left w:val="single" w:sz="4" w:space="0" w:color="000000"/>
              <w:bottom w:val="nil" w:sz="6" w:space="0" w:color="auto"/>
              <w:right w:val="single" w:sz="4" w:space="0" w:color="000000"/>
            </w:tcBorders>
          </w:tcPr>
          <w:p>
            <w:pPr/>
          </w:p>
        </w:tc>
        <w:tc>
          <w:tcPr>
            <w:tcW w:w="1842"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政部关于修订印发一般企业财务报表格式的通知》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2017</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日召开第七届董事会</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要求编制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年度及</w:t>
            </w:r>
          </w:p>
        </w:tc>
      </w:tr>
      <w:tr>
        <w:trPr>
          <w:trHeight w:val="233"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年第四次会议，审议通过了《关</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以后期间的财务报表</w:t>
            </w:r>
          </w:p>
        </w:tc>
      </w:tr>
      <w:tr>
        <w:trPr>
          <w:trHeight w:val="230" w:hRule="exact"/>
        </w:trPr>
        <w:tc>
          <w:tcPr>
            <w:tcW w:w="496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处置利得和损失和非货币性资产交换利得和损失变更为列报于</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于会计政策变更的议案》</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采用</w:t>
            </w:r>
          </w:p>
        </w:tc>
      </w:tr>
      <w:tr>
        <w:trPr>
          <w:trHeight w:val="278" w:hRule="exact"/>
        </w:trPr>
        <w:tc>
          <w:tcPr>
            <w:tcW w:w="4962"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5"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r>
        <w:rPr/>
        <w:pict>
          <v:shape style="position:absolute;margin-left:298.920013pt;margin-top:-86.545334pt;width:147.550pt;height:62.6pt;mso-position-horizontal-relative:page;mso-position-vertical-relative:paragraph;z-index:-1012864" type="#_x0000_t202" filled="false" stroked="false">
            <v:textbox inset="0,0,0,0">
              <w:txbxContent>
                <w:p>
                  <w:pPr>
                    <w:spacing w:line="240" w:lineRule="auto" w:before="11"/>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pict>
          <v:group style="position:absolute;margin-left:304.950012pt;margin-top:-86.545334pt;width:141.5pt;height:62.6pt;mso-position-horizontal-relative:page;mso-position-vertical-relative:paragraph;z-index:-1012840" coordorigin="6099,-1731" coordsize="2830,1252">
            <v:shape style="position:absolute;left:6099;top:-1731;width:2830;height:1252" coordorigin="6099,-1731" coordsize="2830,1252" path="m6099,-1731l8929,-1731,8929,-479,6099,-479,6099,-1731xe" filled="true" fillcolor="#ffffff" stroked="false">
              <v:path arrowok="t"/>
              <v:fill type="solid"/>
            </v:shape>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2"/>
          <w:szCs w:val="22"/>
        </w:rPr>
      </w:pPr>
    </w:p>
    <w:p>
      <w:pPr>
        <w:spacing w:line="489" w:lineRule="auto" w:before="0"/>
        <w:ind w:left="112" w:right="811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3"/>
        <w:spacing w:line="240" w:lineRule="auto" w:before="52"/>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2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应税收入按税率计算销项税，并按扣除</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当期允许抵扣的进项税额后的差额计缴</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27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按应纳税所得额的计缴</w:t>
            </w:r>
            <w:r>
              <w:rPr>
                <w:rFonts w:ascii="Times New Roman" w:hAnsi="Times New Roman" w:cs="Times New Roman" w:eastAsia="Times New Roman" w:hint="default"/>
                <w:sz w:val="18"/>
                <w:szCs w:val="18"/>
              </w:rPr>
              <w:t>/</w:t>
            </w:r>
            <w:r>
              <w:rPr>
                <w:rFonts w:ascii="宋体" w:hAnsi="宋体" w:cs="宋体" w:eastAsia="宋体" w:hint="default"/>
                <w:sz w:val="18"/>
                <w:szCs w:val="18"/>
              </w:rPr>
              <w:t>详见下表。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6"/>
        <w:rPr>
          <w:rFonts w:ascii="宋体" w:hAnsi="宋体" w:cs="宋体" w:eastAsia="宋体" w:hint="default"/>
          <w:b/>
          <w:bCs/>
          <w:sz w:val="16"/>
          <w:szCs w:val="16"/>
        </w:rPr>
      </w:pPr>
    </w:p>
    <w:p>
      <w:pPr>
        <w:pStyle w:val="BodyText"/>
        <w:spacing w:line="240" w:lineRule="auto" w:before="44"/>
        <w:ind w:right="0"/>
        <w:jc w:val="left"/>
      </w:pPr>
      <w:r>
        <w:rPr/>
        <w:t>存在不同企业所得税税率纳税主体的，披露情况说明</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footerReference w:type="default" r:id="rId38"/>
          <w:pgSz w:w="11910" w:h="16840"/>
          <w:pgMar w:footer="978" w:header="878" w:top="1100" w:bottom="1160" w:left="1020" w:right="1020"/>
          <w:pgNumType w:start="10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10" w:firstLine="480"/>
        <w:jc w:val="both"/>
      </w:pPr>
      <w:r>
        <w:rPr/>
        <w:t>（1）根据国税（2011）58号文《国家税务总局关于深入实施西部大开发发展战略有关税收政策的通知》，“自2011 年1月1日至2020年12月31日，对设在西部地区的鼓励类产业减按15%的税率征收企业所得税。”本公司之子公司青海明诺胶 </w:t>
      </w:r>
      <w:r>
        <w:rPr>
          <w:spacing w:val="-2"/>
        </w:rPr>
        <w:t>囊有限公司属于《西部大开发新的国家鼓励类产业目录》第九条医药制造业第13项规定的产业项目，新型药用包装材料及其</w:t>
      </w:r>
      <w:r>
        <w:rPr>
          <w:spacing w:val="-62"/>
        </w:rPr>
        <w:t> </w:t>
      </w:r>
      <w:r>
        <w:rPr>
          <w:spacing w:val="-62"/>
        </w:rPr>
      </w:r>
      <w:r>
        <w:rPr/>
        <w:t>技术开发。因此本期适用15%的所得税税率。</w:t>
      </w:r>
    </w:p>
    <w:p>
      <w:pPr>
        <w:pStyle w:val="BodyText"/>
        <w:spacing w:line="237" w:lineRule="auto"/>
        <w:ind w:right="112" w:firstLine="480"/>
        <w:jc w:val="both"/>
      </w:pPr>
      <w:r>
        <w:rPr/>
        <w:t>（2）根据青海省地方税务局生物科技产业园区地方税务分局青生园地税发（2013）5号《关于下达减按15%税率纳税 企业所得税企业名单的通知（第二批）》，本公司之全资子公司青海明胶有限责任公司自2012年度起减按15%的企业所得税</w:t>
      </w:r>
      <w:r>
        <w:rPr>
          <w:spacing w:val="-86"/>
        </w:rPr>
        <w:t> </w:t>
      </w:r>
      <w:r>
        <w:rPr>
          <w:spacing w:val="-86"/>
        </w:rPr>
      </w:r>
      <w:r>
        <w:rPr/>
        <w:t>税率征收企业所得税。</w:t>
      </w:r>
    </w:p>
    <w:p>
      <w:pPr>
        <w:pStyle w:val="BodyText"/>
        <w:spacing w:line="237" w:lineRule="auto"/>
        <w:ind w:right="109" w:firstLine="480"/>
        <w:jc w:val="both"/>
      </w:pPr>
      <w:r>
        <w:rPr/>
        <w:t>（3）本公司之子公司柳州市宏升胶原蛋白肠衣有限公司生产的产品属于《产业结构调整指导目录（2005年本）》第 </w:t>
      </w:r>
      <w:r>
        <w:rPr>
          <w:spacing w:val="-2"/>
        </w:rPr>
        <w:t>一类“鼓励类”第一项“农林业”中第32条“农林牧渔产品储运、保鲜、加工及综合利用”。符合条件的主营业务收入达到</w:t>
      </w:r>
      <w:r>
        <w:rPr>
          <w:spacing w:val="-62"/>
        </w:rPr>
        <w:t> </w:t>
      </w:r>
      <w:r>
        <w:rPr>
          <w:spacing w:val="-62"/>
        </w:rPr>
      </w:r>
      <w:r>
        <w:rPr>
          <w:spacing w:val="-3"/>
        </w:rPr>
        <w:t>企业总收入的70%，符合《国家税务总局关于深入实施西部大开发战略有关企业所得税问题的公告》（国家税务总局公告2012</w:t>
      </w:r>
      <w:r>
        <w:rPr/>
        <w:t> 年第12号）享受西部大开发税收优惠政策的规定，享受15%的企业所得税。本公司之子公司柳州市宏升胶原蛋白肠衣有限公</w:t>
      </w:r>
      <w:r>
        <w:rPr>
          <w:spacing w:val="-86"/>
        </w:rPr>
        <w:t> </w:t>
      </w:r>
      <w:r>
        <w:rPr>
          <w:spacing w:val="-86"/>
        </w:rPr>
      </w:r>
      <w:r>
        <w:rPr>
          <w:spacing w:val="-2"/>
        </w:rPr>
        <w:t>司于2012年9月3日取得柳州市阳和工业新区国家税务局出具的税收优惠事项确认通知书“柳市阳和国税（确）字（2012）18</w:t>
      </w:r>
      <w:r>
        <w:rPr>
          <w:spacing w:val="-56"/>
        </w:rPr>
        <w:t> </w:t>
      </w:r>
      <w:r>
        <w:rPr>
          <w:spacing w:val="-56"/>
        </w:rPr>
      </w:r>
      <w:r>
        <w:rPr/>
        <w:t>号文”。税收优惠期间：2011年1月1日起执行企业所得税优惠政策。</w:t>
      </w:r>
    </w:p>
    <w:p>
      <w:pPr>
        <w:pStyle w:val="BodyText"/>
        <w:spacing w:line="232" w:lineRule="exact" w:before="24"/>
        <w:ind w:right="109" w:firstLine="480"/>
        <w:jc w:val="both"/>
      </w:pPr>
      <w:r>
        <w:rPr>
          <w:spacing w:val="-1"/>
        </w:rPr>
        <w:t>（4）本公司之子公司神州易桥（北京）财税科技有限公司根据国税函【2009】203号通知：认定（复审）合格的高新</w:t>
      </w:r>
      <w:r>
        <w:rPr/>
        <w:t> </w:t>
      </w:r>
      <w:r>
        <w:rPr>
          <w:spacing w:val="-2"/>
        </w:rPr>
        <w:t>技术企业，自认定（复审）批准的有效期当年开始，可申请享受企业所得税优惠。企业取得省、自治区、直辖市、计划单列</w:t>
      </w:r>
      <w:r>
        <w:rPr>
          <w:spacing w:val="-62"/>
        </w:rPr>
        <w:t> </w:t>
      </w:r>
      <w:r>
        <w:rPr>
          <w:spacing w:val="-62"/>
        </w:rPr>
      </w:r>
      <w:r>
        <w:rPr>
          <w:spacing w:val="-2"/>
        </w:rPr>
        <w:t>市高新技术企业认定管理机构颁发的高新技术企业证书后，可持“高新技术企业证书”及其复印件和有关资料，向主管税务</w:t>
      </w:r>
      <w:r>
        <w:rPr>
          <w:spacing w:val="-64"/>
        </w:rPr>
        <w:t> </w:t>
      </w:r>
      <w:r>
        <w:rPr>
          <w:spacing w:val="-64"/>
        </w:rPr>
      </w:r>
      <w:r>
        <w:rPr/>
        <w:t>机关申请办理减免税手续。手续办理完毕后，高新技术企业可按15%的税率进行所得税预缴申报或享受过渡性税收优惠。</w:t>
      </w:r>
    </w:p>
    <w:p>
      <w:pPr>
        <w:spacing w:line="240" w:lineRule="auto" w:before="11"/>
        <w:rPr>
          <w:rFonts w:ascii="宋体" w:hAnsi="宋体" w:cs="宋体" w:eastAsia="宋体" w:hint="default"/>
          <w:sz w:val="20"/>
          <w:szCs w:val="20"/>
        </w:rPr>
      </w:pPr>
    </w:p>
    <w:p>
      <w:pPr>
        <w:spacing w:line="470" w:lineRule="auto" w:before="0"/>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66"/>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808,455.23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91,685.37</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959,620,982.63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1,002,096,671.10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960,429,437.86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1,002,188,356.47</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1020" w:right="1020"/>
        </w:sectPr>
      </w:pPr>
    </w:p>
    <w:p>
      <w:pPr>
        <w:pStyle w:val="Heading3"/>
        <w:spacing w:line="240" w:lineRule="auto" w:before="34"/>
        <w:ind w:right="0"/>
        <w:jc w:val="left"/>
        <w:rPr>
          <w:b w:val="0"/>
          <w:bCs w:val="0"/>
        </w:rPr>
      </w:pPr>
      <w:r>
        <w:rPr>
          <w:w w:val="95"/>
        </w:rPr>
        <w:t>（</w:t>
      </w:r>
      <w:r>
        <w:rPr>
          <w:rFonts w:ascii="Times New Roman" w:hAnsi="Times New Roman" w:cs="Times New Roman" w:eastAsia="Times New Roman" w:hint="default"/>
          <w:w w:val="95"/>
        </w:rPr>
        <w:t>1</w:t>
      </w:r>
      <w:r>
        <w:rPr>
          <w:w w:val="95"/>
        </w:rPr>
        <w:t>）应收票据分类列示</w:t>
      </w:r>
      <w:r>
        <w:rPr>
          <w:b w:val="0"/>
          <w:bCs w:val="0"/>
        </w:rPr>
      </w:r>
    </w:p>
    <w:p>
      <w:pPr>
        <w:spacing w:line="240" w:lineRule="auto" w:before="12"/>
        <w:rPr>
          <w:rFonts w:ascii="宋体" w:hAnsi="宋体" w:cs="宋体" w:eastAsia="宋体" w:hint="default"/>
          <w:b/>
          <w:bCs/>
          <w:sz w:val="26"/>
          <w:szCs w:val="26"/>
        </w:rPr>
      </w:pPr>
      <w:r>
        <w:rPr/>
        <w:br w:type="column"/>
      </w:r>
      <w:r>
        <w:rPr>
          <w:rFonts w:ascii="宋体"/>
          <w:b/>
          <w:sz w:val="26"/>
        </w:rPr>
      </w: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2326" w:space="6503"/>
            <w:col w:w="1041"/>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24,086,440.61</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24,086,440.61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4"/>
          <w:szCs w:val="4"/>
        </w:rPr>
      </w:pPr>
    </w:p>
    <w:p>
      <w:pPr>
        <w:spacing w:line="337"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779;height:318" coordorigin="13,12" coordsize="4779,318">
              <v:shape style="position:absolute;left:13;top:12;width:4779;height:318" coordorigin="13,12" coordsize="4779,318" path="m13,12l4792,12,4792,330,13,330,13,12xe" filled="true" fillcolor="#d2d2d2" stroked="false">
                <v:path arrowok="t"/>
                <v:fill type="solid"/>
              </v:shape>
            </v:group>
            <v:group style="position:absolute;left:4797;top:12;width:4779;height:318" coordorigin="4797,12" coordsize="4779,318">
              <v:shape style="position:absolute;left:4797;top:12;width:4779;height:318" coordorigin="4797,12" coordsize="4779,318" path="m4797,12l9576,12,9576,330,4797,330,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794;top:5;width:2;height:323" coordorigin="4794,5" coordsize="2,323">
              <v:shape style="position:absolute;left:4794;top:5;width:2;height:323" coordorigin="4794,5" coordsize="0,323" path="m4794,5l4794,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2221;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323" type="#_x0000_t202" filled="false" stroked="false">
                <v:textbox inset="0,0,0,0">
                  <w:txbxContent>
                    <w:p>
                      <w:pPr>
                        <w:spacing w:before="1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6"/>
          <w:sz w:val="20"/>
          <w:szCs w:val="20"/>
        </w:rPr>
      </w:r>
    </w:p>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37"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779;height:318" coordorigin="13,12" coordsize="4779,318">
              <v:shape style="position:absolute;left:13;top:12;width:4779;height:318" coordorigin="13,12" coordsize="4779,318" path="m13,12l4792,12,4792,330,13,330,13,12xe" filled="true" fillcolor="#d2d2d2" stroked="false">
                <v:path arrowok="t"/>
                <v:fill type="solid"/>
              </v:shape>
            </v:group>
            <v:group style="position:absolute;left:4797;top:12;width:4779;height:318" coordorigin="4797,12" coordsize="4779,318">
              <v:shape style="position:absolute;left:4797;top:12;width:4779;height:318" coordorigin="4797,12" coordsize="4779,318" path="m4797,12l9576,12,9576,330,4797,330,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794;top:5;width:2;height:323" coordorigin="4794,5" coordsize="2,323">
              <v:shape style="position:absolute;left:4794;top:5;width:2;height:323" coordorigin="4794,5" coordsize="0,323" path="m4794,5l4794,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2221;top:8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323" type="#_x0000_t202" filled="false" stroked="false">
                <v:textbox inset="0,0,0,0">
                  <w:txbxContent>
                    <w:p>
                      <w:pPr>
                        <w:spacing w:before="14"/>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60" w:right="0"/>
              <w:jc w:val="center"/>
              <w:rPr>
                <w:rFonts w:ascii="Times New Roman" w:hAnsi="Times New Roman" w:cs="Times New Roman" w:eastAsia="Times New Roman" w:hint="default"/>
                <w:sz w:val="18"/>
                <w:szCs w:val="18"/>
              </w:rPr>
            </w:pPr>
            <w:r>
              <w:rPr>
                <w:rFonts w:ascii="Times New Roman"/>
                <w:sz w:val="18"/>
              </w:rPr>
              <w:t>4,905,0</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01.95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3,394,355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1,510,646.5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w:t>
            </w:r>
          </w:p>
        </w:tc>
      </w:tr>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left="99" w:right="0"/>
              <w:jc w:val="left"/>
              <w:rPr>
                <w:rFonts w:ascii="Times New Roman" w:hAnsi="Times New Roman" w:cs="Times New Roman" w:eastAsia="Times New Roman" w:hint="default"/>
                <w:sz w:val="18"/>
                <w:szCs w:val="18"/>
              </w:rPr>
            </w:pPr>
            <w:r>
              <w:rPr>
                <w:rFonts w:ascii="Times New Roman"/>
                <w:sz w:val="18"/>
              </w:rPr>
              <w:t>37,166,2</w:t>
            </w:r>
          </w:p>
          <w:p>
            <w:pPr>
              <w:pStyle w:val="TableParagraph"/>
              <w:spacing w:line="205" w:lineRule="exact"/>
              <w:ind w:left="325" w:right="0"/>
              <w:jc w:val="left"/>
              <w:rPr>
                <w:rFonts w:ascii="Times New Roman" w:hAnsi="Times New Roman" w:cs="Times New Roman" w:eastAsia="Times New Roman" w:hint="default"/>
                <w:sz w:val="18"/>
                <w:szCs w:val="18"/>
              </w:rPr>
            </w:pPr>
            <w:r>
              <w:rPr>
                <w:rFonts w:ascii="Times New Roman"/>
                <w:sz w:val="18"/>
              </w:rPr>
              <w:t>79.16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580,714.</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left="35" w:right="0"/>
              <w:jc w:val="left"/>
              <w:rPr>
                <w:rFonts w:ascii="Times New Roman" w:hAnsi="Times New Roman" w:cs="Times New Roman" w:eastAsia="Times New Roman" w:hint="default"/>
                <w:sz w:val="18"/>
                <w:szCs w:val="18"/>
              </w:rPr>
            </w:pPr>
            <w:r>
              <w:rPr>
                <w:rFonts w:ascii="Times New Roman"/>
                <w:sz w:val="18"/>
              </w:rPr>
              <w:t>36,585,56</w:t>
            </w:r>
          </w:p>
          <w:p>
            <w:pPr>
              <w:pStyle w:val="TableParagraph"/>
              <w:spacing w:line="205" w:lineRule="exact"/>
              <w:ind w:left="441" w:right="0"/>
              <w:jc w:val="left"/>
              <w:rPr>
                <w:rFonts w:ascii="Times New Roman" w:hAnsi="Times New Roman" w:cs="Times New Roman" w:eastAsia="Times New Roman" w:hint="default"/>
                <w:sz w:val="18"/>
                <w:szCs w:val="18"/>
              </w:rPr>
            </w:pPr>
            <w:r>
              <w:rPr>
                <w:rFonts w:ascii="Times New Roman"/>
                <w:sz w:val="18"/>
              </w:rPr>
              <w:t>4.22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left="81" w:right="0"/>
              <w:jc w:val="left"/>
              <w:rPr>
                <w:rFonts w:ascii="Times New Roman" w:hAnsi="Times New Roman" w:cs="Times New Roman" w:eastAsia="Times New Roman" w:hint="default"/>
                <w:sz w:val="18"/>
                <w:szCs w:val="18"/>
              </w:rPr>
            </w:pPr>
            <w:r>
              <w:rPr>
                <w:rFonts w:ascii="Times New Roman"/>
                <w:sz w:val="18"/>
              </w:rPr>
              <w:t>64,036,</w:t>
            </w:r>
          </w:p>
          <w:p>
            <w:pPr>
              <w:pStyle w:val="TableParagraph"/>
              <w:spacing w:line="205" w:lineRule="exact"/>
              <w:ind w:left="124" w:right="0"/>
              <w:jc w:val="left"/>
              <w:rPr>
                <w:rFonts w:ascii="Times New Roman" w:hAnsi="Times New Roman" w:cs="Times New Roman" w:eastAsia="Times New Roman" w:hint="default"/>
                <w:sz w:val="18"/>
                <w:szCs w:val="18"/>
              </w:rPr>
            </w:pPr>
            <w:r>
              <w:rPr>
                <w:rFonts w:ascii="Times New Roman"/>
                <w:sz w:val="18"/>
              </w:rPr>
              <w:t>793.14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4,944,761</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59,092,031.</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96</w:t>
            </w:r>
          </w:p>
        </w:tc>
      </w:tr>
      <w:tr>
        <w:trPr>
          <w:trHeight w:val="79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60" w:right="0"/>
              <w:jc w:val="center"/>
              <w:rPr>
                <w:rFonts w:ascii="Times New Roman" w:hAnsi="Times New Roman" w:cs="Times New Roman" w:eastAsia="Times New Roman" w:hint="default"/>
                <w:sz w:val="18"/>
                <w:szCs w:val="18"/>
              </w:rPr>
            </w:pPr>
            <w:r>
              <w:rPr>
                <w:rFonts w:ascii="Times New Roman"/>
                <w:sz w:val="18"/>
              </w:rPr>
              <w:t>2,288,4</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49.35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1,580,473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707,975.68</w:t>
            </w:r>
          </w:p>
        </w:tc>
      </w:tr>
      <w:tr>
        <w:trPr>
          <w:trHeight w:val="50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99" w:right="0"/>
              <w:jc w:val="left"/>
              <w:rPr>
                <w:rFonts w:ascii="Times New Roman" w:hAnsi="Times New Roman" w:cs="Times New Roman" w:eastAsia="Times New Roman" w:hint="default"/>
                <w:sz w:val="18"/>
                <w:szCs w:val="18"/>
              </w:rPr>
            </w:pPr>
            <w:r>
              <w:rPr>
                <w:rFonts w:ascii="Times New Roman"/>
                <w:sz w:val="18"/>
              </w:rPr>
              <w:t>37,166,2</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79.16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580,714.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z w:val="18"/>
              </w:rPr>
              <w:t>1.56%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35" w:right="0"/>
              <w:jc w:val="left"/>
              <w:rPr>
                <w:rFonts w:ascii="Times New Roman" w:hAnsi="Times New Roman" w:cs="Times New Roman" w:eastAsia="Times New Roman" w:hint="default"/>
                <w:sz w:val="18"/>
                <w:szCs w:val="18"/>
              </w:rPr>
            </w:pPr>
            <w:r>
              <w:rPr>
                <w:rFonts w:ascii="Times New Roman"/>
                <w:sz w:val="18"/>
              </w:rPr>
              <w:t>36,585,56</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4.22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1" w:right="0"/>
              <w:jc w:val="left"/>
              <w:rPr>
                <w:rFonts w:ascii="Times New Roman" w:hAnsi="Times New Roman" w:cs="Times New Roman" w:eastAsia="Times New Roman" w:hint="default"/>
                <w:sz w:val="18"/>
                <w:szCs w:val="18"/>
              </w:rPr>
            </w:pPr>
            <w:r>
              <w:rPr>
                <w:rFonts w:ascii="Times New Roman"/>
                <w:sz w:val="18"/>
              </w:rPr>
              <w:t>71,230,</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244.44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9,919,590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13.93%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1"/>
              <w:jc w:val="right"/>
              <w:rPr>
                <w:rFonts w:ascii="Times New Roman" w:hAnsi="Times New Roman" w:cs="Times New Roman" w:eastAsia="Times New Roman" w:hint="default"/>
                <w:sz w:val="18"/>
                <w:szCs w:val="18"/>
              </w:rPr>
            </w:pPr>
            <w:r>
              <w:rPr>
                <w:rFonts w:ascii="Times New Roman"/>
                <w:spacing w:val="-1"/>
                <w:sz w:val="18"/>
              </w:rPr>
              <w:t>61,310,654.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18</w:t>
            </w:r>
          </w:p>
        </w:tc>
      </w:tr>
    </w:tbl>
    <w:p>
      <w:pPr>
        <w:spacing w:after="0" w:line="207" w:lineRule="exact"/>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pStyle w:val="BodyText"/>
        <w:spacing w:line="240" w:lineRule="auto" w:before="12"/>
        <w:ind w:right="-20"/>
        <w:jc w:val="left"/>
      </w:pPr>
      <w:r>
        <w:rPr/>
        <w:t>期末单项金额重大并单项计提坏账准备的应收账款：</w:t>
      </w:r>
    </w:p>
    <w:p>
      <w:pPr>
        <w:pStyle w:val="BodyText"/>
        <w:spacing w:line="266" w:lineRule="auto" w:before="3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2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35,635,523.16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1,357,201.52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407,160.46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173,554.48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173,554.48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37,166,279.16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580,714.94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18"/>
          <w:szCs w:val="18"/>
        </w:rPr>
      </w:pPr>
    </w:p>
    <w:p>
      <w:pPr>
        <w:pStyle w:val="BodyText"/>
        <w:spacing w:line="278" w:lineRule="auto" w:before="44"/>
        <w:ind w:right="5414"/>
        <w:jc w:val="left"/>
      </w:pPr>
      <w:r>
        <w:rPr/>
        <w:t>确定该组合依据的说明： 组合中，采用余额百分比法计提坏账准备的应收账款：</w:t>
      </w:r>
    </w:p>
    <w:p>
      <w:pPr>
        <w:pStyle w:val="BodyText"/>
        <w:spacing w:line="264" w:lineRule="auto" w:before="9"/>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1020" w:right="1020"/>
        </w:sectPr>
      </w:pPr>
    </w:p>
    <w:p>
      <w:pPr>
        <w:pStyle w:val="BodyText"/>
        <w:spacing w:line="264" w:lineRule="auto" w:before="44"/>
        <w:ind w:right="-13"/>
        <w:jc w:val="left"/>
      </w:pPr>
      <w:r>
        <w:rPr/>
        <w:t>本期计提坏账准备金额</w:t>
      </w:r>
      <w:r>
        <w:rPr>
          <w:spacing w:val="-48"/>
        </w:rPr>
        <w:t> </w:t>
      </w:r>
      <w:r>
        <w:rPr>
          <w:rFonts w:ascii="Times New Roman" w:hAnsi="Times New Roman" w:cs="Times New Roman" w:eastAsia="Times New Roman" w:hint="default"/>
        </w:rPr>
        <w:t>190,641.17</w:t>
      </w:r>
      <w:r>
        <w:rPr>
          <w:rFonts w:ascii="Times New Roman" w:hAnsi="Times New Roman" w:cs="Times New Roman" w:eastAsia="Times New Roman" w:hint="default"/>
          <w:spacing w:val="-4"/>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5873" w:space="2956"/>
            <w:col w:w="1041"/>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37"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779;height:318" coordorigin="13,12" coordsize="4779,318">
              <v:shape style="position:absolute;left:13;top:12;width:4779;height:318" coordorigin="13,12" coordsize="4779,318" path="m13,12l4792,12,4792,330,13,330,13,12xe" filled="true" fillcolor="#d2d2d2" stroked="false">
                <v:path arrowok="t"/>
                <v:fill type="solid"/>
              </v:shape>
            </v:group>
            <v:group style="position:absolute;left:4797;top:12;width:4779;height:318" coordorigin="4797,12" coordsize="4779,318">
              <v:shape style="position:absolute;left:4797;top:12;width:4779;height:318" coordorigin="4797,12" coordsize="4779,318" path="m4797,12l9576,12,9576,330,4797,330,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794;top:5;width:2;height:323" coordorigin="4794,5" coordsize="2,323">
              <v:shape style="position:absolute;left:4794;top:5;width:2;height:323" coordorigin="4794,5" coordsize="0,323" path="m4794,5l4794,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2221;top:8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323" type="#_x0000_t202" filled="false" stroked="false">
                <v:textbox inset="0,0,0,0">
                  <w:txbxContent>
                    <w:p>
                      <w:pPr>
                        <w:spacing w:before="1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1"/>
        <w:ind w:right="0"/>
        <w:jc w:val="left"/>
      </w:pPr>
      <w:r>
        <w:rPr/>
        <w:t>其中重要的应收账款核销情况：</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1"/>
        <w:ind w:right="0"/>
        <w:jc w:val="left"/>
      </w:pPr>
      <w:r>
        <w:rPr/>
        <w:t>应收账款核销说明：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3"/>
          <w:szCs w:val="23"/>
        </w:rPr>
      </w:pPr>
    </w:p>
    <w:p>
      <w:pPr>
        <w:pStyle w:val="BodyText"/>
        <w:spacing w:line="236" w:lineRule="exact"/>
        <w:ind w:right="0" w:firstLine="480"/>
        <w:jc w:val="left"/>
      </w:pPr>
      <w:r>
        <w:rPr/>
        <w:t>本公司本年按欠款方归集的年末余额前五名应收账款汇总金额为</w:t>
      </w:r>
      <w:r>
        <w:rPr>
          <w:rFonts w:ascii="Times New Roman" w:hAnsi="Times New Roman" w:cs="Times New Roman" w:eastAsia="Times New Roman" w:hint="default"/>
        </w:rPr>
        <w:t>14,808,985.00</w:t>
      </w:r>
      <w:r>
        <w:rPr/>
        <w:t>元，占应收账款年末余额合计数的 比例为</w:t>
      </w:r>
      <w:r>
        <w:rPr>
          <w:rFonts w:ascii="Times New Roman" w:hAnsi="Times New Roman" w:cs="Times New Roman" w:eastAsia="Times New Roman" w:hint="default"/>
        </w:rPr>
        <w:t>39.85%</w:t>
      </w:r>
      <w:r>
        <w:rPr/>
        <w:t>，相应计提的坏账准备年末余额汇总金额为</w:t>
      </w:r>
      <w:r>
        <w:rPr>
          <w:rFonts w:ascii="Times New Roman" w:hAnsi="Times New Roman" w:cs="Times New Roman" w:eastAsia="Times New Roman" w:hint="default"/>
        </w:rPr>
        <w:t>126,000.00</w:t>
      </w:r>
      <w:r>
        <w:rPr/>
        <w:t>元。</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26,560,449.01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9,422,370.35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57.25%</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42,037.47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659,999.71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4.01%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159,476.76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0.97%</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6,216,884.21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37.77%</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26,602,486.48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16,458,731.03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type w:val="continuous"/>
          <w:pgSz w:w="11910" w:h="16840"/>
          <w:pgMar w:top="106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2"/>
          <w:szCs w:val="22"/>
        </w:rPr>
      </w:pPr>
    </w:p>
    <w:p>
      <w:pPr>
        <w:pStyle w:val="BodyText"/>
        <w:spacing w:line="241" w:lineRule="exact"/>
        <w:ind w:left="0" w:right="110"/>
        <w:jc w:val="right"/>
      </w:pPr>
      <w:r>
        <w:rPr/>
        <w:t>本公司按预付对象归集的年末余额前五名预付账款汇总金额为</w:t>
      </w:r>
      <w:r>
        <w:rPr>
          <w:rFonts w:ascii="Times New Roman" w:hAnsi="Times New Roman" w:cs="Times New Roman" w:eastAsia="Times New Roman" w:hint="default"/>
        </w:rPr>
        <w:t>18,466,149.14</w:t>
      </w:r>
      <w:r>
        <w:rPr/>
        <w:t>元，占预付账款年末余额合计数的比例为</w:t>
      </w:r>
    </w:p>
    <w:p>
      <w:pPr>
        <w:pStyle w:val="BodyText"/>
        <w:spacing w:line="241" w:lineRule="exact"/>
        <w:ind w:right="0"/>
        <w:jc w:val="left"/>
      </w:pPr>
      <w:r>
        <w:rPr>
          <w:rFonts w:ascii="Times New Roman" w:hAnsi="Times New Roman" w:cs="Times New Roman" w:eastAsia="Times New Roman" w:hint="default"/>
        </w:rPr>
        <w:t>69.42%</w:t>
      </w:r>
      <w:r>
        <w:rPr/>
        <w:t>。</w:t>
      </w:r>
    </w:p>
    <w:p>
      <w:pPr>
        <w:spacing w:line="240" w:lineRule="auto" w:before="11"/>
        <w:rPr>
          <w:rFonts w:ascii="宋体" w:hAnsi="宋体" w:cs="宋体" w:eastAsia="宋体" w:hint="default"/>
          <w:sz w:val="17"/>
          <w:szCs w:val="17"/>
        </w:rPr>
      </w:pPr>
    </w:p>
    <w:p>
      <w:pPr>
        <w:pStyle w:val="BodyText"/>
        <w:spacing w:line="240" w:lineRule="auto"/>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10"/>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107"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106"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07" w:lineRule="exact"/>
              <w:ind w:left="324" w:right="0"/>
              <w:jc w:val="left"/>
              <w:rPr>
                <w:rFonts w:ascii="Times New Roman" w:hAnsi="Times New Roman" w:cs="Times New Roman" w:eastAsia="Times New Roman" w:hint="default"/>
                <w:sz w:val="18"/>
                <w:szCs w:val="18"/>
              </w:rPr>
            </w:pPr>
            <w:r>
              <w:rPr>
                <w:rFonts w:ascii="Times New Roman"/>
                <w:sz w:val="18"/>
              </w:rPr>
              <w:t>94.07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11,199,</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294.07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58.86%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67" w:right="0"/>
              <w:jc w:val="left"/>
              <w:rPr>
                <w:rFonts w:ascii="Times New Roman" w:hAnsi="Times New Roman" w:cs="Times New Roman" w:eastAsia="Times New Roman" w:hint="default"/>
                <w:sz w:val="18"/>
                <w:szCs w:val="18"/>
              </w:rPr>
            </w:pPr>
            <w:r>
              <w:rPr>
                <w:rFonts w:ascii="Times New Roman"/>
                <w:sz w:val="18"/>
              </w:rPr>
              <w:t>11,199,29</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4.07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99" w:right="0"/>
              <w:jc w:val="left"/>
              <w:rPr>
                <w:rFonts w:ascii="Times New Roman" w:hAnsi="Times New Roman" w:cs="Times New Roman" w:eastAsia="Times New Roman" w:hint="default"/>
                <w:sz w:val="18"/>
                <w:szCs w:val="18"/>
              </w:rPr>
            </w:pPr>
            <w:r>
              <w:rPr>
                <w:rFonts w:ascii="Times New Roman"/>
                <w:sz w:val="18"/>
              </w:rPr>
              <w:t>50,416,4</w:t>
            </w:r>
          </w:p>
          <w:p>
            <w:pPr>
              <w:pStyle w:val="TableParagraph"/>
              <w:spacing w:line="205" w:lineRule="exact"/>
              <w:ind w:left="325" w:right="0"/>
              <w:jc w:val="left"/>
              <w:rPr>
                <w:rFonts w:ascii="Times New Roman" w:hAnsi="Times New Roman" w:cs="Times New Roman" w:eastAsia="Times New Roman" w:hint="default"/>
                <w:sz w:val="18"/>
                <w:szCs w:val="18"/>
              </w:rPr>
            </w:pPr>
            <w:r>
              <w:rPr>
                <w:rFonts w:ascii="Times New Roman"/>
                <w:sz w:val="18"/>
              </w:rPr>
              <w:t>30.32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81.10%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98" w:right="0"/>
              <w:jc w:val="left"/>
              <w:rPr>
                <w:rFonts w:ascii="Times New Roman" w:hAnsi="Times New Roman" w:cs="Times New Roman" w:eastAsia="Times New Roman" w:hint="default"/>
                <w:sz w:val="18"/>
                <w:szCs w:val="18"/>
              </w:rPr>
            </w:pPr>
            <w:r>
              <w:rPr>
                <w:rFonts w:ascii="Times New Roman"/>
                <w:sz w:val="18"/>
              </w:rPr>
              <w:t>9,414,54</w:t>
            </w:r>
          </w:p>
          <w:p>
            <w:pPr>
              <w:pStyle w:val="TableParagraph"/>
              <w:spacing w:line="205" w:lineRule="exact"/>
              <w:ind w:left="413" w:right="0"/>
              <w:jc w:val="left"/>
              <w:rPr>
                <w:rFonts w:ascii="Times New Roman" w:hAnsi="Times New Roman" w:cs="Times New Roman" w:eastAsia="Times New Roman" w:hint="default"/>
                <w:sz w:val="18"/>
                <w:szCs w:val="18"/>
              </w:rPr>
            </w:pPr>
            <w:r>
              <w:rPr>
                <w:rFonts w:ascii="Times New Roman"/>
                <w:sz w:val="18"/>
              </w:rPr>
              <w:t>3.91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18.67%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35" w:right="0"/>
              <w:jc w:val="left"/>
              <w:rPr>
                <w:rFonts w:ascii="Times New Roman" w:hAnsi="Times New Roman" w:cs="Times New Roman" w:eastAsia="Times New Roman" w:hint="default"/>
                <w:sz w:val="18"/>
                <w:szCs w:val="18"/>
              </w:rPr>
            </w:pPr>
            <w:r>
              <w:rPr>
                <w:rFonts w:ascii="Times New Roman"/>
                <w:sz w:val="18"/>
              </w:rPr>
              <w:t>41,001,88</w:t>
            </w:r>
          </w:p>
          <w:p>
            <w:pPr>
              <w:pStyle w:val="TableParagraph"/>
              <w:spacing w:line="205" w:lineRule="exact"/>
              <w:ind w:left="441" w:right="0"/>
              <w:jc w:val="left"/>
              <w:rPr>
                <w:rFonts w:ascii="Times New Roman" w:hAnsi="Times New Roman" w:cs="Times New Roman" w:eastAsia="Times New Roman" w:hint="default"/>
                <w:sz w:val="18"/>
                <w:szCs w:val="18"/>
              </w:rPr>
            </w:pPr>
            <w:r>
              <w:rPr>
                <w:rFonts w:ascii="Times New Roman"/>
                <w:sz w:val="18"/>
              </w:rPr>
              <w:t>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60" w:right="0"/>
              <w:jc w:val="center"/>
              <w:rPr>
                <w:rFonts w:ascii="Times New Roman" w:hAnsi="Times New Roman" w:cs="Times New Roman" w:eastAsia="Times New Roman" w:hint="default"/>
                <w:sz w:val="18"/>
                <w:szCs w:val="18"/>
              </w:rPr>
            </w:pPr>
            <w:r>
              <w:rPr>
                <w:rFonts w:ascii="Times New Roman"/>
                <w:sz w:val="18"/>
              </w:rPr>
              <w:t>6,765,4</w:t>
            </w:r>
          </w:p>
          <w:p>
            <w:pPr>
              <w:pStyle w:val="TableParagraph"/>
              <w:spacing w:line="205" w:lineRule="exact"/>
              <w:ind w:left="194" w:right="0"/>
              <w:jc w:val="center"/>
              <w:rPr>
                <w:rFonts w:ascii="Times New Roman" w:hAnsi="Times New Roman" w:cs="Times New Roman" w:eastAsia="Times New Roman" w:hint="default"/>
                <w:sz w:val="18"/>
                <w:szCs w:val="18"/>
              </w:rPr>
            </w:pPr>
            <w:r>
              <w:rPr>
                <w:rFonts w:ascii="Times New Roman"/>
                <w:sz w:val="18"/>
              </w:rPr>
              <w:t>87.18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35.56%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594,822.8</w:t>
            </w:r>
          </w:p>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6,170,664.2</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9</w:t>
            </w:r>
          </w:p>
        </w:tc>
      </w:tr>
    </w:tbl>
    <w:p>
      <w:pPr>
        <w:spacing w:after="0" w:line="205" w:lineRule="exact"/>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544,575.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544,575.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60" w:right="0"/>
              <w:jc w:val="center"/>
              <w:rPr>
                <w:rFonts w:ascii="Times New Roman" w:hAnsi="Times New Roman" w:cs="Times New Roman" w:eastAsia="Times New Roman" w:hint="default"/>
                <w:sz w:val="18"/>
                <w:szCs w:val="18"/>
              </w:rPr>
            </w:pPr>
            <w:r>
              <w:rPr>
                <w:rFonts w:ascii="Times New Roman"/>
                <w:sz w:val="18"/>
              </w:rPr>
              <w:t>1,062,0</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17.44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1,062,017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left="99" w:right="0"/>
              <w:jc w:val="left"/>
              <w:rPr>
                <w:rFonts w:ascii="Times New Roman" w:hAnsi="Times New Roman" w:cs="Times New Roman" w:eastAsia="Times New Roman" w:hint="default"/>
                <w:sz w:val="18"/>
                <w:szCs w:val="18"/>
              </w:rPr>
            </w:pPr>
            <w:r>
              <w:rPr>
                <w:rFonts w:ascii="Times New Roman"/>
                <w:sz w:val="18"/>
              </w:rPr>
              <w:t>62,160,2</w:t>
            </w:r>
          </w:p>
          <w:p>
            <w:pPr>
              <w:pStyle w:val="TableParagraph"/>
              <w:spacing w:line="205" w:lineRule="exact"/>
              <w:ind w:left="325" w:right="0"/>
              <w:jc w:val="left"/>
              <w:rPr>
                <w:rFonts w:ascii="Times New Roman" w:hAnsi="Times New Roman" w:cs="Times New Roman" w:eastAsia="Times New Roman" w:hint="default"/>
                <w:sz w:val="18"/>
                <w:szCs w:val="18"/>
              </w:rPr>
            </w:pPr>
            <w:r>
              <w:rPr>
                <w:rFonts w:ascii="Times New Roman"/>
                <w:sz w:val="18"/>
              </w:rPr>
              <w:t>99.43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left="98" w:right="0"/>
              <w:jc w:val="left"/>
              <w:rPr>
                <w:rFonts w:ascii="Times New Roman" w:hAnsi="Times New Roman" w:cs="Times New Roman" w:eastAsia="Times New Roman" w:hint="default"/>
                <w:sz w:val="18"/>
                <w:szCs w:val="18"/>
              </w:rPr>
            </w:pPr>
            <w:r>
              <w:rPr>
                <w:rFonts w:ascii="Times New Roman"/>
                <w:sz w:val="18"/>
              </w:rPr>
              <w:t>21,158,4</w:t>
            </w:r>
          </w:p>
          <w:p>
            <w:pPr>
              <w:pStyle w:val="TableParagraph"/>
              <w:spacing w:line="205" w:lineRule="exact"/>
              <w:ind w:left="324" w:right="0"/>
              <w:jc w:val="left"/>
              <w:rPr>
                <w:rFonts w:ascii="Times New Roman" w:hAnsi="Times New Roman" w:cs="Times New Roman" w:eastAsia="Times New Roman" w:hint="default"/>
                <w:sz w:val="18"/>
                <w:szCs w:val="18"/>
              </w:rPr>
            </w:pPr>
            <w:r>
              <w:rPr>
                <w:rFonts w:ascii="Times New Roman"/>
                <w:sz w:val="18"/>
              </w:rPr>
              <w:t>13.02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6" w:right="0"/>
              <w:jc w:val="center"/>
              <w:rPr>
                <w:rFonts w:ascii="Times New Roman" w:hAnsi="Times New Roman" w:cs="Times New Roman" w:eastAsia="Times New Roman" w:hint="default"/>
                <w:sz w:val="18"/>
                <w:szCs w:val="18"/>
              </w:rPr>
            </w:pPr>
            <w:r>
              <w:rPr>
                <w:rFonts w:ascii="Times New Roman"/>
                <w:sz w:val="18"/>
              </w:rPr>
              <w:t>34.04%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left="35" w:right="0"/>
              <w:jc w:val="left"/>
              <w:rPr>
                <w:rFonts w:ascii="Times New Roman" w:hAnsi="Times New Roman" w:cs="Times New Roman" w:eastAsia="Times New Roman" w:hint="default"/>
                <w:sz w:val="18"/>
                <w:szCs w:val="18"/>
              </w:rPr>
            </w:pPr>
            <w:r>
              <w:rPr>
                <w:rFonts w:ascii="Times New Roman"/>
                <w:sz w:val="18"/>
              </w:rPr>
              <w:t>41,001,88</w:t>
            </w:r>
          </w:p>
          <w:p>
            <w:pPr>
              <w:pStyle w:val="TableParagraph"/>
              <w:spacing w:line="205" w:lineRule="exact"/>
              <w:ind w:left="441" w:right="0"/>
              <w:jc w:val="left"/>
              <w:rPr>
                <w:rFonts w:ascii="Times New Roman" w:hAnsi="Times New Roman" w:cs="Times New Roman" w:eastAsia="Times New Roman" w:hint="default"/>
                <w:sz w:val="18"/>
                <w:szCs w:val="18"/>
              </w:rPr>
            </w:pPr>
            <w:r>
              <w:rPr>
                <w:rFonts w:ascii="Times New Roman"/>
                <w:sz w:val="18"/>
              </w:rPr>
              <w:t>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left="81" w:right="0"/>
              <w:jc w:val="left"/>
              <w:rPr>
                <w:rFonts w:ascii="Times New Roman" w:hAnsi="Times New Roman" w:cs="Times New Roman" w:eastAsia="Times New Roman" w:hint="default"/>
                <w:sz w:val="18"/>
                <w:szCs w:val="18"/>
              </w:rPr>
            </w:pPr>
            <w:r>
              <w:rPr>
                <w:rFonts w:ascii="Times New Roman"/>
                <w:sz w:val="18"/>
              </w:rPr>
              <w:t>19,026,</w:t>
            </w:r>
          </w:p>
          <w:p>
            <w:pPr>
              <w:pStyle w:val="TableParagraph"/>
              <w:spacing w:line="205" w:lineRule="exact"/>
              <w:ind w:left="124" w:right="0"/>
              <w:jc w:val="left"/>
              <w:rPr>
                <w:rFonts w:ascii="Times New Roman" w:hAnsi="Times New Roman" w:cs="Times New Roman" w:eastAsia="Times New Roman" w:hint="default"/>
                <w:sz w:val="18"/>
                <w:szCs w:val="18"/>
              </w:rPr>
            </w:pPr>
            <w:r>
              <w:rPr>
                <w:rFonts w:ascii="Times New Roman"/>
                <w:sz w:val="18"/>
              </w:rPr>
              <w:t>798.69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left="60" w:right="0"/>
              <w:jc w:val="left"/>
              <w:rPr>
                <w:rFonts w:ascii="Times New Roman" w:hAnsi="Times New Roman" w:cs="Times New Roman" w:eastAsia="Times New Roman" w:hint="default"/>
                <w:sz w:val="18"/>
                <w:szCs w:val="18"/>
              </w:rPr>
            </w:pPr>
            <w:r>
              <w:rPr>
                <w:rFonts w:ascii="Times New Roman"/>
                <w:sz w:val="18"/>
              </w:rPr>
              <w:t>12,856,13</w:t>
            </w:r>
          </w:p>
          <w:p>
            <w:pPr>
              <w:pStyle w:val="TableParagraph"/>
              <w:spacing w:line="205" w:lineRule="exact"/>
              <w:ind w:left="465" w:right="0"/>
              <w:jc w:val="left"/>
              <w:rPr>
                <w:rFonts w:ascii="Times New Roman" w:hAnsi="Times New Roman" w:cs="Times New Roman" w:eastAsia="Times New Roman" w:hint="default"/>
                <w:sz w:val="18"/>
                <w:szCs w:val="18"/>
              </w:rPr>
            </w:pPr>
            <w:r>
              <w:rPr>
                <w:rFonts w:ascii="Times New Roman"/>
                <w:sz w:val="18"/>
              </w:rPr>
              <w:t>4.40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67.57%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1"/>
              <w:ind w:right="21"/>
              <w:jc w:val="right"/>
              <w:rPr>
                <w:rFonts w:ascii="Times New Roman" w:hAnsi="Times New Roman" w:cs="Times New Roman" w:eastAsia="Times New Roman" w:hint="default"/>
                <w:sz w:val="18"/>
                <w:szCs w:val="18"/>
              </w:rPr>
            </w:pPr>
            <w:r>
              <w:rPr>
                <w:rFonts w:ascii="Times New Roman"/>
                <w:spacing w:val="-1"/>
                <w:sz w:val="18"/>
              </w:rPr>
              <w:t>6,170,664.2</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9</w:t>
            </w:r>
          </w:p>
        </w:tc>
      </w:tr>
    </w:tbl>
    <w:p>
      <w:pPr>
        <w:spacing w:after="0" w:line="205" w:lineRule="exact"/>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pStyle w:val="BodyText"/>
        <w:spacing w:line="240" w:lineRule="auto" w:before="11"/>
        <w:ind w:right="-20"/>
        <w:jc w:val="left"/>
      </w:pPr>
      <w:r>
        <w:rPr/>
        <w:t>期末单项金额重大并单项计提坏账准备的其他应收款：</w:t>
      </w:r>
    </w:p>
    <w:p>
      <w:pPr>
        <w:pStyle w:val="BodyText"/>
        <w:spacing w:line="240" w:lineRule="auto" w:before="3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433" w:space="4396"/>
            <w:col w:w="1041"/>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应收股利款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8,114,294.07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5"/>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7"/>
              <w:jc w:val="left"/>
              <w:rPr>
                <w:rFonts w:ascii="宋体" w:hAnsi="宋体" w:cs="宋体" w:eastAsia="宋体" w:hint="default"/>
                <w:sz w:val="18"/>
                <w:szCs w:val="18"/>
              </w:rPr>
            </w:pPr>
            <w:r>
              <w:rPr>
                <w:rFonts w:ascii="宋体" w:hAnsi="宋体" w:cs="宋体" w:eastAsia="宋体" w:hint="default"/>
                <w:sz w:val="18"/>
                <w:szCs w:val="18"/>
              </w:rPr>
              <w:t>深圳市盛瑞达进出口有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5"/>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11,199,294.07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11,199,294.07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11"/>
        <w:ind w:right="-20"/>
        <w:jc w:val="left"/>
      </w:pPr>
      <w:r>
        <w:rPr/>
        <w:t>组合中，按账龄分析法计提坏账准备的其他应收款：</w:t>
      </w:r>
    </w:p>
    <w:p>
      <w:pPr>
        <w:pStyle w:val="BodyText"/>
        <w:spacing w:line="240" w:lineRule="auto" w:before="3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32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23,474,845.11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655,016.36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2.79%</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13,165,535.03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3,233,159.48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24.56%</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20,547.65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10,273.83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13,755,502.53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5,516,094.24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40.10%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50,416,430.32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9,414,543.91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18.67%</w:t>
            </w:r>
          </w:p>
        </w:tc>
      </w:tr>
    </w:tbl>
    <w:p>
      <w:pPr>
        <w:pStyle w:val="BodyText"/>
        <w:spacing w:line="278" w:lineRule="auto" w:before="12"/>
        <w:ind w:right="5234"/>
        <w:jc w:val="left"/>
      </w:pPr>
      <w:r>
        <w:rPr/>
        <w:t>确定该组合依据的说明： 组合中，采用余额百分比法计提坏账准备的其他应收款：</w:t>
      </w:r>
    </w:p>
    <w:p>
      <w:pPr>
        <w:pStyle w:val="BodyText"/>
        <w:spacing w:line="266" w:lineRule="auto" w:before="7"/>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1020"/>
        </w:sectPr>
      </w:pPr>
    </w:p>
    <w:p>
      <w:pPr>
        <w:pStyle w:val="BodyText"/>
        <w:spacing w:line="264" w:lineRule="auto" w:before="44"/>
        <w:ind w:right="-8"/>
        <w:jc w:val="left"/>
      </w:pPr>
      <w:r>
        <w:rPr/>
        <w:t>本期计提坏账准备金额</w:t>
      </w:r>
      <w:r>
        <w:rPr>
          <w:spacing w:val="-47"/>
        </w:rPr>
        <w:t> </w:t>
      </w:r>
      <w:r>
        <w:rPr>
          <w:rFonts w:ascii="Times New Roman" w:hAnsi="Times New Roman" w:cs="Times New Roman" w:eastAsia="Times New Roman" w:hint="default"/>
        </w:rPr>
        <w:t>8,923,306.94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413" w:space="2416"/>
            <w:col w:w="1041"/>
          </w:cols>
        </w:sectPr>
      </w:pP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4"/>
          <w:szCs w:val="4"/>
        </w:rPr>
      </w:pPr>
    </w:p>
    <w:p>
      <w:pPr>
        <w:spacing w:line="338"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5pt;mso-position-horizontal-relative:char;mso-position-vertical-relative:line" coordorigin="0,0" coordsize="9588,339">
            <v:group style="position:absolute;left:13;top:13;width:4775;height:318" coordorigin="13,13" coordsize="4775,318">
              <v:shape style="position:absolute;left:13;top:13;width:4775;height:318" coordorigin="13,13" coordsize="4775,318" path="m13,13l4788,13,4788,331,13,331,13,13xe" filled="true" fillcolor="#d2d2d2" stroked="false">
                <v:path arrowok="t"/>
                <v:fill type="solid"/>
              </v:shape>
            </v:group>
            <v:group style="position:absolute;left:4793;top:13;width:4783;height:318" coordorigin="4793,13" coordsize="4783,318">
              <v:shape style="position:absolute;left:4793;top:13;width:4783;height:318" coordorigin="4793,13" coordsize="4783,318" path="m4793,13l9576,13,9576,331,4793,331,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4;width:9578;height:2" coordorigin="5,334" coordsize="9578,2">
              <v:shape style="position:absolute;left:5;top:334;width:9578;height:2" coordorigin="5,334" coordsize="9578,0" path="m5,334l9582,334e" filled="false" stroked="true" strokeweight=".48pt" strokecolor="#000000">
                <v:path arrowok="t"/>
              </v:shape>
            </v:group>
            <v:group style="position:absolute;left:10;top:5;width:2;height:324" coordorigin="10,5" coordsize="2,324">
              <v:shape style="position:absolute;left:10;top:5;width:2;height:324" coordorigin="10,5" coordsize="0,324" path="m10,5l10,329e" filled="false" stroked="true" strokeweight=".48pt" strokecolor="#000000">
                <v:path arrowok="t"/>
              </v:shape>
            </v:group>
            <v:group style="position:absolute;left:4790;top:5;width:2;height:324" coordorigin="4790,5" coordsize="2,324">
              <v:shape style="position:absolute;left:4790;top:5;width:2;height:324" coordorigin="4790,5" coordsize="0,324" path="m4790,5l4790,329e" filled="false" stroked="true" strokeweight=".48pt" strokecolor="#000000">
                <v:path arrowok="t"/>
              </v:shape>
            </v:group>
            <v:group style="position:absolute;left:9578;top:5;width:2;height:324" coordorigin="9578,5" coordsize="2,324">
              <v:shape style="position:absolute;left:9578;top:5;width:2;height:324" coordorigin="9578,5" coordsize="0,324" path="m9578,5l9578,329e" filled="false" stroked="true" strokeweight=".48pt" strokecolor="#000000">
                <v:path arrowok="t"/>
              </v:shape>
              <v:shape style="position:absolute;left:2219;top:8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324" type="#_x0000_t202" filled="false" stroked="false">
                <v:textbox inset="0,0,0,0">
                  <w:txbxContent>
                    <w:p>
                      <w:pPr>
                        <w:spacing w:before="16"/>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2"/>
        <w:ind w:right="0"/>
        <w:jc w:val="left"/>
      </w:pPr>
      <w:r>
        <w:rPr/>
        <w:t>其中重要的其他应收款核销情况：</w:t>
      </w:r>
    </w:p>
    <w:p>
      <w:pPr>
        <w:pStyle w:val="BodyText"/>
        <w:spacing w:line="240" w:lineRule="auto" w:before="38"/>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2"/>
        <w:ind w:right="0"/>
        <w:jc w:val="left"/>
      </w:pPr>
      <w:r>
        <w:rPr/>
        <w:t>其他应收款核销说明：</w:t>
      </w:r>
    </w:p>
    <w:p>
      <w:pPr>
        <w:spacing w:after="0" w:line="240" w:lineRule="auto"/>
        <w:jc w:val="left"/>
        <w:sectPr>
          <w:type w:val="continuous"/>
          <w:pgSz w:w="11910" w:h="16840"/>
          <w:pgMar w:top="106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26,612,602.86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4,127,828.39</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3,822,335.81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2,831,664.16</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1,448,671.75</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518,123.25</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1,869,502.22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1,553,911.80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7,527,451.60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179,287.48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14,200,000.00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14,112.87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253,017.79</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62,160,299.43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19,026,798.69</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14,705,124.38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2,919,573.71</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股权置换款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5,068,000.00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3,085,000.00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3,085,000.00</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45,864,418.45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19,186,867.78</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2"/>
        <w:rPr>
          <w:rFonts w:ascii="宋体" w:hAnsi="宋体" w:cs="宋体" w:eastAsia="宋体" w:hint="default"/>
          <w:b/>
          <w:bCs/>
          <w:sz w:val="21"/>
          <w:szCs w:val="21"/>
        </w:rPr>
      </w:pPr>
    </w:p>
    <w:p>
      <w:pPr>
        <w:pStyle w:val="BodyText"/>
        <w:spacing w:line="280" w:lineRule="auto"/>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16,862,508.44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16,862,508.44</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17,859,110.37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17,859,110.37</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1,310,028.42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958,327.56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67,790,451.27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8,562,851.91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59,227,599.36</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599,213.33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599,213.33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3,239.66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3,239.66</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燃料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351,508.17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351,508.17</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40,724.72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40,724.72</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1,310,028.42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958,327.56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103,506,755.96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8,562,851.91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94,943,904.05</w:t>
            </w:r>
          </w:p>
        </w:tc>
      </w:tr>
    </w:tbl>
    <w:p>
      <w:pPr>
        <w:pStyle w:val="BodyText"/>
        <w:spacing w:line="266" w:lineRule="auto" w:before="10"/>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8,562,851.91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2,064,730.49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2,552,541.98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7,723,339.56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351,700.86</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8,562,851.91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2,064,730.49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2,552,541.98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7,723,339.56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351,700.86</w:t>
            </w:r>
          </w:p>
        </w:tc>
      </w:tr>
    </w:tbl>
    <w:p>
      <w:pPr>
        <w:pStyle w:val="BodyText"/>
        <w:spacing w:line="208" w:lineRule="exact"/>
        <w:ind w:right="0"/>
        <w:jc w:val="left"/>
      </w:pPr>
      <w:r>
        <w:rPr/>
        <w:t>本期减少的其他为企业合并减少。</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4"/>
          <w:szCs w:val="4"/>
        </w:rPr>
      </w:pPr>
    </w:p>
    <w:p>
      <w:pPr>
        <w:spacing w:line="338"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5pt;mso-position-horizontal-relative:char;mso-position-vertical-relative:line" coordorigin="0,0" coordsize="9588,339">
            <v:group style="position:absolute;left:13;top:13;width:4778;height:318" coordorigin="13,13" coordsize="4778,318">
              <v:shape style="position:absolute;left:13;top:13;width:4778;height:318" coordorigin="13,13" coordsize="4778,318" path="m13,13l4791,13,4791,331,13,331,13,13xe" filled="true" fillcolor="#d2d2d2" stroked="false">
                <v:path arrowok="t"/>
                <v:fill type="solid"/>
              </v:shape>
            </v:group>
            <v:group style="position:absolute;left:4796;top:13;width:4780;height:318" coordorigin="4796,13" coordsize="4780,318">
              <v:shape style="position:absolute;left:4796;top:13;width:4780;height:318" coordorigin="4796,13" coordsize="4780,318" path="m4796,13l9576,13,9576,331,4796,331,47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4;width:9578;height:2" coordorigin="5,334" coordsize="9578,2">
              <v:shape style="position:absolute;left:5;top:334;width:9578;height:2" coordorigin="5,334" coordsize="9578,0" path="m5,334l9582,334e" filled="false" stroked="true" strokeweight=".48pt" strokecolor="#000000">
                <v:path arrowok="t"/>
              </v:shape>
            </v:group>
            <v:group style="position:absolute;left:10;top:5;width:2;height:324" coordorigin="10,5" coordsize="2,324">
              <v:shape style="position:absolute;left:10;top:5;width:2;height:324" coordorigin="10,5" coordsize="0,324" path="m10,5l10,329e" filled="false" stroked="true" strokeweight=".48pt" strokecolor="#000000">
                <v:path arrowok="t"/>
              </v:shape>
            </v:group>
            <v:group style="position:absolute;left:4793;top:5;width:2;height:324" coordorigin="4793,5" coordsize="2,324">
              <v:shape style="position:absolute;left:4793;top:5;width:2;height:324" coordorigin="4793,5" coordsize="0,324" path="m4793,5l4793,329e" filled="false" stroked="true" strokeweight=".48pt" strokecolor="#000000">
                <v:path arrowok="t"/>
              </v:shape>
            </v:group>
            <v:group style="position:absolute;left:9578;top:5;width:2;height:324" coordorigin="9578,5" coordsize="2,324">
              <v:shape style="position:absolute;left:9578;top:5;width:2;height:324" coordorigin="9578,5" coordsize="0,324" path="m9578,5l9578,329e" filled="false" stroked="true" strokeweight=".48pt" strokecolor="#000000">
                <v:path arrowok="t"/>
              </v:shape>
              <v:shape style="position:absolute;left:2221;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预缴的税金及留抵税金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388,788.64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338,668.37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7,437,628.83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5,071,493.27</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184,900,000.00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192,726,417.47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83,410,161.64</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324"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center"/>
              <w:rPr>
                <w:rFonts w:ascii="Times New Roman" w:hAnsi="Times New Roman" w:cs="Times New Roman" w:eastAsia="Times New Roman" w:hint="default"/>
                <w:sz w:val="18"/>
                <w:szCs w:val="18"/>
              </w:rPr>
            </w:pPr>
            <w:r>
              <w:rPr>
                <w:rFonts w:ascii="Times New Roman"/>
                <w:sz w:val="18"/>
              </w:rPr>
              <w:t>51,841,543.20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center"/>
              <w:rPr>
                <w:rFonts w:ascii="Times New Roman" w:hAnsi="Times New Roman" w:cs="Times New Roman" w:eastAsia="Times New Roman" w:hint="default"/>
                <w:sz w:val="18"/>
                <w:szCs w:val="18"/>
              </w:rPr>
            </w:pPr>
            <w:r>
              <w:rPr>
                <w:rFonts w:ascii="Times New Roman"/>
                <w:sz w:val="18"/>
              </w:rPr>
              <w:t>51,841,543.20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8" w:right="0"/>
              <w:jc w:val="center"/>
              <w:rPr>
                <w:rFonts w:ascii="Times New Roman" w:hAnsi="Times New Roman" w:cs="Times New Roman" w:eastAsia="Times New Roman" w:hint="default"/>
                <w:sz w:val="18"/>
                <w:szCs w:val="18"/>
              </w:rPr>
            </w:pPr>
            <w:r>
              <w:rPr>
                <w:rFonts w:ascii="Times New Roman"/>
                <w:sz w:val="18"/>
              </w:rPr>
              <w:t>215,525,472.71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215,525,472.71</w:t>
            </w: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center"/>
              <w:rPr>
                <w:rFonts w:ascii="Times New Roman" w:hAnsi="Times New Roman" w:cs="Times New Roman" w:eastAsia="Times New Roman" w:hint="default"/>
                <w:sz w:val="18"/>
                <w:szCs w:val="18"/>
              </w:rPr>
            </w:pPr>
            <w:r>
              <w:rPr>
                <w:rFonts w:ascii="Times New Roman"/>
                <w:sz w:val="18"/>
              </w:rPr>
              <w:t>11,641,543.20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center"/>
              <w:rPr>
                <w:rFonts w:ascii="Times New Roman" w:hAnsi="Times New Roman" w:cs="Times New Roman" w:eastAsia="Times New Roman" w:hint="default"/>
                <w:sz w:val="18"/>
                <w:szCs w:val="18"/>
              </w:rPr>
            </w:pPr>
            <w:r>
              <w:rPr>
                <w:rFonts w:ascii="Times New Roman"/>
                <w:sz w:val="18"/>
              </w:rPr>
              <w:t>11,641,543.20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Times New Roman" w:hAnsi="Times New Roman" w:cs="Times New Roman" w:eastAsia="Times New Roman" w:hint="default"/>
                <w:sz w:val="18"/>
                <w:szCs w:val="18"/>
              </w:rPr>
            </w:pPr>
            <w:r>
              <w:rPr>
                <w:rFonts w:ascii="Times New Roman"/>
                <w:sz w:val="18"/>
              </w:rPr>
              <w:t>178,125,472.71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178,125,472.71</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Times New Roman" w:hAnsi="Times New Roman" w:cs="Times New Roman" w:eastAsia="Times New Roman" w:hint="default"/>
                <w:sz w:val="18"/>
                <w:szCs w:val="18"/>
              </w:rPr>
            </w:pPr>
            <w:r>
              <w:rPr>
                <w:rFonts w:ascii="Times New Roman"/>
                <w:sz w:val="18"/>
              </w:rPr>
              <w:t>40,200,000.00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40,200,000.00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 w:right="0"/>
              <w:jc w:val="center"/>
              <w:rPr>
                <w:rFonts w:ascii="Times New Roman" w:hAnsi="Times New Roman" w:cs="Times New Roman" w:eastAsia="Times New Roman" w:hint="default"/>
                <w:sz w:val="18"/>
                <w:szCs w:val="18"/>
              </w:rPr>
            </w:pPr>
            <w:r>
              <w:rPr>
                <w:rFonts w:ascii="Times New Roman"/>
                <w:sz w:val="18"/>
              </w:rPr>
              <w:t>37,400,000.00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37,400,000.00</w:t>
            </w: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Times New Roman" w:hAnsi="Times New Roman" w:cs="Times New Roman" w:eastAsia="Times New Roman" w:hint="default"/>
                <w:sz w:val="18"/>
                <w:szCs w:val="18"/>
              </w:rPr>
            </w:pPr>
            <w:r>
              <w:rPr>
                <w:rFonts w:ascii="Times New Roman"/>
                <w:sz w:val="18"/>
              </w:rPr>
              <w:t>51,841,543.20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51,841,543.20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8" w:right="0"/>
              <w:jc w:val="center"/>
              <w:rPr>
                <w:rFonts w:ascii="Times New Roman" w:hAnsi="Times New Roman" w:cs="Times New Roman" w:eastAsia="Times New Roman" w:hint="default"/>
                <w:sz w:val="18"/>
                <w:szCs w:val="18"/>
              </w:rPr>
            </w:pPr>
            <w:r>
              <w:rPr>
                <w:rFonts w:ascii="Times New Roman"/>
                <w:sz w:val="18"/>
              </w:rPr>
              <w:t>215,525,472.71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215,525,472.71</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1,665,844.66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1,665,844.66</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9,975,698.54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9,975,698.54</w:t>
            </w:r>
          </w:p>
        </w:tc>
      </w:tr>
      <w:tr>
        <w:trPr>
          <w:trHeight w:val="55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7,481,773.91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7,481,773.91</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01"/>
        <w:gridCol w:w="1122"/>
        <w:gridCol w:w="1134"/>
        <w:gridCol w:w="516"/>
        <w:gridCol w:w="1134"/>
        <w:gridCol w:w="619"/>
        <w:gridCol w:w="599"/>
        <w:gridCol w:w="580"/>
        <w:gridCol w:w="702"/>
        <w:gridCol w:w="870"/>
        <w:gridCol w:w="663"/>
      </w:tblGrid>
      <w:tr>
        <w:trPr>
          <w:trHeight w:val="32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70"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32" w:lineRule="exact"/>
              <w:ind w:left="55" w:right="56"/>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55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73" w:right="7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04" w:right="22"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5" w:right="103"/>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46"/>
              <w:jc w:val="left"/>
              <w:rPr>
                <w:rFonts w:ascii="宋体" w:hAnsi="宋体" w:cs="宋体" w:eastAsia="宋体" w:hint="default"/>
                <w:sz w:val="18"/>
                <w:szCs w:val="18"/>
              </w:rPr>
            </w:pPr>
            <w:r>
              <w:rPr>
                <w:rFonts w:ascii="宋体" w:hAnsi="宋体" w:cs="宋体" w:eastAsia="宋体" w:hint="default"/>
                <w:sz w:val="18"/>
                <w:szCs w:val="18"/>
              </w:rPr>
              <w:t>青海小西牛生物乳业 股份有限公司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4.46%</w:t>
            </w: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46"/>
              <w:jc w:val="left"/>
              <w:rPr>
                <w:rFonts w:ascii="宋体" w:hAnsi="宋体" w:cs="宋体" w:eastAsia="宋体" w:hint="default"/>
                <w:sz w:val="18"/>
                <w:szCs w:val="18"/>
              </w:rPr>
            </w:pPr>
            <w:r>
              <w:rPr>
                <w:rFonts w:ascii="宋体" w:hAnsi="宋体" w:cs="宋体" w:eastAsia="宋体" w:hint="default"/>
                <w:sz w:val="18"/>
                <w:szCs w:val="18"/>
              </w:rPr>
              <w:t>青海弘川新源实业股 份有限公司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4.58%</w:t>
            </w: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46"/>
              <w:jc w:val="left"/>
              <w:rPr>
                <w:rFonts w:ascii="宋体" w:hAnsi="宋体" w:cs="宋体" w:eastAsia="宋体" w:hint="default"/>
                <w:sz w:val="18"/>
                <w:szCs w:val="18"/>
              </w:rPr>
            </w:pPr>
            <w:r>
              <w:rPr>
                <w:rFonts w:ascii="宋体" w:hAnsi="宋体" w:cs="宋体" w:eastAsia="宋体" w:hint="default"/>
                <w:sz w:val="18"/>
                <w:szCs w:val="18"/>
              </w:rPr>
              <w:t>大象恒丰（青岛）投 资有限公司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2,800,000.00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5.00%</w:t>
            </w: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center"/>
              <w:rPr>
                <w:rFonts w:ascii="Times New Roman" w:hAnsi="Times New Roman" w:cs="Times New Roman" w:eastAsia="Times New Roman" w:hint="default"/>
                <w:sz w:val="18"/>
                <w:szCs w:val="18"/>
              </w:rPr>
            </w:pPr>
            <w:r>
              <w:rPr>
                <w:rFonts w:ascii="Times New Roman"/>
                <w:sz w:val="18"/>
              </w:rPr>
              <w:t>2,800,000.00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40,200,000.00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0" w:right="0"/>
              <w:jc w:val="lef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8"/>
        <w:rPr>
          <w:rFonts w:ascii="宋体" w:hAnsi="宋体" w:cs="宋体" w:eastAsia="宋体" w:hint="default"/>
          <w:sz w:val="17"/>
          <w:szCs w:val="17"/>
        </w:rPr>
      </w:pPr>
    </w:p>
    <w:p>
      <w:pPr>
        <w:pStyle w:val="Heading3"/>
        <w:spacing w:line="240" w:lineRule="auto" w:before="34"/>
        <w:ind w:left="172"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11"/>
        <w:ind w:left="172"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left="172"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72"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17"/>
          <w:szCs w:val="17"/>
        </w:rPr>
      </w:pPr>
    </w:p>
    <w:p>
      <w:pPr>
        <w:pStyle w:val="Heading3"/>
        <w:spacing w:line="240" w:lineRule="auto" w:before="34"/>
        <w:ind w:left="172"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7"/>
        <w:rPr>
          <w:rFonts w:ascii="宋体" w:hAnsi="宋体" w:cs="宋体" w:eastAsia="宋体" w:hint="default"/>
          <w:sz w:val="17"/>
          <w:szCs w:val="17"/>
        </w:rPr>
      </w:pPr>
    </w:p>
    <w:p>
      <w:pPr>
        <w:pStyle w:val="Heading3"/>
        <w:spacing w:line="240" w:lineRule="auto" w:before="34"/>
        <w:ind w:left="172"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72"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172"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72"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32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24"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8"/>
        <w:rPr>
          <w:rFonts w:ascii="宋体" w:hAnsi="宋体" w:cs="宋体" w:eastAsia="宋体" w:hint="default"/>
          <w:sz w:val="17"/>
          <w:szCs w:val="17"/>
        </w:rPr>
      </w:pPr>
    </w:p>
    <w:p>
      <w:pPr>
        <w:pStyle w:val="Heading3"/>
        <w:spacing w:line="240" w:lineRule="auto" w:before="34"/>
        <w:ind w:left="172"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72"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72"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left="172"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993"/>
        <w:gridCol w:w="797"/>
        <w:gridCol w:w="797"/>
        <w:gridCol w:w="798"/>
        <w:gridCol w:w="798"/>
        <w:gridCol w:w="798"/>
        <w:gridCol w:w="798"/>
        <w:gridCol w:w="798"/>
        <w:gridCol w:w="798"/>
        <w:gridCol w:w="798"/>
        <w:gridCol w:w="798"/>
        <w:gridCol w:w="798"/>
      </w:tblGrid>
      <w:tr>
        <w:trPr>
          <w:trHeight w:val="324"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8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4"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15"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15"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8" w:footer="978" w:top="1100" w:bottom="1160" w:left="960" w:right="9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93"/>
        <w:gridCol w:w="797"/>
        <w:gridCol w:w="797"/>
        <w:gridCol w:w="798"/>
        <w:gridCol w:w="798"/>
        <w:gridCol w:w="798"/>
        <w:gridCol w:w="798"/>
        <w:gridCol w:w="798"/>
        <w:gridCol w:w="798"/>
        <w:gridCol w:w="798"/>
        <w:gridCol w:w="798"/>
        <w:gridCol w:w="798"/>
      </w:tblGrid>
      <w:tr>
        <w:trPr>
          <w:trHeight w:val="323" w:hRule="exact"/>
        </w:trPr>
        <w:tc>
          <w:tcPr>
            <w:tcW w:w="97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4" w:hRule="exact"/>
        </w:trPr>
        <w:tc>
          <w:tcPr>
            <w:tcW w:w="97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57"/>
              <w:jc w:val="both"/>
              <w:rPr>
                <w:rFonts w:ascii="宋体" w:hAnsi="宋体" w:cs="宋体" w:eastAsia="宋体" w:hint="default"/>
                <w:sz w:val="18"/>
                <w:szCs w:val="18"/>
              </w:rPr>
            </w:pPr>
            <w:r>
              <w:rPr>
                <w:rFonts w:ascii="宋体" w:hAnsi="宋体" w:cs="宋体" w:eastAsia="宋体" w:hint="default"/>
                <w:sz w:val="18"/>
                <w:szCs w:val="18"/>
              </w:rPr>
              <w:t>北京九彩矿 业投资有限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51" w:right="0"/>
              <w:jc w:val="left"/>
              <w:rPr>
                <w:rFonts w:ascii="Times New Roman" w:hAnsi="Times New Roman" w:cs="Times New Roman" w:eastAsia="Times New Roman" w:hint="default"/>
                <w:sz w:val="18"/>
                <w:szCs w:val="18"/>
              </w:rPr>
            </w:pPr>
            <w:r>
              <w:rPr>
                <w:rFonts w:ascii="Times New Roman"/>
                <w:sz w:val="18"/>
              </w:rPr>
              <w:t>39,211,48</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4" w:right="57"/>
              <w:jc w:val="both"/>
              <w:rPr>
                <w:rFonts w:ascii="宋体" w:hAnsi="宋体" w:cs="宋体" w:eastAsia="宋体" w:hint="default"/>
                <w:sz w:val="18"/>
                <w:szCs w:val="18"/>
              </w:rPr>
            </w:pPr>
            <w:r>
              <w:rPr>
                <w:rFonts w:ascii="宋体" w:hAnsi="宋体" w:cs="宋体" w:eastAsia="宋体" w:hint="default"/>
                <w:sz w:val="18"/>
                <w:szCs w:val="18"/>
              </w:rPr>
              <w:t>吉林省嘉孚 化学工业股 份有限公司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9,990,227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left="75" w:right="0"/>
              <w:jc w:val="left"/>
              <w:rPr>
                <w:rFonts w:ascii="Times New Roman" w:hAnsi="Times New Roman" w:cs="Times New Roman" w:eastAsia="Times New Roman" w:hint="default"/>
                <w:sz w:val="18"/>
                <w:szCs w:val="18"/>
              </w:rPr>
            </w:pPr>
            <w:r>
              <w:rPr>
                <w:rFonts w:ascii="Times New Roman"/>
                <w:sz w:val="18"/>
              </w:rPr>
              <w:t>-2,053,54</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4.76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7,936,682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57"/>
              <w:jc w:val="both"/>
              <w:rPr>
                <w:rFonts w:ascii="宋体" w:hAnsi="宋体" w:cs="宋体" w:eastAsia="宋体" w:hint="default"/>
                <w:sz w:val="18"/>
                <w:szCs w:val="18"/>
              </w:rPr>
            </w:pPr>
            <w:r>
              <w:rPr>
                <w:rFonts w:ascii="宋体" w:hAnsi="宋体" w:cs="宋体" w:eastAsia="宋体" w:hint="default"/>
                <w:sz w:val="18"/>
                <w:szCs w:val="18"/>
              </w:rPr>
              <w:t>河北兴石创 业投资有限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32,245,91</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7.71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378,792.2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32,624,71</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57"/>
              <w:jc w:val="both"/>
              <w:rPr>
                <w:rFonts w:ascii="宋体" w:hAnsi="宋体" w:cs="宋体" w:eastAsia="宋体" w:hint="default"/>
                <w:sz w:val="18"/>
                <w:szCs w:val="18"/>
              </w:rPr>
            </w:pPr>
            <w:r>
              <w:rPr>
                <w:rFonts w:ascii="宋体" w:hAnsi="宋体" w:cs="宋体" w:eastAsia="宋体" w:hint="default"/>
                <w:sz w:val="18"/>
                <w:szCs w:val="18"/>
              </w:rPr>
              <w:t>广西海东科 技创业投资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19,989,50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2.26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953,097.0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20,942,59</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79"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霍尔果斯神</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701"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州易桥股权</w:t>
            </w:r>
          </w:p>
          <w:p>
            <w:pPr>
              <w:pStyle w:val="TableParagraph"/>
              <w:spacing w:line="240" w:lineRule="auto"/>
              <w:ind w:left="24" w:right="57"/>
              <w:jc w:val="left"/>
              <w:rPr>
                <w:rFonts w:ascii="宋体" w:hAnsi="宋体" w:cs="宋体" w:eastAsia="宋体" w:hint="default"/>
                <w:sz w:val="18"/>
                <w:szCs w:val="18"/>
              </w:rPr>
            </w:pPr>
            <w:r>
              <w:rPr>
                <w:rFonts w:ascii="宋体" w:hAnsi="宋体" w:cs="宋体" w:eastAsia="宋体" w:hint="default"/>
                <w:sz w:val="18"/>
                <w:szCs w:val="18"/>
              </w:rPr>
              <w:t>投资合伙企 业（有限公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right="20"/>
              <w:jc w:val="right"/>
              <w:rPr>
                <w:rFonts w:ascii="Times New Roman" w:hAnsi="Times New Roman" w:cs="Times New Roman" w:eastAsia="Times New Roman" w:hint="default"/>
                <w:sz w:val="18"/>
                <w:szCs w:val="18"/>
              </w:rPr>
            </w:pPr>
            <w:r>
              <w:rPr>
                <w:rFonts w:ascii="Times New Roman"/>
                <w:spacing w:val="-1"/>
                <w:sz w:val="18"/>
              </w:rPr>
              <w:t>3,888,876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43"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51" w:right="0"/>
              <w:jc w:val="left"/>
              <w:rPr>
                <w:rFonts w:ascii="Times New Roman" w:hAnsi="Times New Roman" w:cs="Times New Roman" w:eastAsia="Times New Roman" w:hint="default"/>
                <w:sz w:val="18"/>
                <w:szCs w:val="18"/>
              </w:rPr>
            </w:pPr>
            <w:r>
              <w:rPr>
                <w:rFonts w:ascii="Times New Roman"/>
                <w:sz w:val="18"/>
              </w:rPr>
              <w:t>11,676,65</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44" w:right="0"/>
              <w:jc w:val="left"/>
              <w:rPr>
                <w:rFonts w:ascii="Times New Roman" w:hAnsi="Times New Roman" w:cs="Times New Roman" w:eastAsia="Times New Roman" w:hint="default"/>
                <w:sz w:val="18"/>
                <w:szCs w:val="18"/>
              </w:rPr>
            </w:pPr>
            <w:r>
              <w:rPr>
                <w:rFonts w:ascii="Times New Roman"/>
                <w:sz w:val="18"/>
              </w:rPr>
              <w:t>29,565,53</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5.70</w:t>
            </w:r>
          </w:p>
        </w:tc>
        <w:tc>
          <w:tcPr>
            <w:tcW w:w="798" w:type="dxa"/>
            <w:vMerge/>
            <w:tcBorders>
              <w:left w:val="single" w:sz="4" w:space="0" w:color="000000"/>
              <w:right w:val="single" w:sz="4" w:space="0" w:color="000000"/>
            </w:tcBorders>
          </w:tcPr>
          <w:p>
            <w:pPr/>
          </w:p>
        </w:tc>
      </w:tr>
      <w:tr>
        <w:trPr>
          <w:trHeight w:val="277" w:hRule="exact"/>
        </w:trPr>
        <w:tc>
          <w:tcPr>
            <w:tcW w:w="99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91"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4" w:right="57"/>
              <w:jc w:val="both"/>
              <w:rPr>
                <w:rFonts w:ascii="宋体" w:hAnsi="宋体" w:cs="宋体" w:eastAsia="宋体" w:hint="default"/>
                <w:sz w:val="18"/>
                <w:szCs w:val="18"/>
              </w:rPr>
            </w:pPr>
            <w:r>
              <w:rPr>
                <w:rFonts w:ascii="宋体" w:hAnsi="宋体" w:cs="宋体" w:eastAsia="宋体" w:hint="default"/>
                <w:sz w:val="18"/>
                <w:szCs w:val="18"/>
              </w:rPr>
              <w:t>广州网融信 息技术有限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48,720,00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2,280,284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51,000,28</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4.64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洛阳蓝宝氟</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30,330,00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30,330,00</w:t>
            </w:r>
          </w:p>
        </w:tc>
        <w:tc>
          <w:tcPr>
            <w:tcW w:w="798" w:type="dxa"/>
            <w:vMerge w:val="restart"/>
            <w:tcBorders>
              <w:top w:val="single" w:sz="4" w:space="0" w:color="000000"/>
              <w:left w:val="single" w:sz="4" w:space="0" w:color="000000"/>
              <w:right w:val="single" w:sz="4" w:space="0" w:color="000000"/>
            </w:tcBorders>
          </w:tcPr>
          <w:p>
            <w:pPr/>
          </w:p>
        </w:tc>
      </w:tr>
      <w:tr>
        <w:trPr>
          <w:trHeight w:val="270" w:hRule="exact"/>
        </w:trPr>
        <w:tc>
          <w:tcPr>
            <w:tcW w:w="993"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bottom w:val="single" w:sz="4" w:space="0" w:color="000000"/>
              <w:right w:val="single" w:sz="4" w:space="0" w:color="000000"/>
            </w:tcBorders>
          </w:tcPr>
          <w:p>
            <w:pPr/>
          </w:p>
        </w:tc>
      </w:tr>
      <w:tr>
        <w:trPr>
          <w:trHeight w:val="278"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神州易桥</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33"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（北京）财</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241"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税科技有限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7,850,500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-3,668,60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4,181,896</w:t>
            </w:r>
          </w:p>
        </w:tc>
        <w:tc>
          <w:tcPr>
            <w:tcW w:w="798" w:type="dxa"/>
            <w:vMerge/>
            <w:tcBorders>
              <w:left w:val="single" w:sz="4" w:space="0" w:color="000000"/>
              <w:right w:val="single" w:sz="4" w:space="0" w:color="000000"/>
            </w:tcBorders>
          </w:tcPr>
          <w:p>
            <w:pPr/>
          </w:p>
        </w:tc>
      </w:tr>
      <w:tr>
        <w:trPr>
          <w:trHeight w:val="230"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公司所属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3.72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.28</w:t>
            </w:r>
          </w:p>
        </w:tc>
        <w:tc>
          <w:tcPr>
            <w:tcW w:w="798" w:type="dxa"/>
            <w:vMerge/>
            <w:tcBorders>
              <w:left w:val="single" w:sz="4" w:space="0" w:color="000000"/>
              <w:right w:val="single" w:sz="4" w:space="0" w:color="000000"/>
            </w:tcBorders>
          </w:tcPr>
          <w:p>
            <w:pPr/>
          </w:p>
        </w:tc>
      </w:tr>
      <w:tr>
        <w:trPr>
          <w:trHeight w:val="229"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家联营企业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278" w:hRule="exact"/>
        </w:trPr>
        <w:tc>
          <w:tcPr>
            <w:tcW w:w="993"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9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4" w:right="57"/>
              <w:jc w:val="both"/>
              <w:rPr>
                <w:rFonts w:ascii="宋体" w:hAnsi="宋体" w:cs="宋体" w:eastAsia="宋体" w:hint="default"/>
                <w:sz w:val="18"/>
                <w:szCs w:val="18"/>
              </w:rPr>
            </w:pPr>
            <w:r>
              <w:rPr>
                <w:rFonts w:ascii="宋体" w:hAnsi="宋体" w:cs="宋体" w:eastAsia="宋体" w:hint="default"/>
                <w:sz w:val="18"/>
                <w:szCs w:val="18"/>
              </w:rPr>
              <w:t>霍尔果斯快 马财税管理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07" w:lineRule="exact"/>
              <w:ind w:left="357"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39,482,00</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139,482,0</w:t>
            </w:r>
          </w:p>
          <w:p>
            <w:pPr>
              <w:pStyle w:val="TableParagraph"/>
              <w:spacing w:line="207" w:lineRule="exact"/>
              <w:ind w:left="358" w:right="0"/>
              <w:jc w:val="left"/>
              <w:rPr>
                <w:rFonts w:ascii="Times New Roman" w:hAnsi="Times New Roman" w:cs="Times New Roman" w:eastAsia="Times New Roman" w:hint="default"/>
                <w:sz w:val="18"/>
                <w:szCs w:val="18"/>
              </w:rPr>
            </w:pPr>
            <w:r>
              <w:rPr>
                <w:rFonts w:ascii="Times New Roman"/>
                <w:sz w:val="18"/>
              </w:rPr>
              <w:t>03.99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企业管家</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33"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244"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技服务有限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273,758,5</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27,402,21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8"/>
                <w:szCs w:val="18"/>
              </w:rPr>
            </w:pPr>
            <w:r>
              <w:rPr>
                <w:rFonts w:ascii="Times New Roman"/>
                <w:spacing w:val="-1"/>
                <w:sz w:val="18"/>
              </w:rPr>
              <w:t>23,867,53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325,028,2</w:t>
            </w:r>
          </w:p>
        </w:tc>
        <w:tc>
          <w:tcPr>
            <w:tcW w:w="798" w:type="dxa"/>
            <w:vMerge/>
            <w:tcBorders>
              <w:left w:val="single" w:sz="4" w:space="0" w:color="000000"/>
              <w:right w:val="single" w:sz="4" w:space="0" w:color="000000"/>
            </w:tcBorders>
          </w:tcPr>
          <w:p>
            <w:pPr/>
          </w:p>
        </w:tc>
      </w:tr>
      <w:tr>
        <w:trPr>
          <w:trHeight w:val="229"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公司所属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53</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6.40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pacing w:val="-1"/>
                <w:sz w:val="18"/>
              </w:rPr>
              <w:t>6.82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53.22</w:t>
            </w:r>
          </w:p>
        </w:tc>
        <w:tc>
          <w:tcPr>
            <w:tcW w:w="798" w:type="dxa"/>
            <w:vMerge/>
            <w:tcBorders>
              <w:left w:val="single" w:sz="4" w:space="0" w:color="000000"/>
              <w:right w:val="single" w:sz="4" w:space="0" w:color="000000"/>
            </w:tcBorders>
          </w:tcPr>
          <w:p>
            <w:pPr/>
          </w:p>
        </w:tc>
      </w:tr>
      <w:tr>
        <w:trPr>
          <w:trHeight w:val="229"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家联营企业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278" w:hRule="exact"/>
        </w:trPr>
        <w:tc>
          <w:tcPr>
            <w:tcW w:w="993"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297"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3" w:right="0"/>
              <w:jc w:val="left"/>
              <w:rPr>
                <w:rFonts w:ascii="Times New Roman" w:hAnsi="Times New Roman" w:cs="Times New Roman" w:eastAsia="Times New Roman" w:hint="default"/>
                <w:sz w:val="18"/>
                <w:szCs w:val="18"/>
              </w:rPr>
            </w:pPr>
            <w:r>
              <w:rPr>
                <w:rFonts w:ascii="Times New Roman"/>
                <w:sz w:val="18"/>
              </w:rPr>
              <w:t>105,326,0</w:t>
            </w:r>
          </w:p>
          <w:p>
            <w:pPr>
              <w:pStyle w:val="TableParagraph"/>
              <w:spacing w:line="207" w:lineRule="exact"/>
              <w:ind w:left="358" w:right="0"/>
              <w:jc w:val="left"/>
              <w:rPr>
                <w:rFonts w:ascii="Times New Roman" w:hAnsi="Times New Roman" w:cs="Times New Roman" w:eastAsia="Times New Roman" w:hint="default"/>
                <w:sz w:val="18"/>
                <w:szCs w:val="18"/>
              </w:rPr>
            </w:pPr>
            <w:r>
              <w:rPr>
                <w:rFonts w:ascii="Times New Roman"/>
                <w:sz w:val="18"/>
              </w:rPr>
              <w:t>07.09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3" w:right="0"/>
              <w:jc w:val="left"/>
              <w:rPr>
                <w:rFonts w:ascii="Times New Roman" w:hAnsi="Times New Roman" w:cs="Times New Roman" w:eastAsia="Times New Roman" w:hint="default"/>
                <w:sz w:val="18"/>
                <w:szCs w:val="18"/>
              </w:rPr>
            </w:pPr>
            <w:r>
              <w:rPr>
                <w:rFonts w:ascii="Times New Roman"/>
                <w:sz w:val="18"/>
              </w:rPr>
              <w:t>474,659,0</w:t>
            </w:r>
          </w:p>
          <w:p>
            <w:pPr>
              <w:pStyle w:val="TableParagraph"/>
              <w:spacing w:line="207" w:lineRule="exact"/>
              <w:ind w:left="357"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76,450,80</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5.47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23,867,53</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641,091,9</w:t>
            </w:r>
          </w:p>
          <w:p>
            <w:pPr>
              <w:pStyle w:val="TableParagraph"/>
              <w:spacing w:line="207" w:lineRule="exact"/>
              <w:ind w:left="358" w:right="0"/>
              <w:jc w:val="left"/>
              <w:rPr>
                <w:rFonts w:ascii="Times New Roman" w:hAnsi="Times New Roman" w:cs="Times New Roman" w:eastAsia="Times New Roman" w:hint="default"/>
                <w:sz w:val="18"/>
                <w:szCs w:val="18"/>
              </w:rPr>
            </w:pPr>
            <w:r>
              <w:rPr>
                <w:rFonts w:ascii="Times New Roman"/>
                <w:sz w:val="18"/>
              </w:rPr>
              <w:t>65.57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3" w:right="0"/>
              <w:jc w:val="left"/>
              <w:rPr>
                <w:rFonts w:ascii="Times New Roman" w:hAnsi="Times New Roman" w:cs="Times New Roman" w:eastAsia="Times New Roman" w:hint="default"/>
                <w:sz w:val="18"/>
                <w:szCs w:val="18"/>
              </w:rPr>
            </w:pPr>
            <w:r>
              <w:rPr>
                <w:rFonts w:ascii="Times New Roman"/>
                <w:sz w:val="18"/>
              </w:rPr>
              <w:t>105,326,0</w:t>
            </w:r>
          </w:p>
          <w:p>
            <w:pPr>
              <w:pStyle w:val="TableParagraph"/>
              <w:spacing w:line="207" w:lineRule="exact"/>
              <w:ind w:left="358" w:right="0"/>
              <w:jc w:val="left"/>
              <w:rPr>
                <w:rFonts w:ascii="Times New Roman" w:hAnsi="Times New Roman" w:cs="Times New Roman" w:eastAsia="Times New Roman" w:hint="default"/>
                <w:sz w:val="18"/>
                <w:szCs w:val="18"/>
              </w:rPr>
            </w:pPr>
            <w:r>
              <w:rPr>
                <w:rFonts w:ascii="Times New Roman"/>
                <w:sz w:val="18"/>
              </w:rPr>
              <w:t>07.09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3" w:right="0"/>
              <w:jc w:val="left"/>
              <w:rPr>
                <w:rFonts w:ascii="Times New Roman" w:hAnsi="Times New Roman" w:cs="Times New Roman" w:eastAsia="Times New Roman" w:hint="default"/>
                <w:sz w:val="18"/>
                <w:szCs w:val="18"/>
              </w:rPr>
            </w:pPr>
            <w:r>
              <w:rPr>
                <w:rFonts w:ascii="Times New Roman"/>
                <w:sz w:val="18"/>
              </w:rPr>
              <w:t>474,659,0</w:t>
            </w:r>
          </w:p>
          <w:p>
            <w:pPr>
              <w:pStyle w:val="TableParagraph"/>
              <w:spacing w:line="207" w:lineRule="exact"/>
              <w:ind w:left="357"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76,450,80</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5.47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23,867,53</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641,091,9</w:t>
            </w:r>
          </w:p>
          <w:p>
            <w:pPr>
              <w:pStyle w:val="TableParagraph"/>
              <w:spacing w:line="207" w:lineRule="exact"/>
              <w:ind w:left="358" w:right="0"/>
              <w:jc w:val="left"/>
              <w:rPr>
                <w:rFonts w:ascii="Times New Roman" w:hAnsi="Times New Roman" w:cs="Times New Roman" w:eastAsia="Times New Roman" w:hint="default"/>
                <w:sz w:val="18"/>
                <w:szCs w:val="18"/>
              </w:rPr>
            </w:pPr>
            <w:r>
              <w:rPr>
                <w:rFonts w:ascii="Times New Roman"/>
                <w:sz w:val="18"/>
              </w:rPr>
              <w:t>65.57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1"/>
        <w:ind w:left="172" w:right="0"/>
        <w:jc w:val="left"/>
      </w:pPr>
      <w:r>
        <w:rPr/>
        <w:t>其他说明</w:t>
      </w:r>
    </w:p>
    <w:p>
      <w:pPr>
        <w:pStyle w:val="BodyText"/>
        <w:spacing w:line="232" w:lineRule="exact" w:before="62"/>
        <w:ind w:left="652" w:right="0"/>
        <w:jc w:val="left"/>
      </w:pPr>
      <w:r>
        <w:rPr>
          <w:spacing w:val="-3"/>
        </w:rPr>
        <w:t>注</w:t>
      </w:r>
      <w:r>
        <w:rPr>
          <w:rFonts w:ascii="Times New Roman" w:hAnsi="Times New Roman" w:cs="Times New Roman" w:eastAsia="Times New Roman" w:hint="default"/>
          <w:spacing w:val="-3"/>
        </w:rPr>
        <w:t>1</w:t>
      </w:r>
      <w:r>
        <w:rPr>
          <w:spacing w:val="-3"/>
        </w:rPr>
        <w:t>系本公司之全资子公司神州易桥（北京）财税科技有限公司及其子公司易桥信息服务有限公司投资的</w:t>
      </w:r>
      <w:r>
        <w:rPr>
          <w:rFonts w:ascii="Times New Roman" w:hAnsi="Times New Roman" w:cs="Times New Roman" w:eastAsia="Times New Roman" w:hint="default"/>
          <w:spacing w:val="-3"/>
        </w:rPr>
        <w:t>9</w:t>
      </w:r>
      <w:r>
        <w:rPr>
          <w:spacing w:val="-3"/>
        </w:rPr>
        <w:t>家联营企业。</w:t>
      </w:r>
      <w:r>
        <w:rPr>
          <w:spacing w:val="-43"/>
        </w:rPr>
        <w:t> </w:t>
      </w:r>
      <w:r>
        <w:rPr/>
        <w:t>注</w:t>
      </w:r>
      <w:r>
        <w:rPr>
          <w:rFonts w:ascii="Times New Roman" w:hAnsi="Times New Roman" w:cs="Times New Roman" w:eastAsia="Times New Roman" w:hint="default"/>
        </w:rPr>
        <w:t>2</w:t>
      </w:r>
      <w:r>
        <w:rPr/>
        <w:t>系本公司之全资子公司企业管家（北京）科技服务有限公司之子公司霍尔果斯易桥快马管理咨询有限公司投资的</w:t>
      </w:r>
    </w:p>
    <w:p>
      <w:pPr>
        <w:pStyle w:val="BodyText"/>
        <w:spacing w:line="228" w:lineRule="exact"/>
        <w:ind w:left="172" w:right="0"/>
        <w:jc w:val="left"/>
      </w:pPr>
      <w:r>
        <w:rPr>
          <w:rFonts w:ascii="Times New Roman" w:hAnsi="Times New Roman" w:cs="Times New Roman" w:eastAsia="Times New Roman" w:hint="default"/>
        </w:rPr>
        <w:t>53</w:t>
      </w:r>
      <w:r>
        <w:rPr/>
        <w:t>家联营企业。</w:t>
      </w:r>
    </w:p>
    <w:p>
      <w:pPr>
        <w:spacing w:after="0" w:line="228" w:lineRule="exact"/>
        <w:jc w:val="left"/>
        <w:sectPr>
          <w:footerReference w:type="default" r:id="rId39"/>
          <w:pgSz w:w="11910" w:h="16840"/>
          <w:pgMar w:footer="978" w:header="878" w:top="1100" w:bottom="1160" w:left="960" w:right="940"/>
          <w:pgNumType w:start="11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261"/>
        <w:gridCol w:w="1916"/>
        <w:gridCol w:w="1559"/>
        <w:gridCol w:w="1417"/>
        <w:gridCol w:w="1560"/>
      </w:tblGrid>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4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49,465,464.38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49,465,464.38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49,465,464.38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49,465,464.38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32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3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left="352"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78" w:lineRule="auto" w:before="12"/>
        <w:ind w:left="352" w:right="6554"/>
        <w:jc w:val="left"/>
      </w:pPr>
      <w:r>
        <w:rPr/>
        <w:t>其他说明 截止本报告披露日，产权证书已办理完毕。</w:t>
      </w:r>
    </w:p>
    <w:p>
      <w:pPr>
        <w:spacing w:line="240" w:lineRule="auto" w:before="0"/>
        <w:rPr>
          <w:rFonts w:ascii="宋体" w:hAnsi="宋体" w:cs="宋体" w:eastAsia="宋体" w:hint="default"/>
          <w:sz w:val="20"/>
          <w:szCs w:val="20"/>
        </w:rPr>
      </w:pPr>
    </w:p>
    <w:p>
      <w:pPr>
        <w:pStyle w:val="Heading3"/>
        <w:spacing w:line="240" w:lineRule="auto"/>
        <w:ind w:left="352"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352"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27"/>
        <w:gridCol w:w="1594"/>
        <w:gridCol w:w="1594"/>
        <w:gridCol w:w="1594"/>
        <w:gridCol w:w="1594"/>
        <w:gridCol w:w="1594"/>
      </w:tblGrid>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285,216,850.32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376,243,476.33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19,583,168.64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15,137,672.72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696,181,168.01</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21,179,859.76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7,256,803.00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7,696,440.46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8,673,870.85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44,806,974.07</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21,179,859.76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7,256,803.00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6,848,941.97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4,771,804.92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40,057,409.65</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847,498.49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3,902,065.93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4,749,564.42</w:t>
            </w:r>
          </w:p>
        </w:tc>
      </w:tr>
      <w:tr>
        <w:trPr>
          <w:trHeight w:val="297"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280,560,109.67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383,500,279.33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7,806,322.59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7,504,583.87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679,371,295.46</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22,767,092.45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805,342.66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2,138,169.27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25,710,604.38</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280,560,109.67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360,733,186.88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7,000,979.93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5,366,414.60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653,660,691.08</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25,836,600.41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19,473,286.51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16,306,959.70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61,616,846.62</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63,495,666.25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154,976,030.53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11,028,870.43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9,738,942.76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239,239,509.97</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8,025,891.65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21,737,062.44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2,799,155.35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3,995,854.86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36,557,964.30</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8,025,891.65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21,737,062.44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2,177,867.23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3,016,980.29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34,957,801.61</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621,288.12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978,874.57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1,600,162.69</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70,153,404.58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176,713,092.97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4,708,647.20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5,753,939.25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257,329,084.00</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15,076,898.52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262,067.63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1,391,199.87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16,730,166.02</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70,153,404.58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161,636,194.45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4,446,579.57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4,362,739.38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240,598,917.98</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1,368,153.32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9,119,378.58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7,980,858.37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18,468,390.27</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4,719,970.41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1,737,818.87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27,743.66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89,873.37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6,575,406.31</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4,719,970.41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1,737,818.87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27,743.66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89,873.37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6,575,406.31</w:t>
            </w:r>
          </w:p>
        </w:tc>
      </w:tr>
      <w:tr>
        <w:trPr>
          <w:trHeight w:val="32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780" w:right="7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127"/>
        <w:gridCol w:w="1594"/>
        <w:gridCol w:w="1594"/>
        <w:gridCol w:w="1594"/>
        <w:gridCol w:w="1594"/>
        <w:gridCol w:w="1594"/>
      </w:tblGrid>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4,719,970.41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1,737,818.87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27,743.66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89,873.37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6,575,406.31</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24,468,447.09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10,353,907.93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8,326,101.33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43,148,456.35</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217,001,213.66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219,529,626.93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8,526,554.55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5,308,856.59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450,366,251.73</w:t>
            </w:r>
          </w:p>
        </w:tc>
      </w:tr>
    </w:tbl>
    <w:p>
      <w:pPr>
        <w:spacing w:line="240" w:lineRule="auto" w:before="8"/>
        <w:rPr>
          <w:rFonts w:ascii="宋体" w:hAnsi="宋体" w:cs="宋体" w:eastAsia="宋体" w:hint="default"/>
          <w:sz w:val="17"/>
          <w:szCs w:val="17"/>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7"/>
          <w:szCs w:val="17"/>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9"/>
        <w:rPr>
          <w:rFonts w:ascii="宋体" w:hAnsi="宋体" w:cs="宋体" w:eastAsia="宋体" w:hint="default"/>
          <w:sz w:val="17"/>
          <w:szCs w:val="17"/>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37" w:lineRule="exact"/>
        <w:ind w:left="34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775;height:318" coordorigin="13,12" coordsize="4775,318">
              <v:shape style="position:absolute;left:13;top:12;width:4775;height:318" coordorigin="13,12" coordsize="4775,318" path="m13,12l4788,12,4788,330,13,330,13,12xe" filled="true" fillcolor="#d2d2d2" stroked="false">
                <v:path arrowok="t"/>
                <v:fill type="solid"/>
              </v:shape>
            </v:group>
            <v:group style="position:absolute;left:4793;top:12;width:4783;height:318" coordorigin="4793,12" coordsize="4783,318">
              <v:shape style="position:absolute;left:4793;top:12;width:4783;height:318" coordorigin="4793,12" coordsize="4783,318" path="m4793,12l9576,12,9576,330,4793,330,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790;top:5;width:2;height:323" coordorigin="4790,5" coordsize="2,323">
              <v:shape style="position:absolute;left:4790;top:5;width:2;height:323" coordorigin="4790,5" coordsize="0,323" path="m4790,5l4790,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2219;top:8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323" type="#_x0000_t202" filled="false" stroked="false">
                <v:textbox inset="0,0,0,0">
                  <w:txbxContent>
                    <w:p>
                      <w:pPr>
                        <w:spacing w:before="1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6"/>
          <w:sz w:val="20"/>
          <w:szCs w:val="20"/>
        </w:rPr>
      </w:r>
    </w:p>
    <w:p>
      <w:pPr>
        <w:spacing w:line="240" w:lineRule="auto" w:before="10"/>
        <w:rPr>
          <w:rFonts w:ascii="宋体" w:hAnsi="宋体" w:cs="宋体" w:eastAsia="宋体" w:hint="default"/>
          <w:sz w:val="17"/>
          <w:szCs w:val="17"/>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21,179,859.76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78" w:lineRule="auto" w:before="12"/>
        <w:ind w:left="352" w:right="6554"/>
        <w:jc w:val="left"/>
      </w:pPr>
      <w:r>
        <w:rPr/>
        <w:t>其他说明 截止本报告披露日，产权证书已办理完毕。</w:t>
      </w:r>
    </w:p>
    <w:p>
      <w:pPr>
        <w:spacing w:line="240" w:lineRule="auto" w:before="1"/>
        <w:rPr>
          <w:rFonts w:ascii="宋体" w:hAnsi="宋体" w:cs="宋体" w:eastAsia="宋体" w:hint="default"/>
          <w:sz w:val="20"/>
          <w:szCs w:val="20"/>
        </w:rPr>
      </w:pPr>
    </w:p>
    <w:p>
      <w:pPr>
        <w:pStyle w:val="Heading3"/>
        <w:spacing w:line="240" w:lineRule="auto"/>
        <w:ind w:left="352"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352"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17"/>
          <w:szCs w:val="17"/>
        </w:rPr>
      </w:pPr>
    </w:p>
    <w:p>
      <w:pPr>
        <w:pStyle w:val="Heading3"/>
        <w:spacing w:line="240" w:lineRule="auto" w:before="34"/>
        <w:ind w:left="35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35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232" w:lineRule="exact"/>
        <w:jc w:val="left"/>
        <w:rPr>
          <w:rFonts w:ascii="宋体" w:hAnsi="宋体" w:cs="宋体" w:eastAsia="宋体" w:hint="default"/>
          <w:sz w:val="18"/>
          <w:szCs w:val="18"/>
        </w:rPr>
        <w:sectPr>
          <w:pgSz w:w="11910" w:h="16840"/>
          <w:pgMar w:header="878" w:footer="978" w:top="1100" w:bottom="1160" w:left="780" w:right="780"/>
        </w:sectPr>
      </w:pPr>
    </w:p>
    <w:p>
      <w:pPr>
        <w:spacing w:line="240" w:lineRule="auto" w:before="3"/>
        <w:rPr>
          <w:rFonts w:ascii="宋体" w:hAnsi="宋体" w:cs="宋体" w:eastAsia="宋体" w:hint="default"/>
          <w:sz w:val="19"/>
          <w:szCs w:val="19"/>
        </w:rPr>
      </w:pPr>
    </w:p>
    <w:p>
      <w:pPr>
        <w:pStyle w:val="Heading3"/>
        <w:spacing w:line="240" w:lineRule="auto" w:before="34"/>
        <w:ind w:left="412"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4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409" w:type="dxa"/>
        <w:tblLayout w:type="fixed"/>
        <w:tblCellMar>
          <w:top w:w="0" w:type="dxa"/>
          <w:left w:w="0" w:type="dxa"/>
          <w:bottom w:w="0" w:type="dxa"/>
          <w:right w:w="0" w:type="dxa"/>
        </w:tblCellMar>
        <w:tblLook w:val="01E0"/>
      </w:tblPr>
      <w:tblGrid>
        <w:gridCol w:w="3188"/>
        <w:gridCol w:w="3191"/>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12"/>
        <w:ind w:left="412"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left="412"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4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409" w:type="dxa"/>
        <w:tblLayout w:type="fixed"/>
        <w:tblCellMar>
          <w:top w:w="0" w:type="dxa"/>
          <w:left w:w="0" w:type="dxa"/>
          <w:bottom w:w="0" w:type="dxa"/>
          <w:right w:w="0" w:type="dxa"/>
        </w:tblCellMar>
        <w:tblLook w:val="01E0"/>
      </w:tblPr>
      <w:tblGrid>
        <w:gridCol w:w="3188"/>
        <w:gridCol w:w="3191"/>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3"/>
        <w:ind w:left="412"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left="412"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41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409" w:type="dxa"/>
        <w:tblLayout w:type="fixed"/>
        <w:tblCellMar>
          <w:top w:w="0" w:type="dxa"/>
          <w:left w:w="0" w:type="dxa"/>
          <w:bottom w:w="0" w:type="dxa"/>
          <w:right w:w="0" w:type="dxa"/>
        </w:tblCellMar>
        <w:tblLook w:val="01E0"/>
      </w:tblPr>
      <w:tblGrid>
        <w:gridCol w:w="3188"/>
        <w:gridCol w:w="3191"/>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left="412"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left="412"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412"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4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left="412"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4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left="412"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4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left="412"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720" w:right="720"/>
        </w:sectPr>
      </w:pPr>
    </w:p>
    <w:p>
      <w:pPr>
        <w:pStyle w:val="Heading3"/>
        <w:spacing w:line="240" w:lineRule="auto" w:before="34"/>
        <w:ind w:left="412" w:right="0"/>
        <w:jc w:val="left"/>
        <w:rPr>
          <w:b w:val="0"/>
          <w:bCs w:val="0"/>
        </w:rPr>
      </w:pPr>
      <w:r>
        <w:rPr>
          <w:w w:val="95"/>
        </w:rPr>
        <w:t>（</w:t>
      </w:r>
      <w:r>
        <w:rPr>
          <w:rFonts w:ascii="Times New Roman" w:hAnsi="Times New Roman" w:cs="Times New Roman" w:eastAsia="Times New Roman" w:hint="default"/>
          <w:w w:val="95"/>
        </w:rPr>
        <w:t>1</w:t>
      </w:r>
      <w:r>
        <w:rPr>
          <w:w w:val="95"/>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pStyle w:val="BodyText"/>
        <w:spacing w:line="240" w:lineRule="auto"/>
        <w:ind w:left="412" w:right="0"/>
        <w:jc w:val="left"/>
      </w:pPr>
      <w:r>
        <w:rPr/>
        <w:t>单位：</w:t>
      </w:r>
      <w:r>
        <w:rPr>
          <w:spacing w:val="-2"/>
        </w:rPr>
        <w:t> </w:t>
      </w:r>
      <w:r>
        <w:rPr/>
        <w:t>元</w:t>
      </w:r>
    </w:p>
    <w:p>
      <w:pPr>
        <w:spacing w:after="0" w:line="240" w:lineRule="auto"/>
        <w:jc w:val="left"/>
        <w:sectPr>
          <w:type w:val="continuous"/>
          <w:pgSz w:w="11910" w:h="16840"/>
          <w:pgMar w:top="1060" w:bottom="1160" w:left="720" w:right="720"/>
          <w:cols w:num="2" w:equalWidth="0">
            <w:col w:w="2204" w:space="6626"/>
            <w:col w:w="1640"/>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268"/>
        <w:gridCol w:w="1594"/>
        <w:gridCol w:w="1594"/>
        <w:gridCol w:w="1594"/>
        <w:gridCol w:w="1594"/>
        <w:gridCol w:w="1594"/>
      </w:tblGrid>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39,046,199.29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7" w:right="0"/>
              <w:jc w:val="left"/>
              <w:rPr>
                <w:rFonts w:ascii="Times New Roman" w:hAnsi="Times New Roman" w:cs="Times New Roman" w:eastAsia="Times New Roman" w:hint="default"/>
                <w:sz w:val="18"/>
                <w:szCs w:val="18"/>
              </w:rPr>
            </w:pPr>
            <w:r>
              <w:rPr>
                <w:rFonts w:ascii="Times New Roman"/>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35,633,718.82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76,679,918.11</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80,044,861.82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80,044,861.82</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168,462.56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168,462.56</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79,826,080.32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79,826,080.32</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50,318.94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50,318.94</w:t>
            </w:r>
          </w:p>
        </w:tc>
      </w:tr>
      <w:tr>
        <w:trPr>
          <w:trHeight w:val="297"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39,046,199.29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293,743.16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39,339,942.45</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16,843.16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16,843.16</w:t>
            </w:r>
          </w:p>
        </w:tc>
      </w:tr>
      <w:tr>
        <w:trPr>
          <w:trHeight w:val="32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39,046,199.29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276,900.00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39,323,099.29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20" w:right="720"/>
        </w:sectPr>
      </w:pPr>
    </w:p>
    <w:p>
      <w:pPr>
        <w:spacing w:line="240" w:lineRule="auto" w:before="8"/>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2268"/>
        <w:gridCol w:w="1594"/>
        <w:gridCol w:w="1594"/>
        <w:gridCol w:w="1594"/>
        <w:gridCol w:w="1594"/>
        <w:gridCol w:w="1594"/>
      </w:tblGrid>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115,384,837.48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117,384,837.48</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6,634,466.87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7,278,816.59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13,913,283.46</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1,223,224.52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7,885,489.33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9,108,713.85</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1,223,224.52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7,885,489.33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9,108,713.85</w:t>
            </w:r>
          </w:p>
        </w:tc>
      </w:tr>
      <w:tr>
        <w:trPr>
          <w:trHeight w:val="297"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7,857,691.39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124,959.67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7,982,651.06</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11,418.16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11,418.16</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7,857,691.39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113,541.51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7,971,232.90</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15,039,346.25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15,039,346.25</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100,345,491.23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102,345,491.23</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32,411,732.42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28,354,902.23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62,766,634.65</w:t>
            </w:r>
          </w:p>
        </w:tc>
      </w:tr>
    </w:tbl>
    <w:p>
      <w:pPr>
        <w:pStyle w:val="BodyText"/>
        <w:spacing w:line="240" w:lineRule="auto" w:before="12"/>
        <w:ind w:left="552" w:right="0"/>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68.00%</w:t>
      </w:r>
      <w:r>
        <w:rPr/>
        <w:t>。</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8" w:footer="978" w:top="1100" w:bottom="1160" w:left="580" w:right="580"/>
        </w:sectPr>
      </w:pPr>
    </w:p>
    <w:p>
      <w:pPr>
        <w:pStyle w:val="Heading3"/>
        <w:spacing w:line="240" w:lineRule="auto" w:before="34"/>
        <w:ind w:left="552" w:right="0"/>
        <w:jc w:val="left"/>
        <w:rPr>
          <w:b w:val="0"/>
          <w:bCs w:val="0"/>
        </w:rPr>
      </w:pPr>
      <w:r>
        <w:rPr>
          <w:w w:val="95"/>
        </w:rPr>
        <w:t>（</w:t>
      </w:r>
      <w:r>
        <w:rPr>
          <w:rFonts w:ascii="Times New Roman" w:hAnsi="Times New Roman" w:cs="Times New Roman" w:eastAsia="Times New Roman" w:hint="default"/>
          <w:w w:val="95"/>
        </w:rPr>
        <w:t>2</w:t>
      </w:r>
      <w:r>
        <w:rPr>
          <w:w w:val="95"/>
        </w:rPr>
        <w:t>）未办妥产权证书的土地使用权情况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pStyle w:val="BodyText"/>
        <w:spacing w:line="240" w:lineRule="auto"/>
        <w:ind w:left="552" w:right="0"/>
        <w:jc w:val="left"/>
      </w:pPr>
      <w:r>
        <w:rPr/>
        <w:t>单位：</w:t>
      </w:r>
      <w:r>
        <w:rPr>
          <w:spacing w:val="-2"/>
        </w:rPr>
        <w:t> </w:t>
      </w:r>
      <w:r>
        <w:rPr/>
        <w:t>元</w:t>
      </w:r>
    </w:p>
    <w:p>
      <w:pPr>
        <w:spacing w:after="0" w:line="240" w:lineRule="auto"/>
        <w:jc w:val="left"/>
        <w:sectPr>
          <w:type w:val="continuous"/>
          <w:pgSz w:w="11910" w:h="16840"/>
          <w:pgMar w:top="1060" w:bottom="1160" w:left="580" w:right="580"/>
          <w:cols w:num="2" w:equalWidth="0">
            <w:col w:w="4242" w:space="4587"/>
            <w:col w:w="1921"/>
          </w:cols>
        </w:sectPr>
      </w:pPr>
    </w:p>
    <w:p>
      <w:pPr>
        <w:spacing w:line="240" w:lineRule="auto" w:before="13"/>
        <w:rPr>
          <w:rFonts w:ascii="宋体" w:hAnsi="宋体" w:cs="宋体" w:eastAsia="宋体" w:hint="default"/>
          <w:sz w:val="4"/>
          <w:szCs w:val="4"/>
        </w:rPr>
      </w:pPr>
    </w:p>
    <w:tbl>
      <w:tblPr>
        <w:tblW w:w="0" w:type="auto"/>
        <w:jc w:val="left"/>
        <w:tblInd w:w="54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11"/>
        <w:ind w:left="552" w:right="0"/>
        <w:jc w:val="left"/>
      </w:pPr>
      <w:r>
        <w:rPr/>
        <w:t>其他说明：</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580" w:right="580"/>
        </w:sectPr>
      </w:pPr>
    </w:p>
    <w:p>
      <w:pPr>
        <w:pStyle w:val="Heading3"/>
        <w:spacing w:line="240" w:lineRule="auto" w:before="34"/>
        <w:ind w:left="552" w:right="0"/>
        <w:jc w:val="left"/>
        <w:rPr>
          <w:b w:val="0"/>
          <w:bCs w:val="0"/>
        </w:rPr>
      </w:pPr>
      <w:r>
        <w:rPr>
          <w:rFonts w:ascii="Times New Roman" w:hAnsi="Times New Roman" w:cs="Times New Roman" w:eastAsia="Times New Roman" w:hint="default"/>
          <w:w w:val="95"/>
        </w:rPr>
        <w:t>26</w:t>
      </w:r>
      <w:r>
        <w:rPr>
          <w:w w:val="95"/>
        </w:rPr>
        <w:t>、开发支出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pStyle w:val="BodyText"/>
        <w:spacing w:line="240" w:lineRule="auto"/>
        <w:ind w:left="552" w:right="0"/>
        <w:jc w:val="left"/>
      </w:pPr>
      <w:r>
        <w:rPr/>
        <w:t>单位：</w:t>
      </w:r>
      <w:r>
        <w:rPr>
          <w:spacing w:val="-2"/>
        </w:rPr>
        <w:t> </w:t>
      </w:r>
      <w:r>
        <w:rPr/>
        <w:t>元</w:t>
      </w:r>
    </w:p>
    <w:p>
      <w:pPr>
        <w:spacing w:after="0" w:line="240" w:lineRule="auto"/>
        <w:jc w:val="left"/>
        <w:sectPr>
          <w:type w:val="continuous"/>
          <w:pgSz w:w="11910" w:h="16840"/>
          <w:pgMar w:top="1060" w:bottom="1160" w:left="580" w:right="580"/>
          <w:cols w:num="2" w:equalWidth="0">
            <w:col w:w="1816" w:space="7014"/>
            <w:col w:w="1920"/>
          </w:cols>
        </w:sectPr>
      </w:pP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127"/>
        <w:gridCol w:w="1171"/>
        <w:gridCol w:w="1275"/>
        <w:gridCol w:w="567"/>
        <w:gridCol w:w="709"/>
        <w:gridCol w:w="1418"/>
        <w:gridCol w:w="1417"/>
        <w:gridCol w:w="709"/>
        <w:gridCol w:w="1134"/>
      </w:tblGrid>
      <w:tr>
        <w:trPr>
          <w:trHeight w:val="324"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2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代记账服务平台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2,135,987.00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1,206,472.14</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3,342,459.14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1,423,649.71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525,039.29</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1,948,689.00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财税一体化软件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980.00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-980.00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华财征信项目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一站通</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272,985.24</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272,985.24</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财务管家独立平台项目</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115,148.00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115,148.00</w:t>
            </w: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智慧企业孵化云平台小计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41,236,912.45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59,464,388.58</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64,198,136.88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4,482,807.60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32,020,356.55</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23" w:right="54"/>
              <w:jc w:val="left"/>
              <w:rPr>
                <w:rFonts w:ascii="宋体" w:hAnsi="宋体" w:cs="宋体" w:eastAsia="宋体" w:hint="default"/>
                <w:sz w:val="18"/>
                <w:szCs w:val="18"/>
              </w:rPr>
            </w:pP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大数 据精准营销平台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4,576,795.30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10,336,795.30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50,557,679.16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66,159,698.55</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79,826,080.32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4,482,807.60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32,408,489.79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580" w:right="580"/>
        </w:sectPr>
      </w:pPr>
    </w:p>
    <w:p>
      <w:pPr>
        <w:spacing w:line="240" w:lineRule="auto" w:before="12"/>
        <w:rPr>
          <w:rFonts w:ascii="宋体" w:hAnsi="宋体" w:cs="宋体" w:eastAsia="宋体" w:hint="default"/>
          <w:sz w:val="18"/>
          <w:szCs w:val="18"/>
        </w:rPr>
      </w:pPr>
    </w:p>
    <w:p>
      <w:pPr>
        <w:pStyle w:val="BodyText"/>
        <w:spacing w:line="278" w:lineRule="auto" w:before="44"/>
        <w:ind w:right="694"/>
        <w:jc w:val="left"/>
      </w:pPr>
      <w:r>
        <w:rPr/>
        <w:t>其他说明 公司通过技术可行性及经济可行性研究，形成项目立项后，且预计带来稳定的经济利用流入或使用，进入开发阶段。</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25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843"/>
        <w:gridCol w:w="1367"/>
        <w:gridCol w:w="1367"/>
        <w:gridCol w:w="1093"/>
        <w:gridCol w:w="1367"/>
        <w:gridCol w:w="1367"/>
        <w:gridCol w:w="1367"/>
      </w:tblGrid>
      <w:tr>
        <w:trPr>
          <w:trHeight w:val="324"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75" w:right="104"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0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合并减少</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22" w:right="188"/>
              <w:jc w:val="left"/>
              <w:rPr>
                <w:rFonts w:ascii="宋体" w:hAnsi="宋体" w:cs="宋体" w:eastAsia="宋体" w:hint="default"/>
                <w:sz w:val="18"/>
                <w:szCs w:val="18"/>
              </w:rPr>
            </w:pPr>
            <w:r>
              <w:rPr>
                <w:rFonts w:ascii="宋体" w:hAnsi="宋体" w:cs="宋体" w:eastAsia="宋体" w:hint="default"/>
                <w:sz w:val="18"/>
                <w:szCs w:val="18"/>
              </w:rPr>
              <w:t>柳州宏升胶原蛋白肠 衣有限公司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22" w:right="68"/>
              <w:jc w:val="left"/>
              <w:rPr>
                <w:rFonts w:ascii="宋体" w:hAnsi="宋体" w:cs="宋体" w:eastAsia="宋体" w:hint="default"/>
                <w:sz w:val="18"/>
                <w:szCs w:val="18"/>
              </w:rPr>
            </w:pPr>
            <w:r>
              <w:rPr>
                <w:rFonts w:ascii="宋体" w:hAnsi="宋体" w:cs="宋体" w:eastAsia="宋体" w:hint="default"/>
                <w:sz w:val="18"/>
                <w:szCs w:val="18"/>
              </w:rPr>
              <w:t>神州易桥</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财税科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896,902,084.81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896,902,084.81</w:t>
            </w: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无锡易真企业管理有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22,771,074.80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22,771,074.80</w:t>
            </w: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22" w:right="188"/>
              <w:jc w:val="left"/>
              <w:rPr>
                <w:rFonts w:ascii="宋体" w:hAnsi="宋体" w:cs="宋体" w:eastAsia="宋体" w:hint="default"/>
                <w:sz w:val="18"/>
                <w:szCs w:val="18"/>
              </w:rPr>
            </w:pPr>
            <w:r>
              <w:rPr>
                <w:rFonts w:ascii="宋体" w:hAnsi="宋体" w:cs="宋体" w:eastAsia="宋体" w:hint="default"/>
                <w:sz w:val="18"/>
                <w:szCs w:val="18"/>
              </w:rPr>
              <w:t>无锡易广企业管理有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21,103,741.25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21,103,741.25</w:t>
            </w: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6"/>
              <w:ind w:left="22" w:right="188"/>
              <w:jc w:val="left"/>
              <w:rPr>
                <w:rFonts w:ascii="宋体" w:hAnsi="宋体" w:cs="宋体" w:eastAsia="宋体" w:hint="default"/>
                <w:sz w:val="18"/>
                <w:szCs w:val="18"/>
              </w:rPr>
            </w:pPr>
            <w:r>
              <w:rPr>
                <w:rFonts w:ascii="宋体" w:hAnsi="宋体" w:cs="宋体" w:eastAsia="宋体" w:hint="default"/>
                <w:sz w:val="18"/>
                <w:szCs w:val="18"/>
              </w:rPr>
              <w:t>宁波神州开元会计服 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252,462,141.81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252,462,141.81</w:t>
            </w:r>
          </w:p>
        </w:tc>
      </w:tr>
      <w:tr>
        <w:trPr>
          <w:trHeight w:val="556" w:hRule="exact"/>
        </w:trPr>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6"/>
              <w:ind w:left="22" w:right="188"/>
              <w:jc w:val="left"/>
              <w:rPr>
                <w:rFonts w:ascii="宋体" w:hAnsi="宋体" w:cs="宋体" w:eastAsia="宋体" w:hint="default"/>
                <w:sz w:val="18"/>
                <w:szCs w:val="18"/>
              </w:rPr>
            </w:pPr>
            <w:r>
              <w:rPr>
                <w:rFonts w:ascii="宋体" w:hAnsi="宋体" w:cs="宋体" w:eastAsia="宋体" w:hint="default"/>
                <w:sz w:val="18"/>
                <w:szCs w:val="18"/>
              </w:rPr>
              <w:t>霍尔果斯易桥快马企 业管理咨询有限公司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459,054,134.43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459,054,134.43</w:t>
            </w: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974,548,921.03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711,516,276.24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8" w:right="0"/>
              <w:jc w:val="left"/>
              <w:rPr>
                <w:rFonts w:ascii="Times New Roman" w:hAnsi="Times New Roman" w:cs="Times New Roman" w:eastAsia="Times New Roman" w:hint="default"/>
                <w:sz w:val="18"/>
                <w:szCs w:val="18"/>
              </w:rPr>
            </w:pPr>
            <w:r>
              <w:rPr>
                <w:rFonts w:ascii="Times New Roman"/>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1,652,293,177.10</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25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2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3"/>
              <w:ind w:left="318" w:right="0"/>
              <w:jc w:val="left"/>
              <w:rPr>
                <w:rFonts w:ascii="宋体" w:hAnsi="宋体" w:cs="宋体" w:eastAsia="宋体" w:hint="default"/>
                <w:sz w:val="18"/>
                <w:szCs w:val="18"/>
              </w:rPr>
            </w:pPr>
            <w:r>
              <w:rPr>
                <w:rFonts w:ascii="宋体" w:hAnsi="宋体" w:cs="宋体" w:eastAsia="宋体" w:hint="default"/>
                <w:sz w:val="18"/>
                <w:szCs w:val="18"/>
              </w:rPr>
              <w:t>合并减少</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6"/>
              <w:ind w:left="22" w:right="72"/>
              <w:jc w:val="left"/>
              <w:rPr>
                <w:rFonts w:ascii="宋体" w:hAnsi="宋体" w:cs="宋体" w:eastAsia="宋体" w:hint="default"/>
                <w:sz w:val="18"/>
                <w:szCs w:val="18"/>
              </w:rPr>
            </w:pPr>
            <w:r>
              <w:rPr>
                <w:rFonts w:ascii="宋体" w:hAnsi="宋体" w:cs="宋体" w:eastAsia="宋体" w:hint="default"/>
                <w:sz w:val="18"/>
                <w:szCs w:val="18"/>
              </w:rPr>
              <w:t>柳州宏升胶原蛋 白肠衣有限公司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33,772,020.17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2"/>
        <w:ind w:right="0"/>
        <w:jc w:val="left"/>
      </w:pPr>
      <w:r>
        <w:rPr/>
        <w:t>说明商誉减值测试过程、参数及商誉减值损失的确认方法：</w:t>
      </w:r>
    </w:p>
    <w:p>
      <w:pPr>
        <w:pStyle w:val="BodyText"/>
        <w:spacing w:line="225" w:lineRule="auto" w:before="48"/>
        <w:ind w:right="250" w:firstLine="480"/>
        <w:jc w:val="both"/>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日，依据【沪众评报报</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130</w:t>
      </w:r>
      <w:r>
        <w:rPr/>
        <w:t>号】评估报告，无锡易真企业管理有限公司评估后的股东全 部权益的可回收价值为</w:t>
      </w:r>
      <w:r>
        <w:rPr>
          <w:rFonts w:ascii="Times New Roman" w:hAnsi="Times New Roman" w:cs="Times New Roman" w:eastAsia="Times New Roman" w:hint="default"/>
        </w:rPr>
        <w:t>2,864.00</w:t>
      </w:r>
      <w:r>
        <w:rPr/>
        <w:t>万元；账面可辨认净资产以购买日公允价值为基础持续计算的金额为</w:t>
      </w:r>
      <w:r>
        <w:rPr>
          <w:rFonts w:ascii="Times New Roman" w:hAnsi="Times New Roman" w:cs="Times New Roman" w:eastAsia="Times New Roman" w:hint="default"/>
        </w:rPr>
        <w:t>425.66</w:t>
      </w:r>
      <w:r>
        <w:rPr/>
        <w:t>万元；商誉账面</w:t>
      </w:r>
      <w:r>
        <w:rPr>
          <w:spacing w:val="-53"/>
        </w:rPr>
        <w:t> </w:t>
      </w:r>
      <w:r>
        <w:rPr>
          <w:spacing w:val="-53"/>
        </w:rPr>
      </w:r>
      <w:r>
        <w:rPr/>
        <w:t>余额为</w:t>
      </w:r>
      <w:r>
        <w:rPr>
          <w:rFonts w:ascii="Times New Roman" w:hAnsi="Times New Roman" w:cs="Times New Roman" w:eastAsia="Times New Roman" w:hint="default"/>
        </w:rPr>
        <w:t>2,277.11</w:t>
      </w:r>
      <w:r>
        <w:rPr/>
        <w:t>万元；其评估后的可收回价值大于账面可辨认的净资产公允价值和商誉之和，故本期未计提减值。</w:t>
      </w:r>
    </w:p>
    <w:p>
      <w:pPr>
        <w:pStyle w:val="BodyText"/>
        <w:spacing w:line="232" w:lineRule="exact" w:before="13"/>
        <w:ind w:right="250" w:firstLine="480"/>
        <w:jc w:val="both"/>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日，依据【沪众评报报</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129</w:t>
      </w:r>
      <w:r>
        <w:rPr/>
        <w:t>号】评估报告，无锡易广企业管理有限公司评估后的股东全 部权益的可回收价值为</w:t>
      </w:r>
      <w:r>
        <w:rPr>
          <w:rFonts w:ascii="Times New Roman" w:hAnsi="Times New Roman" w:cs="Times New Roman" w:eastAsia="Times New Roman" w:hint="default"/>
        </w:rPr>
        <w:t>2,722.00</w:t>
      </w:r>
      <w:r>
        <w:rPr/>
        <w:t>万元；账面可辨认净资产以购买日公允价值为基础持续计算的金额为</w:t>
      </w:r>
      <w:r>
        <w:rPr>
          <w:rFonts w:ascii="Times New Roman" w:hAnsi="Times New Roman" w:cs="Times New Roman" w:eastAsia="Times New Roman" w:hint="default"/>
        </w:rPr>
        <w:t>378.81</w:t>
      </w:r>
      <w:r>
        <w:rPr/>
        <w:t>万元；商誉账面</w:t>
      </w:r>
      <w:r>
        <w:rPr>
          <w:spacing w:val="-53"/>
        </w:rPr>
        <w:t> </w:t>
      </w:r>
      <w:r>
        <w:rPr>
          <w:spacing w:val="-53"/>
        </w:rPr>
      </w:r>
      <w:r>
        <w:rPr/>
        <w:t>余额为</w:t>
      </w:r>
      <w:r>
        <w:rPr>
          <w:rFonts w:ascii="Times New Roman" w:hAnsi="Times New Roman" w:cs="Times New Roman" w:eastAsia="Times New Roman" w:hint="default"/>
        </w:rPr>
        <w:t>2,110.37</w:t>
      </w:r>
      <w:r>
        <w:rPr/>
        <w:t>万元；其评估后的可收回价值大于账面可辨认的净资产公允价值和商誉之和，故本期未计提减值。</w:t>
      </w:r>
    </w:p>
    <w:p>
      <w:pPr>
        <w:pStyle w:val="BodyText"/>
        <w:spacing w:line="225" w:lineRule="auto"/>
        <w:ind w:right="250" w:firstLine="480"/>
        <w:jc w:val="both"/>
      </w:pP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日，依据【沪众评报报</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128</w:t>
      </w:r>
      <w:r>
        <w:rPr/>
        <w:t>号】评估报告，宁波神州开元会计服务有限公司评估后的股 </w:t>
      </w:r>
      <w:r>
        <w:rPr>
          <w:spacing w:val="-2"/>
        </w:rPr>
        <w:t>东全部权益的可回收价值为</w:t>
      </w:r>
      <w:r>
        <w:rPr>
          <w:rFonts w:ascii="Times New Roman" w:hAnsi="Times New Roman" w:cs="Times New Roman" w:eastAsia="Times New Roman" w:hint="default"/>
          <w:spacing w:val="-2"/>
        </w:rPr>
        <w:t>47,700.00</w:t>
      </w:r>
      <w:r>
        <w:rPr>
          <w:spacing w:val="-2"/>
        </w:rPr>
        <w:t>万元；账面可辨认净资产以购买日公允价值为基础持续计算的按持股比例应享有的金额</w:t>
      </w:r>
      <w:r>
        <w:rPr>
          <w:spacing w:val="-58"/>
        </w:rPr>
        <w:t> </w:t>
      </w:r>
      <w:r>
        <w:rPr>
          <w:spacing w:val="-58"/>
        </w:rPr>
      </w:r>
      <w:r>
        <w:rPr>
          <w:rFonts w:ascii="Times New Roman" w:hAnsi="Times New Roman" w:cs="Times New Roman" w:eastAsia="Times New Roman" w:hint="default"/>
        </w:rPr>
        <w:t>3042.78</w:t>
      </w:r>
      <w:r>
        <w:rPr/>
        <w:t>万元；商誉账面余额为</w:t>
      </w:r>
      <w:r>
        <w:rPr>
          <w:rFonts w:ascii="Times New Roman" w:hAnsi="Times New Roman" w:cs="Times New Roman" w:eastAsia="Times New Roman" w:hint="default"/>
        </w:rPr>
        <w:t>25,246.21</w:t>
      </w:r>
      <w:r>
        <w:rPr/>
        <w:t>万元；其评估后的可收回价值大于账面可辨认的净资产公允价值和商誉之和，故本</w:t>
      </w:r>
      <w:r>
        <w:rPr>
          <w:spacing w:val="-52"/>
        </w:rPr>
        <w:t> </w:t>
      </w:r>
      <w:r>
        <w:rPr>
          <w:spacing w:val="-52"/>
        </w:rPr>
      </w:r>
      <w:r>
        <w:rPr/>
        <w:t>期未计提减值。</w:t>
      </w:r>
    </w:p>
    <w:p>
      <w:pPr>
        <w:pStyle w:val="BodyText"/>
        <w:spacing w:line="225" w:lineRule="auto" w:before="11"/>
        <w:ind w:right="245" w:firstLine="480"/>
        <w:jc w:val="both"/>
      </w:pPr>
      <w:r>
        <w:rPr>
          <w:rFonts w:ascii="Times New Roman" w:hAnsi="Times New Roman" w:cs="Times New Roman" w:eastAsia="Times New Roman" w:hint="default"/>
          <w:spacing w:val="-1"/>
        </w:rPr>
        <w:t>4</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日，依据【沪众评报报</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0141</w:t>
      </w:r>
      <w:r>
        <w:rPr>
          <w:spacing w:val="-1"/>
        </w:rPr>
        <w:t>号】评估报告，霍尔果斯易桥快马企业管理咨询有限公司评</w:t>
      </w:r>
      <w:r>
        <w:rPr/>
        <w:t> 估后的股东全部权益的可回收价值为</w:t>
      </w:r>
      <w:r>
        <w:rPr>
          <w:rFonts w:ascii="Times New Roman" w:hAnsi="Times New Roman" w:cs="Times New Roman" w:eastAsia="Times New Roman" w:hint="default"/>
        </w:rPr>
        <w:t>50,573.00</w:t>
      </w:r>
      <w:r>
        <w:rPr/>
        <w:t>万元；账面可辨认净资产以购买日公允价值为基础持续计算的金额为</w:t>
      </w:r>
      <w:r>
        <w:rPr>
          <w:rFonts w:ascii="Times New Roman" w:hAnsi="Times New Roman" w:cs="Times New Roman" w:eastAsia="Times New Roman" w:hint="default"/>
        </w:rPr>
        <w:t>2,479.65 </w:t>
      </w:r>
      <w:r>
        <w:rPr>
          <w:spacing w:val="-2"/>
        </w:rPr>
        <w:t>万元；商誉账面余额为</w:t>
      </w:r>
      <w:r>
        <w:rPr>
          <w:rFonts w:ascii="Times New Roman" w:hAnsi="Times New Roman" w:cs="Times New Roman" w:eastAsia="Times New Roman" w:hint="default"/>
          <w:spacing w:val="-2"/>
        </w:rPr>
        <w:t>45,905.41</w:t>
      </w:r>
      <w:r>
        <w:rPr>
          <w:spacing w:val="-2"/>
        </w:rPr>
        <w:t>万元；其评估后的可收回价值大于账面可辨认的净资产公允价值和商誉之和，故本期未计提</w:t>
      </w:r>
      <w:r>
        <w:rPr>
          <w:spacing w:val="-57"/>
        </w:rPr>
        <w:t> </w:t>
      </w:r>
      <w:r>
        <w:rPr>
          <w:spacing w:val="-57"/>
        </w:rPr>
      </w:r>
      <w:r>
        <w:rPr/>
        <w:t>减值。</w:t>
      </w:r>
    </w:p>
    <w:p>
      <w:pPr>
        <w:pStyle w:val="BodyText"/>
        <w:spacing w:line="225" w:lineRule="auto" w:before="11"/>
        <w:ind w:right="250" w:firstLine="480"/>
        <w:jc w:val="both"/>
      </w:pP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日，依据【沪众评报报</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133</w:t>
      </w:r>
      <w:r>
        <w:rPr/>
        <w:t>号】评估报告，神州易桥（北京）财税科技有限公司评估后 的股东全部权益的可回收价值为</w:t>
      </w:r>
      <w:r>
        <w:rPr>
          <w:rFonts w:ascii="Times New Roman" w:hAnsi="Times New Roman" w:cs="Times New Roman" w:eastAsia="Times New Roman" w:hint="default"/>
        </w:rPr>
        <w:t>125,000.00</w:t>
      </w:r>
      <w:r>
        <w:rPr/>
        <w:t>万元；账面可辨认净资产以购买日公允价值为基础持续计算的金额为</w:t>
      </w:r>
      <w:r>
        <w:rPr>
          <w:rFonts w:ascii="Times New Roman" w:hAnsi="Times New Roman" w:cs="Times New Roman" w:eastAsia="Times New Roman" w:hint="default"/>
        </w:rPr>
        <w:t>29,744.65</w:t>
      </w:r>
      <w:r>
        <w:rPr/>
        <w:t>万 </w:t>
      </w:r>
      <w:r>
        <w:rPr>
          <w:spacing w:val="-2"/>
        </w:rPr>
        <w:t>元；商誉账面余额为</w:t>
      </w:r>
      <w:r>
        <w:rPr>
          <w:rFonts w:ascii="Times New Roman" w:hAnsi="Times New Roman" w:cs="Times New Roman" w:eastAsia="Times New Roman" w:hint="default"/>
          <w:spacing w:val="-2"/>
        </w:rPr>
        <w:t>89,690.21</w:t>
      </w:r>
      <w:r>
        <w:rPr>
          <w:spacing w:val="-2"/>
        </w:rPr>
        <w:t>万元；其评估后的可收回价值大于账面可辨认的净资产公允价值和商誉之和，故本期未计提减</w:t>
      </w:r>
      <w:r>
        <w:rPr>
          <w:spacing w:val="-57"/>
        </w:rPr>
        <w:t> </w:t>
      </w:r>
      <w:r>
        <w:rPr>
          <w:spacing w:val="-57"/>
        </w:rPr>
      </w:r>
      <w:r>
        <w:rPr/>
        <w:t>值。</w:t>
      </w:r>
    </w:p>
    <w:p>
      <w:pPr>
        <w:spacing w:after="0" w:line="225" w:lineRule="auto"/>
        <w:jc w:val="both"/>
        <w:sectPr>
          <w:pgSz w:w="11910" w:h="16840"/>
          <w:pgMar w:header="878" w:footer="978" w:top="1100" w:bottom="1160" w:left="1020" w:right="880"/>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6,048,584.41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3,404,670.30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4,024,703.27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5,428,071.44</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平台运维费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152,777.75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33,861.10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118,916.65</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163,333.38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256,666.62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6,048,584.41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3,977,448.05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4,221,897.75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5,803,654.71</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6,994,322.98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1,341,285.81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4,590,508.87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681,078.12</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34,846,400.00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8,711,600.00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6,994,322.98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1,341,285.81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39,436,908.87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9,392,678.12</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5,328,782.13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799,317.32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7,158,818.85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1,073,822.83</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9,975,698.52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2,493,924.63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158,125,472.71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39,531,368.18</w:t>
            </w:r>
          </w:p>
        </w:tc>
      </w:tr>
      <w:tr>
        <w:trPr>
          <w:trHeight w:val="79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7"/>
              <w:jc w:val="both"/>
              <w:rPr>
                <w:rFonts w:ascii="宋体" w:hAnsi="宋体" w:cs="宋体" w:eastAsia="宋体" w:hint="default"/>
                <w:sz w:val="18"/>
                <w:szCs w:val="18"/>
              </w:rPr>
            </w:pPr>
            <w:r>
              <w:rPr>
                <w:rFonts w:ascii="宋体" w:hAnsi="宋体" w:cs="宋体" w:eastAsia="宋体" w:hint="default"/>
                <w:sz w:val="18"/>
                <w:szCs w:val="18"/>
              </w:rPr>
              <w:t>确认联营企业税前利润 投资收益形成的递延税 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12,400,919.87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1,860,137.98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27,705,400.52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5,153,379.93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165,284,291.56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40,605,191.01</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1,341,285.81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9,392,678.12</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5,153,379.93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40,605,191.01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15,096,505.84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67,834,533.80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272,149,887.80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246,876,405.28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287,246,393.64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314,710,939.08</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3,242,058.56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632,056.64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16,867,127.31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7,335,915.61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52,869,069.30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33,703,495.36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98,680,891.64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40,257,074.45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75,217,258.47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190,221,345.74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272,149,887.80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246,876,405.28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未实现的售后租回损益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411,225.81</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411,225.81</w:t>
            </w:r>
          </w:p>
        </w:tc>
      </w:tr>
    </w:tbl>
    <w:p>
      <w:pPr>
        <w:pStyle w:val="BodyText"/>
        <w:spacing w:line="240" w:lineRule="auto" w:before="10"/>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right="0"/>
        <w:jc w:val="left"/>
      </w:pPr>
      <w:r>
        <w:rPr/>
        <w:t>短期借款分类的说明：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12"/>
        <w:ind w:right="0"/>
        <w:jc w:val="left"/>
      </w:pPr>
      <w:r>
        <w:rPr/>
        <w:t>其他说明：</w:t>
      </w:r>
    </w:p>
    <w:p>
      <w:pPr>
        <w:spacing w:after="0" w:line="240" w:lineRule="auto"/>
        <w:jc w:val="left"/>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2"/>
        <w:ind w:right="0"/>
        <w:jc w:val="left"/>
      </w:pPr>
      <w:r>
        <w:rPr/>
        <w:t>本期末已到期未支付的应付票据总额为元。</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56,127,905.09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59,360,597.80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2,028,812.77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30,946,096.05</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58,156,717.86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90,306,693.85</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2"/>
              <w:jc w:val="left"/>
              <w:rPr>
                <w:rFonts w:ascii="宋体" w:hAnsi="宋体" w:cs="宋体" w:eastAsia="宋体" w:hint="default"/>
                <w:sz w:val="18"/>
                <w:szCs w:val="18"/>
              </w:rPr>
            </w:pPr>
            <w:r>
              <w:rPr>
                <w:rFonts w:ascii="宋体" w:hAnsi="宋体" w:cs="宋体" w:eastAsia="宋体" w:hint="default"/>
                <w:sz w:val="18"/>
                <w:szCs w:val="18"/>
              </w:rPr>
              <w:t>乌鲁木齐海达阳明股权投资管理有限公 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1,746,000.99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1,746,000.99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86,880,546.79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38,534,164.63</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1,460,711.94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130,992.20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88,341,258.73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38,665,156.83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随机代办业务尚未完结</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综合服务尚未办理完结</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综合服务尚未办理完结</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11,000.00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综合服务尚未办理完结</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116,000.00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38"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5pt;mso-position-horizontal-relative:char;mso-position-vertical-relative:line" coordorigin="0,0" coordsize="9588,339">
            <v:group style="position:absolute;left:13;top:13;width:4774;height:318" coordorigin="13,13" coordsize="4774,318">
              <v:shape style="position:absolute;left:13;top:13;width:4774;height:318" coordorigin="13,13" coordsize="4774,318" path="m13,13l4787,13,4787,331,13,331,13,13xe" filled="true" fillcolor="#d2d2d2" stroked="false">
                <v:path arrowok="t"/>
                <v:fill type="solid"/>
              </v:shape>
            </v:group>
            <v:group style="position:absolute;left:4792;top:13;width:4784;height:318" coordorigin="4792,13" coordsize="4784,318">
              <v:shape style="position:absolute;left:4792;top:13;width:4784;height:318" coordorigin="4792,13" coordsize="4784,318" path="m4792,13l9576,13,9576,331,4792,331,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4;width:9578;height:2" coordorigin="5,334" coordsize="9578,2">
              <v:shape style="position:absolute;left:5;top:334;width:9578;height:2" coordorigin="5,334" coordsize="9578,0" path="m5,334l9582,334e" filled="false" stroked="true" strokeweight=".48pt" strokecolor="#000000">
                <v:path arrowok="t"/>
              </v:shape>
            </v:group>
            <v:group style="position:absolute;left:10;top:5;width:2;height:324" coordorigin="10,5" coordsize="2,324">
              <v:shape style="position:absolute;left:10;top:5;width:2;height:324" coordorigin="10,5" coordsize="0,324" path="m10,5l10,329e" filled="false" stroked="true" strokeweight=".48pt" strokecolor="#000000">
                <v:path arrowok="t"/>
              </v:shape>
            </v:group>
            <v:group style="position:absolute;left:4789;top:5;width:2;height:324" coordorigin="4789,5" coordsize="2,324">
              <v:shape style="position:absolute;left:4789;top:5;width:2;height:324" coordorigin="4789,5" coordsize="0,324" path="m4789,5l4789,329e" filled="false" stroked="true" strokeweight=".48pt" strokecolor="#000000">
                <v:path arrowok="t"/>
              </v:shape>
            </v:group>
            <v:group style="position:absolute;left:9578;top:5;width:2;height:324" coordorigin="9578,5" coordsize="2,324">
              <v:shape style="position:absolute;left:9578;top:5;width:2;height:324" coordorigin="9578,5" coordsize="0,324" path="m9578,5l9578,329e" filled="false" stroked="true" strokeweight=".48pt" strokecolor="#000000">
                <v:path arrowok="t"/>
              </v:shape>
              <v:shape style="position:absolute;left:2219;top: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9,396,902.52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174,510,993.41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171,598,961.96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12,308,933.97</w:t>
            </w:r>
          </w:p>
        </w:tc>
      </w:tr>
      <w:tr>
        <w:trPr>
          <w:trHeight w:val="55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14,762,383.24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14,838,088.93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656,347.31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5,606,144.02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5,606,144.02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10,128,955.52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194,879,520.67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192,043,194.91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12,965,281.28</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7,050,929.17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145,063,407.47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139,881,440.65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12,232,895.99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12,061,732.45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12,058,072.45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3,660.00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67,612.20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7,987,702.13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8,009,833.74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45,480.59</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54,732.18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7,045,491.43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7,064,444.03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35,779.58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8,064.92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483,318.05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484,690.97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6,692.00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4,815.10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458,892.65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460,698.74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3,009.01</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-7,161.75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6,206,401.44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6,199,759.10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-519.41</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2,285,522.90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3,191,749.92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5,449,856.02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27,416.80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9,396,902.52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174,510,993.41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171,598,961.96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12,308,933.97</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78" w:header="878" w:top="1100" w:bottom="1160" w:left="1020" w:right="1020"/>
          <w:pgNumType w:start="12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135,035.59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14,242,330.97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14,310,499.99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66,866.57</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597,017.41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520,052.27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527,588.94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589,480.74</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732,053.00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14,762,383.24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14,838,088.93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656,347.31</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8,004,002.53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4,395,036.93</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5,190,144.03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3,098,827.03</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593,304.75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8,537,750.20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628,868.01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192,367.86</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96,561.94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391,021.83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146,031.42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323,198.69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37,025.35</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2,725.42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2,762.58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948,625.34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948,625.34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34,793.50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应交其他税费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7,827.47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1,965,405.91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18,047,302.51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17,497,609.62</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378,900.26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706,793.49</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378,900.26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706,793.49</w:t>
            </w:r>
          </w:p>
        </w:tc>
      </w:tr>
    </w:tbl>
    <w:p>
      <w:pPr>
        <w:pStyle w:val="BodyText"/>
        <w:spacing w:line="240" w:lineRule="auto" w:before="11"/>
        <w:ind w:right="0"/>
        <w:jc w:val="left"/>
      </w:pPr>
      <w:r>
        <w:rPr/>
        <w:t>重要的已逾期未支付的利息情况：</w:t>
      </w:r>
    </w:p>
    <w:p>
      <w:pPr>
        <w:pStyle w:val="BodyText"/>
        <w:spacing w:line="240" w:lineRule="auto" w:before="38"/>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13"/>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Technophar</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设备与服务公司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295,220.00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295,220.00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18"/>
          <w:szCs w:val="18"/>
        </w:rPr>
      </w:pPr>
    </w:p>
    <w:p>
      <w:pPr>
        <w:pStyle w:val="BodyText"/>
        <w:spacing w:line="240" w:lineRule="auto" w:before="44"/>
        <w:ind w:right="94"/>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247,577,805.18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6,697,512.52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1,042,430.00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35,918,582.52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248,620,235.18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42,616,095.04</w:t>
            </w:r>
          </w:p>
        </w:tc>
      </w:tr>
    </w:tbl>
    <w:p>
      <w:pPr>
        <w:spacing w:line="240" w:lineRule="auto" w:before="9"/>
        <w:rPr>
          <w:rFonts w:ascii="宋体" w:hAnsi="宋体" w:cs="宋体" w:eastAsia="宋体" w:hint="default"/>
          <w:sz w:val="17"/>
          <w:szCs w:val="17"/>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代缴社保金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186,410.28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收清欠费用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178,326.16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364,736.44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94"/>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1"/>
        <w:ind w:right="94"/>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13,117,289.83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13,117,289.83</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年以内到期的股权支付价款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169,788,754.75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1,540,000.00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182,906,044.58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14,657,289.83</w:t>
            </w:r>
          </w:p>
        </w:tc>
      </w:tr>
    </w:tbl>
    <w:p>
      <w:pPr>
        <w:pStyle w:val="BodyText"/>
        <w:spacing w:line="240" w:lineRule="auto" w:before="11"/>
        <w:ind w:right="94"/>
        <w:jc w:val="left"/>
      </w:pPr>
      <w:r>
        <w:rPr/>
        <w:t>其他说明：</w:t>
      </w:r>
    </w:p>
    <w:p>
      <w:pPr>
        <w:pStyle w:val="BodyText"/>
        <w:spacing w:line="234" w:lineRule="exact" w:before="38"/>
        <w:ind w:left="292" w:right="94"/>
        <w:jc w:val="left"/>
      </w:pPr>
      <w:r>
        <w:rPr/>
        <w:t>（1）本公司一年内到期的非流动负债为向西宁市财政局取得的国债转贷借款，划分为一年内到期的长期借款。</w:t>
      </w:r>
    </w:p>
    <w:p>
      <w:pPr>
        <w:pStyle w:val="BodyText"/>
        <w:spacing w:line="240" w:lineRule="auto"/>
        <w:ind w:right="184" w:firstLine="180"/>
        <w:jc w:val="left"/>
      </w:pPr>
      <w:r>
        <w:rPr/>
        <w:t>（2）根据与陈颖、陈勇、谢鹏签订的《股权转让协议》，约定广州网融信息技术有限公司2017年度审计报告出具并确认 2017年度承诺扣非归母净利润完成后，向上述股权转让人支付股权转让价款14,616,000.00元，故将上述股权支付价款共计</w:t>
      </w:r>
    </w:p>
    <w:p>
      <w:pPr>
        <w:pStyle w:val="BodyText"/>
        <w:spacing w:line="231" w:lineRule="exact"/>
        <w:ind w:right="94"/>
        <w:jc w:val="left"/>
      </w:pPr>
      <w:r>
        <w:rPr/>
        <w:t>14,616,000.00调整至一年内到期的非流动负债。</w:t>
      </w:r>
    </w:p>
    <w:p>
      <w:pPr>
        <w:pStyle w:val="BodyText"/>
        <w:spacing w:line="237" w:lineRule="auto"/>
        <w:ind w:right="94" w:firstLine="180"/>
        <w:jc w:val="left"/>
      </w:pPr>
      <w:r>
        <w:rPr/>
        <w:t>（3）根据与隆化县优创企业管理咨询中心（有限合伙）签订的《股权转让协议》，约定在2017年度宁波神州开元会计服 </w:t>
      </w:r>
      <w:r>
        <w:rPr>
          <w:spacing w:val="-2"/>
        </w:rPr>
        <w:t>务有限公司2017年度审计报告出具，并确认上述公司2017年度承诺扣非净利润完成后，支付股权转让价款29,250,000.00元，</w:t>
      </w:r>
      <w:r>
        <w:rPr>
          <w:spacing w:val="-51"/>
        </w:rPr>
        <w:t> </w:t>
      </w:r>
      <w:r>
        <w:rPr>
          <w:spacing w:val="-51"/>
        </w:rPr>
      </w:r>
      <w:r>
        <w:rPr>
          <w:spacing w:val="2"/>
        </w:rPr>
        <w:t>由于上述公司未能完成承诺的业绩，故应于2018年度支付的股权转让款为27,896,154.75元，故将上述股权支付价款共计</w:t>
      </w:r>
      <w:r>
        <w:rPr>
          <w:spacing w:val="-63"/>
        </w:rPr>
        <w:t> </w:t>
      </w:r>
      <w:r>
        <w:rPr>
          <w:spacing w:val="-63"/>
        </w:rPr>
      </w:r>
      <w:r>
        <w:rPr/>
        <w:t>27,896,154.75元调整至一年内到期的非流动负债。</w:t>
      </w:r>
    </w:p>
    <w:p>
      <w:pPr>
        <w:pStyle w:val="BodyText"/>
        <w:spacing w:line="232" w:lineRule="exact" w:before="22"/>
        <w:ind w:right="192" w:firstLine="180"/>
        <w:jc w:val="both"/>
      </w:pPr>
      <w:r>
        <w:rPr/>
        <w:t>（4）根据本公司之孙公司霍尔果斯易桥快马企业管理咨询有限公司与所属87家合资公司签订的《股权转让协议》，约定 </w:t>
      </w:r>
      <w:r>
        <w:rPr>
          <w:spacing w:val="-2"/>
        </w:rPr>
        <w:t>在2017年度上述公司完成承诺的扣非净利润后，在2018年度支付股权转让价款共计127,276,600.00元，故将上述股权支付价</w:t>
      </w:r>
      <w:r>
        <w:rPr>
          <w:spacing w:val="-53"/>
        </w:rPr>
        <w:t> </w:t>
      </w:r>
      <w:r>
        <w:rPr>
          <w:spacing w:val="-53"/>
        </w:rPr>
      </w:r>
      <w:r>
        <w:rPr/>
        <w:t>款共计127,276,600.00元调整至一年内到期的非流动负债。</w:t>
      </w:r>
    </w:p>
    <w:p>
      <w:pPr>
        <w:spacing w:after="0" w:line="232" w:lineRule="exact"/>
        <w:jc w:val="both"/>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2"/>
        <w:ind w:right="0"/>
        <w:jc w:val="left"/>
      </w:pPr>
      <w:r>
        <w:rPr/>
        <w:t>短期应付债券的增减变动：</w:t>
      </w:r>
    </w:p>
    <w:p>
      <w:pPr>
        <w:pStyle w:val="BodyText"/>
        <w:spacing w:line="240" w:lineRule="auto" w:before="35"/>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55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3"/>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1"/>
        <w:ind w:right="7574"/>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8"/>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1020" w:right="1020"/>
        </w:sectPr>
      </w:pPr>
    </w:p>
    <w:p>
      <w:pPr>
        <w:pStyle w:val="BodyText"/>
        <w:spacing w:line="278"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613" w:space="4216"/>
            <w:col w:w="1041"/>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32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0"/>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78" w:lineRule="auto" w:before="11"/>
        <w:ind w:right="6494"/>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after="0" w:line="240" w:lineRule="auto"/>
        <w:jc w:val="right"/>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0"/>
        <w:jc w:val="left"/>
      </w:pPr>
      <w:r>
        <w:rPr/>
        <w:t>设定受益计划义务现值：</w:t>
      </w:r>
    </w:p>
    <w:p>
      <w:pPr>
        <w:pStyle w:val="BodyText"/>
        <w:spacing w:line="240" w:lineRule="auto" w:before="38"/>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1"/>
        <w:ind w:right="0"/>
        <w:jc w:val="left"/>
      </w:pPr>
      <w:r>
        <w:rPr/>
        <w:t>计划资产：</w:t>
      </w:r>
    </w:p>
    <w:p>
      <w:pPr>
        <w:pStyle w:val="BodyText"/>
        <w:spacing w:line="240" w:lineRule="auto" w:before="38"/>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2"/>
        <w:ind w:right="0"/>
        <w:jc w:val="left"/>
      </w:pPr>
      <w:r>
        <w:rPr/>
        <w:t>设定受益计划净负债（净资产）</w:t>
      </w:r>
    </w:p>
    <w:p>
      <w:pPr>
        <w:pStyle w:val="BodyText"/>
        <w:spacing w:line="240" w:lineRule="auto" w:before="38"/>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78" w:lineRule="auto" w:before="11"/>
        <w:ind w:right="253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9"/>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10"/>
        <w:ind w:right="0"/>
        <w:jc w:val="left"/>
      </w:pPr>
      <w:r>
        <w:rPr/>
        <w:t>其他说明，包括重要预计负债的相关重要假设、估计说明：</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8" w:footer="978" w:top="1100" w:bottom="1160" w:left="1020" w:right="1020"/>
        </w:sectPr>
      </w:pPr>
    </w:p>
    <w:p>
      <w:pPr>
        <w:pStyle w:val="Heading3"/>
        <w:spacing w:line="240" w:lineRule="auto" w:before="34"/>
        <w:ind w:right="0"/>
        <w:jc w:val="left"/>
        <w:rPr>
          <w:b w:val="0"/>
          <w:bCs w:val="0"/>
        </w:rPr>
      </w:pPr>
      <w:r>
        <w:rPr>
          <w:rFonts w:ascii="Times New Roman" w:hAnsi="Times New Roman" w:cs="Times New Roman" w:eastAsia="Times New Roman" w:hint="default"/>
          <w:w w:val="95"/>
        </w:rPr>
        <w:t>51</w:t>
      </w:r>
      <w:r>
        <w:rPr>
          <w:w w:val="95"/>
        </w:rPr>
        <w:t>、递延收益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1376" w:space="7454"/>
            <w:col w:w="1040"/>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1,785,717.36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1,785,717.36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1,785,717.36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1,785,717.36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0"/>
        <w:jc w:val="left"/>
      </w:pPr>
      <w:r>
        <w:rPr/>
        <w:t>涉及政府补助的项目：</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78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bl>
    <w:p>
      <w:pPr>
        <w:spacing w:after="0" w:line="232" w:lineRule="exact"/>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55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日 生产废水减</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1,785,717.36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1,785,717.36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1,785,717.36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Times New Roman" w:hAnsi="Times New Roman" w:cs="Times New Roman" w:eastAsia="Times New Roman" w:hint="default"/>
                <w:sz w:val="18"/>
                <w:szCs w:val="18"/>
              </w:rPr>
            </w:pPr>
            <w:r>
              <w:rPr>
                <w:rFonts w:ascii="Times New Roman"/>
                <w:sz w:val="18"/>
              </w:rPr>
              <w:t>1,785,717.36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股权价款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286,709,200.00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21,668,000.00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8,064,024.77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2,910,384.08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294,773,224.77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24,578,384.08</w:t>
            </w:r>
          </w:p>
        </w:tc>
      </w:tr>
    </w:tbl>
    <w:p>
      <w:pPr>
        <w:pStyle w:val="BodyText"/>
        <w:spacing w:line="256" w:lineRule="auto" w:before="12"/>
        <w:ind w:right="104"/>
        <w:jc w:val="left"/>
      </w:pPr>
      <w:r>
        <w:rPr/>
        <w:t>其他说明： </w:t>
      </w:r>
      <w:r>
        <w:rPr>
          <w:spacing w:val="-2"/>
        </w:rPr>
        <w:t>需支付的股权价款分别是：本公司之子公司神州易桥（北京）财税科技有限公司应付杨佩剑、聂静、隆化县优创企业管理咨</w:t>
      </w:r>
      <w:r>
        <w:rPr>
          <w:spacing w:val="-65"/>
        </w:rPr>
        <w:t> </w:t>
      </w:r>
      <w:r>
        <w:rPr>
          <w:spacing w:val="-65"/>
        </w:rPr>
      </w:r>
      <w:r>
        <w:rPr/>
        <w:t>询中心（有限合伙）股权价款87,250,000.00元；本公司之子公司企业管家（北京）科技服务有限公司应付霍尔果斯易桥快</w:t>
      </w:r>
    </w:p>
    <w:p>
      <w:pPr>
        <w:pStyle w:val="BodyText"/>
        <w:spacing w:line="220" w:lineRule="exact"/>
        <w:ind w:right="0"/>
        <w:jc w:val="left"/>
      </w:pPr>
      <w:r>
        <w:rPr/>
        <w:t>马管理咨询有限公司所属87家合资公司股权价款165,355,200.00元；本公司应付陈颖、陈勇、谢鹏股权价款34,104,000.00</w:t>
      </w:r>
    </w:p>
    <w:p>
      <w:pPr>
        <w:pStyle w:val="BodyText"/>
        <w:spacing w:line="232" w:lineRule="exact" w:before="24"/>
        <w:ind w:right="0"/>
        <w:jc w:val="left"/>
      </w:pPr>
      <w:r>
        <w:rPr/>
        <w:t>元。 </w:t>
      </w:r>
      <w:r>
        <w:rPr>
          <w:spacing w:val="-2"/>
        </w:rPr>
        <w:t>应付业绩奖励分别是：本公司之子公司神州易桥（北京）财税科技有限公司应付杨佩剑、聂静业绩奖励628,882.61元；本公</w:t>
      </w:r>
      <w:r>
        <w:rPr>
          <w:spacing w:val="-60"/>
        </w:rPr>
        <w:t> </w:t>
      </w:r>
      <w:r>
        <w:rPr>
          <w:spacing w:val="-60"/>
        </w:rPr>
      </w:r>
      <w:r>
        <w:rPr/>
        <w:t>司之子公司企业管家（北京）科技服务有限公司应付霍尔果斯易桥快马管理咨询有限公司所属69家子公司业绩奖励</w:t>
      </w:r>
      <w:r>
        <w:rPr/>
        <w:t> 7,398,756.35元；本公司应付陈颖、陈勇、谢鹏业绩奖励36,385.81元。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323"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sz w:val="18"/>
              </w:rPr>
              <w:t>765,799,353.00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Times New Roman" w:hAnsi="Times New Roman" w:cs="Times New Roman" w:eastAsia="Times New Roman" w:hint="default"/>
                <w:sz w:val="18"/>
                <w:szCs w:val="18"/>
              </w:rPr>
            </w:pPr>
            <w:r>
              <w:rPr>
                <w:rFonts w:ascii="Times New Roman"/>
                <w:sz w:val="18"/>
              </w:rPr>
              <w:t>765,799,353.00</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32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1"/>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78" w:lineRule="auto" w:before="11"/>
        <w:ind w:right="3614"/>
        <w:jc w:val="left"/>
      </w:pPr>
      <w:r>
        <w:rPr/>
        <w:t>其他权益工具本期增减变动情况、变动原因说明，以及相关会计处理的依据： 其他说明：</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8" w:footer="978" w:top="1100" w:bottom="1160" w:left="1020" w:right="1020"/>
        </w:sectPr>
      </w:pPr>
    </w:p>
    <w:p>
      <w:pPr>
        <w:pStyle w:val="Heading3"/>
        <w:spacing w:line="240" w:lineRule="auto" w:before="34"/>
        <w:ind w:right="0"/>
        <w:jc w:val="left"/>
        <w:rPr>
          <w:b w:val="0"/>
          <w:bCs w:val="0"/>
        </w:rPr>
      </w:pPr>
      <w:r>
        <w:rPr>
          <w:rFonts w:ascii="Times New Roman" w:hAnsi="Times New Roman" w:cs="Times New Roman" w:eastAsia="Times New Roman" w:hint="default"/>
          <w:w w:val="95"/>
        </w:rPr>
        <w:t>55</w:t>
      </w:r>
      <w:r>
        <w:rPr>
          <w:w w:val="95"/>
        </w:rPr>
        <w:t>、资本公积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1376" w:space="7454"/>
            <w:col w:w="1040"/>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2"/>
                <w:sz w:val="18"/>
              </w:rPr>
              <w:t>2,073,111,762.41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2"/>
                <w:sz w:val="18"/>
              </w:rPr>
              <w:t>2,073,111,762.41</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11,858,334.13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14,648,283.46</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2,084,970,096.54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2,087,760,045.87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18"/>
          <w:szCs w:val="18"/>
        </w:rPr>
      </w:pPr>
    </w:p>
    <w:p>
      <w:pPr>
        <w:pStyle w:val="BodyText"/>
        <w:spacing w:line="278" w:lineRule="auto" w:before="44"/>
        <w:ind w:left="592" w:right="0" w:hanging="480"/>
        <w:jc w:val="left"/>
      </w:pPr>
      <w:r>
        <w:rPr/>
        <w:t>其他说明，包括本期增减变动情况、变动原因说明： 备注：根据本公司与业绩承诺人彭聪及百达永信（北京）投资有限公司签订的《</w:t>
      </w:r>
      <w:r>
        <w:rPr>
          <w:rFonts w:ascii="Times New Roman" w:hAnsi="Times New Roman" w:cs="Times New Roman" w:eastAsia="Times New Roman" w:hint="default"/>
        </w:rPr>
        <w:t>&lt;</w:t>
      </w:r>
      <w:r>
        <w:rPr/>
        <w:t>青海明胶股份有限公司发行股份购</w:t>
      </w:r>
    </w:p>
    <w:p>
      <w:pPr>
        <w:pStyle w:val="BodyText"/>
        <w:spacing w:line="194" w:lineRule="exact"/>
        <w:ind w:right="0"/>
        <w:jc w:val="left"/>
      </w:pPr>
      <w:r>
        <w:rPr/>
        <w:t>买资产协议之盈利补偿协议书（二）</w:t>
      </w:r>
      <w:r>
        <w:rPr>
          <w:rFonts w:ascii="Times New Roman" w:hAnsi="Times New Roman" w:cs="Times New Roman" w:eastAsia="Times New Roman" w:hint="default"/>
        </w:rPr>
        <w:t>&gt;</w:t>
      </w:r>
      <w:r>
        <w:rPr/>
        <w:t>之补充协议》中约定：业绩承诺人彭聪及百达永信（北京）投资有限公司放弃对超额</w:t>
      </w:r>
    </w:p>
    <w:p>
      <w:pPr>
        <w:pStyle w:val="BodyText"/>
        <w:spacing w:line="242" w:lineRule="exact"/>
        <w:ind w:right="0"/>
        <w:jc w:val="left"/>
      </w:pPr>
      <w:r>
        <w:rPr/>
        <w:t>奖励的权利，本年度将上年度已计提尚未支付的差额奖励</w:t>
      </w:r>
      <w:r>
        <w:rPr>
          <w:rFonts w:ascii="Times New Roman" w:hAnsi="Times New Roman" w:cs="Times New Roman" w:eastAsia="Times New Roman" w:hint="default"/>
        </w:rPr>
        <w:t>278.99</w:t>
      </w:r>
      <w:r>
        <w:rPr/>
        <w:t>万元计入资本公积。</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3"/>
        <w:ind w:right="0"/>
        <w:jc w:val="left"/>
      </w:pPr>
      <w:r>
        <w:rPr/>
        <w:t>其他说明，包括本期增减变动情况、变动原因说明：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324"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0"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287" w:hRule="exact"/>
        </w:trPr>
        <w:tc>
          <w:tcPr>
            <w:tcW w:w="281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118,594,104.</w:t>
            </w:r>
          </w:p>
        </w:tc>
        <w:tc>
          <w:tcPr>
            <w:tcW w:w="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-28,166,080</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119,983,693.9</w:t>
            </w:r>
          </w:p>
        </w:tc>
        <w:tc>
          <w:tcPr>
            <w:tcW w:w="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-37,037,443</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3"/>
                <w:sz w:val="18"/>
              </w:rPr>
              <w:t>-111,112,33</w:t>
            </w:r>
          </w:p>
        </w:tc>
        <w:tc>
          <w:tcPr>
            <w:tcW w:w="935" w:type="dxa"/>
            <w:vMerge w:val="restart"/>
            <w:tcBorders>
              <w:top w:val="single" w:sz="4" w:space="0" w:color="000000"/>
              <w:left w:val="single" w:sz="4" w:space="0" w:color="000000"/>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7,481,773</w:t>
            </w:r>
          </w:p>
        </w:tc>
      </w:tr>
      <w:tr>
        <w:trPr>
          <w:trHeight w:val="270" w:hRule="exact"/>
        </w:trPr>
        <w:tc>
          <w:tcPr>
            <w:tcW w:w="28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69"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53</w:t>
            </w:r>
          </w:p>
        </w:tc>
        <w:tc>
          <w:tcPr>
            <w:tcW w:w="93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19"/>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.55</w:t>
            </w: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935" w:type="dxa"/>
            <w:vMerge/>
            <w:tcBorders>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.91</w:t>
            </w:r>
          </w:p>
        </w:tc>
      </w:tr>
      <w:tr>
        <w:trPr>
          <w:trHeight w:val="287" w:hRule="exact"/>
        </w:trPr>
        <w:tc>
          <w:tcPr>
            <w:tcW w:w="281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3"/>
              <w:ind w:left="56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w:t>
            </w:r>
          </w:p>
        </w:tc>
        <w:tc>
          <w:tcPr>
            <w:tcW w:w="10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118,594,104.</w:t>
            </w:r>
          </w:p>
        </w:tc>
        <w:tc>
          <w:tcPr>
            <w:tcW w:w="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-28,166,080</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119,983,693.9</w:t>
            </w:r>
          </w:p>
        </w:tc>
        <w:tc>
          <w:tcPr>
            <w:tcW w:w="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-37,037,443</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3"/>
                <w:sz w:val="18"/>
              </w:rPr>
              <w:t>-111,112,33</w:t>
            </w:r>
          </w:p>
        </w:tc>
        <w:tc>
          <w:tcPr>
            <w:tcW w:w="935" w:type="dxa"/>
            <w:vMerge w:val="restart"/>
            <w:tcBorders>
              <w:top w:val="single" w:sz="4" w:space="0" w:color="000000"/>
              <w:left w:val="single" w:sz="4" w:space="0" w:color="000000"/>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7,481,773</w:t>
            </w:r>
          </w:p>
        </w:tc>
      </w:tr>
      <w:tr>
        <w:trPr>
          <w:trHeight w:val="270" w:hRule="exact"/>
        </w:trPr>
        <w:tc>
          <w:tcPr>
            <w:tcW w:w="28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1069"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53</w:t>
            </w:r>
          </w:p>
        </w:tc>
        <w:tc>
          <w:tcPr>
            <w:tcW w:w="93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19"/>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.55</w:t>
            </w: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935" w:type="dxa"/>
            <w:vMerge/>
            <w:tcBorders>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.91</w:t>
            </w:r>
          </w:p>
        </w:tc>
      </w:tr>
      <w:tr>
        <w:trPr>
          <w:trHeight w:val="50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118,594,104.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-28,166,080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1"/>
              <w:jc w:val="right"/>
              <w:rPr>
                <w:rFonts w:ascii="Times New Roman" w:hAnsi="Times New Roman" w:cs="Times New Roman" w:eastAsia="Times New Roman" w:hint="default"/>
                <w:sz w:val="18"/>
                <w:szCs w:val="18"/>
              </w:rPr>
            </w:pPr>
            <w:r>
              <w:rPr>
                <w:rFonts w:ascii="Times New Roman"/>
                <w:spacing w:val="-1"/>
                <w:sz w:val="18"/>
              </w:rPr>
              <w:t>119,983,693.9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-37,037,443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5" w:right="0"/>
              <w:jc w:val="left"/>
              <w:rPr>
                <w:rFonts w:ascii="Times New Roman" w:hAnsi="Times New Roman" w:cs="Times New Roman" w:eastAsia="Times New Roman" w:hint="default"/>
                <w:sz w:val="18"/>
                <w:szCs w:val="18"/>
              </w:rPr>
            </w:pPr>
            <w:r>
              <w:rPr>
                <w:rFonts w:ascii="Times New Roman"/>
                <w:spacing w:val="-3"/>
                <w:sz w:val="18"/>
              </w:rPr>
              <w:t>-111,112,33</w:t>
            </w:r>
          </w:p>
          <w:p>
            <w:pPr>
              <w:pStyle w:val="TableParagraph"/>
              <w:spacing w:line="207" w:lineRule="exact"/>
              <w:ind w:left="588" w:right="0"/>
              <w:jc w:val="left"/>
              <w:rPr>
                <w:rFonts w:ascii="Times New Roman" w:hAnsi="Times New Roman" w:cs="Times New Roman" w:eastAsia="Times New Roman" w:hint="default"/>
                <w:sz w:val="18"/>
                <w:szCs w:val="18"/>
              </w:rPr>
            </w:pPr>
            <w:r>
              <w:rPr>
                <w:rFonts w:ascii="Times New Roman"/>
                <w:sz w:val="18"/>
              </w:rPr>
              <w:t>0.62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1"/>
              <w:jc w:val="right"/>
              <w:rPr>
                <w:rFonts w:ascii="Times New Roman" w:hAnsi="Times New Roman" w:cs="Times New Roman" w:eastAsia="Times New Roman" w:hint="default"/>
                <w:sz w:val="18"/>
                <w:szCs w:val="18"/>
              </w:rPr>
            </w:pPr>
            <w:r>
              <w:rPr>
                <w:rFonts w:ascii="Times New Roman"/>
                <w:spacing w:val="-1"/>
                <w:sz w:val="18"/>
              </w:rPr>
              <w:t>7,481,773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.91</w:t>
            </w:r>
          </w:p>
        </w:tc>
      </w:tr>
    </w:tbl>
    <w:p>
      <w:pPr>
        <w:pStyle w:val="BodyText"/>
        <w:spacing w:line="240" w:lineRule="auto" w:before="10"/>
        <w:ind w:right="0"/>
        <w:jc w:val="left"/>
      </w:pPr>
      <w:r>
        <w:rPr/>
        <w:t>其他说明，包括对现金流量套期损益的有效部分转为被套期项目初始确认金额调整：</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10"/>
        <w:ind w:right="0"/>
        <w:jc w:val="left"/>
      </w:pPr>
      <w:r>
        <w:rPr/>
        <w:t>其他说明，包括本期增减变动情况、变动原因说明：</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8" w:footer="978" w:top="1100" w:bottom="1160" w:left="1020" w:right="1020"/>
        </w:sectPr>
      </w:pPr>
    </w:p>
    <w:p>
      <w:pPr>
        <w:pStyle w:val="Heading3"/>
        <w:spacing w:line="240" w:lineRule="auto" w:before="34"/>
        <w:ind w:right="0"/>
        <w:jc w:val="left"/>
        <w:rPr>
          <w:b w:val="0"/>
          <w:bCs w:val="0"/>
        </w:rPr>
      </w:pPr>
      <w:r>
        <w:rPr>
          <w:rFonts w:ascii="Times New Roman" w:hAnsi="Times New Roman" w:cs="Times New Roman" w:eastAsia="Times New Roman" w:hint="default"/>
          <w:w w:val="95"/>
        </w:rPr>
        <w:t>59</w:t>
      </w:r>
      <w:r>
        <w:rPr>
          <w:w w:val="95"/>
        </w:rPr>
        <w:t>、盈余公积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1376" w:space="7454"/>
            <w:col w:w="1040"/>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28,016,004.53</w:t>
            </w:r>
          </w:p>
        </w:tc>
      </w:tr>
    </w:tbl>
    <w:p>
      <w:pPr>
        <w:pStyle w:val="BodyText"/>
        <w:spacing w:line="240" w:lineRule="auto" w:before="11"/>
        <w:ind w:right="0"/>
        <w:jc w:val="left"/>
      </w:pPr>
      <w:r>
        <w:rPr/>
        <w:t>盈余公积说明，包括本期增减变动情况、变动原因说明：</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1020" w:right="1020"/>
        </w:sectPr>
      </w:pPr>
    </w:p>
    <w:p>
      <w:pPr>
        <w:pStyle w:val="Heading3"/>
        <w:spacing w:line="240" w:lineRule="auto" w:before="34"/>
        <w:ind w:right="0"/>
        <w:jc w:val="left"/>
        <w:rPr>
          <w:b w:val="0"/>
          <w:bCs w:val="0"/>
        </w:rPr>
      </w:pPr>
      <w:r>
        <w:rPr>
          <w:rFonts w:ascii="Times New Roman" w:hAnsi="Times New Roman" w:cs="Times New Roman" w:eastAsia="Times New Roman" w:hint="default"/>
          <w:w w:val="95"/>
        </w:rPr>
        <w:t>60</w:t>
      </w:r>
      <w:r>
        <w:rPr>
          <w:w w:val="95"/>
        </w:rPr>
        <w:t>、未分配利润</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1587" w:space="7243"/>
            <w:col w:w="1040"/>
          </w:cols>
        </w:sectPr>
      </w:pP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-205,561,190.76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-255,048,948.44</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-205,561,190.76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-255,048,948.44</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64,215,586.67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45,818,308.29</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Times New Roman" w:hAnsi="Times New Roman" w:cs="Times New Roman" w:eastAsia="Times New Roman" w:hint="default"/>
                <w:sz w:val="18"/>
                <w:szCs w:val="18"/>
              </w:rPr>
            </w:pPr>
            <w:r>
              <w:rPr>
                <w:rFonts w:ascii="Times New Roman"/>
                <w:spacing w:val="-1"/>
                <w:sz w:val="18"/>
              </w:rPr>
              <w:t>-2,252,272.11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3,669,449.39</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-143,597,876.20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-205,561,190.76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调整期初未分配利润明细：</w:t>
      </w:r>
    </w:p>
    <w:p>
      <w:pPr>
        <w:pStyle w:val="BodyText"/>
        <w:spacing w:line="240" w:lineRule="auto" w:before="38"/>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24"/>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24"/>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24"/>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24"/>
        <w:ind w:right="0"/>
        <w:jc w:val="left"/>
      </w:pPr>
      <w:r>
        <w:rPr>
          <w:rFonts w:ascii="Times New Roman" w:hAnsi="Times New Roman" w:cs="Times New Roman" w:eastAsia="Times New Roman" w:hint="default"/>
        </w:rPr>
        <w:t>5)</w:t>
      </w:r>
      <w:r>
        <w:rPr/>
        <w:t>、其他调整合计影响期初未分配利润元。</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502,032,671.72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301,885,294.50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409,790,990.85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282,539,325.95</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13,901,813.03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12,919,551.67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2,066,734.61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1,001,792.23</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515,934,484.75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314,804,846.17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411,857,725.46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283,541,118.18</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1,572,502.84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1,437,184.11</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1,116,543.91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1,067,764.68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1,869,148.79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2,133,113.22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622,211.28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709,683.69</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32,486.00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24,846.00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988,262.25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590,116.79</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1,955.04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56,056.57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-45,064.60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水利行政事业性收费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10.78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5,194.63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33,458.19</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防洪保安费</w:t>
            </w:r>
            <w:r>
              <w:rPr>
                <w:rFonts w:ascii="Times New Roman" w:hAnsi="Times New Roman" w:cs="Times New Roman" w:eastAsia="Times New Roman" w:hint="default"/>
                <w:sz w:val="18"/>
                <w:szCs w:val="18"/>
              </w:rPr>
              <w:t>\</w:t>
            </w: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16,259.02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34,236.64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残保金等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3"/>
                <w:sz w:val="18"/>
              </w:rPr>
              <w:t>113,111.56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6,391,776.85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5,987,304.54</w:t>
            </w:r>
          </w:p>
        </w:tc>
      </w:tr>
    </w:tbl>
    <w:p>
      <w:pPr>
        <w:pStyle w:val="BodyText"/>
        <w:spacing w:line="240" w:lineRule="auto" w:before="10"/>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46,532,014.67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10,529,434.75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2,278,798.77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727,919.06</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运输费装卸费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5,917,775.65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7,287,282.20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5,294,827.39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5,157,749.50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2,479,660.69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1,132,813.33</w:t>
            </w:r>
          </w:p>
        </w:tc>
      </w:tr>
      <w:tr>
        <w:trPr>
          <w:trHeight w:val="32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83,410,638.46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3,521,045.28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2,672,440.31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1,481,129.06</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1,494,182.59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842,290.48</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861,630.27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602,970.69</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900,898.17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554,433.57</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151,842,866.97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31,837,067.92</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29,056,748.33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28,297,403.85</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164,273.76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517,575.62</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11,022,408.16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2,911,187.96</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3,170,106.48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1,443,026.59</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13,796,353.53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8,675,788.12</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2,526,442.93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577,609.89</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4,977,836.77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1,517,742.94</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14,164,327.97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8,206,573.05</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8,511,309.75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5,144,764.68</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2,496,742.20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1,214,027.10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2,200,179.54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1,485,523.16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809,749.31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420,333.00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31,395.73</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15,646,763.21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271,967.60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3,232,096.25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1,439,808.65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56,880.98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302,194.56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5,606,144.02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1,374,841.58</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22,763,587.59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339,453.78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552,960.05</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证券事务费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1,196,942.63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1,072,830.26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633,684.60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123,064.64</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967,971.00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466,403.00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29,185,685.81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1,480,561.28</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172,525,688.60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67,927,583.31</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726,098.45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5,766,220.49</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4,449,816.53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1,584,031.90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76,153.24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-20,159.34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415,000.00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235,440.80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74,465.94</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-3,412,124.04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4,651,495.19</w:t>
            </w: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2"/>
                <w:sz w:val="18"/>
              </w:rPr>
              <w:t>9,113,948.11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-513,131.96</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2,064,730.49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663,633.62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106,096.90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1,623,833.34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11,178,678.60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1,880,431.90</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65,438,329.52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-1,655,524.13</w:t>
            </w:r>
          </w:p>
        </w:tc>
      </w:tr>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38,733,519.50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19,071,085.74</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620,689.50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566,577.17</w:t>
            </w:r>
          </w:p>
        </w:tc>
      </w:tr>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110,272,632.38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10,943,364.01</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4,973,960.26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617,050.55</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220,039,131.16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29,542,553.34</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固定资产处置损失或者收益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-84,027.62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48,516.78</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收工信委高新企业奖励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日废水减排回用项目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1,785,717.36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419,590.38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209,811.66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557"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2,326,260.48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704,377.08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134,580.19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704,377.08</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5,263.16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5,263.16</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14,476.50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14,476.50</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2,873.49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2,873.49</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1,353,845.25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1,353,845.25</w:t>
            </w:r>
          </w:p>
        </w:tc>
      </w:tr>
      <w:tr>
        <w:trPr>
          <w:trHeight w:val="278" w:hRule="exact"/>
        </w:trPr>
        <w:tc>
          <w:tcPr>
            <w:tcW w:w="23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取得子公司的投资成本小于</w:t>
            </w:r>
          </w:p>
        </w:tc>
        <w:tc>
          <w:tcPr>
            <w:tcW w:w="2395" w:type="dxa"/>
            <w:tcBorders>
              <w:top w:val="single" w:sz="4" w:space="0" w:color="000000"/>
              <w:left w:val="single" w:sz="4" w:space="0" w:color="000000"/>
              <w:bottom w:val="nil" w:sz="6" w:space="0" w:color="auto"/>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238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取得投资时应享有被投资单</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w:t>
            </w:r>
          </w:p>
        </w:tc>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37,075,053.74</w:t>
            </w: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37,075,053.74</w:t>
            </w:r>
          </w:p>
        </w:tc>
      </w:tr>
      <w:tr>
        <w:trPr>
          <w:trHeight w:val="278" w:hRule="exact"/>
        </w:trPr>
        <w:tc>
          <w:tcPr>
            <w:tcW w:w="2389"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生的收益</w:t>
            </w:r>
          </w:p>
        </w:tc>
        <w:tc>
          <w:tcPr>
            <w:tcW w:w="2395" w:type="dxa"/>
            <w:tcBorders>
              <w:top w:val="nil" w:sz="6" w:space="0" w:color="auto"/>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39,155,889.22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2,462,440.67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39,155,889.22</w:t>
            </w:r>
          </w:p>
        </w:tc>
      </w:tr>
    </w:tbl>
    <w:p>
      <w:pPr>
        <w:pStyle w:val="BodyText"/>
        <w:spacing w:line="240" w:lineRule="auto" w:before="10"/>
        <w:ind w:right="0"/>
        <w:jc w:val="left"/>
      </w:pPr>
      <w:r>
        <w:rPr/>
        <w:t>计入当期损益的政府补助：</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557"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557"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26,578.12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3,528.00</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98,418.41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409,034.71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98,418.41</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145,788.70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7,943,590.01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2,910,384.08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7,943,590.01</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7,631,454.02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814,846.50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7,631,454.02</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1,058,873.62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1,058,873.62</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19,735,864.06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4,356,632.11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19,735,864.06</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footerReference w:type="default" r:id="rId41"/>
          <w:pgSz w:w="11910" w:h="16840"/>
          <w:pgMar w:footer="978" w:header="878" w:top="1100" w:bottom="1160" w:left="1020" w:right="1020"/>
          <w:pgNumType w:start="130"/>
        </w:sectPr>
      </w:pPr>
    </w:p>
    <w:p>
      <w:pPr>
        <w:pStyle w:val="Heading3"/>
        <w:spacing w:line="240" w:lineRule="auto" w:before="34"/>
        <w:ind w:right="0"/>
        <w:jc w:val="left"/>
        <w:rPr>
          <w:b w:val="0"/>
          <w:bCs w:val="0"/>
        </w:rPr>
      </w:pPr>
      <w:r>
        <w:rPr>
          <w:w w:val="95"/>
        </w:rPr>
        <w:t>（</w:t>
      </w:r>
      <w:r>
        <w:rPr>
          <w:rFonts w:ascii="Times New Roman" w:hAnsi="Times New Roman" w:cs="Times New Roman" w:eastAsia="Times New Roman" w:hint="default"/>
          <w:w w:val="95"/>
        </w:rPr>
        <w:t>1</w:t>
      </w:r>
      <w:r>
        <w:rPr>
          <w:w w:val="95"/>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1904" w:space="6926"/>
            <w:col w:w="1040"/>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18,200,430.01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12,154,232.98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9,700,706.40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-9,600,817.20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27,901,136.41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2,553,415.78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8" w:footer="978" w:top="1100" w:bottom="1160" w:left="1020" w:right="980"/>
        </w:sectPr>
      </w:pPr>
    </w:p>
    <w:p>
      <w:pPr>
        <w:pStyle w:val="Heading3"/>
        <w:spacing w:line="240" w:lineRule="auto" w:before="34"/>
        <w:ind w:right="0"/>
        <w:jc w:val="left"/>
        <w:rPr>
          <w:b w:val="0"/>
          <w:bCs w:val="0"/>
        </w:rPr>
      </w:pPr>
      <w:r>
        <w:rPr>
          <w:w w:val="95"/>
        </w:rPr>
        <w:t>（</w:t>
      </w:r>
      <w:r>
        <w:rPr>
          <w:rFonts w:ascii="Times New Roman" w:hAnsi="Times New Roman" w:cs="Times New Roman" w:eastAsia="Times New Roman" w:hint="default"/>
          <w:w w:val="95"/>
        </w:rPr>
        <w:t>2</w:t>
      </w:r>
      <w:r>
        <w:rPr>
          <w:w w:val="95"/>
        </w:rPr>
        <w:t>）会计利润与所得税费用调整过程</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980"/>
          <w:cols w:num="2" w:equalWidth="0">
            <w:col w:w="3591" w:space="5239"/>
            <w:col w:w="1080"/>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521"/>
        <w:gridCol w:w="3159"/>
      </w:tblGrid>
      <w:tr>
        <w:trPr>
          <w:trHeight w:val="324"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105,492,999.70</w:t>
            </w:r>
          </w:p>
        </w:tc>
      </w:tr>
      <w:tr>
        <w:trPr>
          <w:trHeight w:val="323"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26,373,249.93</w:t>
            </w:r>
          </w:p>
        </w:tc>
      </w:tr>
      <w:tr>
        <w:trPr>
          <w:trHeight w:val="324"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-22,827,560.27</w:t>
            </w:r>
          </w:p>
        </w:tc>
      </w:tr>
      <w:tr>
        <w:trPr>
          <w:trHeight w:val="323"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1,661,784.63</w:t>
            </w:r>
          </w:p>
        </w:tc>
      </w:tr>
      <w:tr>
        <w:trPr>
          <w:trHeight w:val="324"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-7,926,739.77</w:t>
            </w:r>
          </w:p>
        </w:tc>
      </w:tr>
      <w:tr>
        <w:trPr>
          <w:trHeight w:val="323"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15,386,784.88</w:t>
            </w:r>
          </w:p>
        </w:tc>
      </w:tr>
      <w:tr>
        <w:trPr>
          <w:trHeight w:val="324"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15,233,617.01</w:t>
            </w:r>
          </w:p>
        </w:tc>
      </w:tr>
      <w:tr>
        <w:trPr>
          <w:trHeight w:val="323"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27,901,136.41</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详见附注。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980"/>
        </w:sectPr>
      </w:pPr>
    </w:p>
    <w:p>
      <w:pPr>
        <w:pStyle w:val="Heading3"/>
        <w:spacing w:line="240" w:lineRule="auto" w:before="34"/>
        <w:ind w:right="0"/>
        <w:jc w:val="left"/>
        <w:rPr>
          <w:b w:val="0"/>
          <w:bCs w:val="0"/>
        </w:rPr>
      </w:pPr>
      <w:r>
        <w:rPr>
          <w:w w:val="95"/>
        </w:rPr>
        <w:t>（</w:t>
      </w:r>
      <w:r>
        <w:rPr>
          <w:rFonts w:ascii="Times New Roman" w:hAnsi="Times New Roman" w:cs="Times New Roman" w:eastAsia="Times New Roman" w:hint="default"/>
          <w:w w:val="95"/>
        </w:rPr>
        <w:t>1</w:t>
      </w:r>
      <w:r>
        <w:rPr>
          <w:w w:val="95"/>
        </w:rPr>
        <w:t>）收到的其他与经营活动有关的现金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980"/>
          <w:cols w:num="2" w:equalWidth="0">
            <w:col w:w="3802" w:space="5027"/>
            <w:col w:w="1081"/>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4,449,816.53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1,584,032.90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1,519,590.38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1,149,117.64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14,476.80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4,073.30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5,263.16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60,600.12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15,169,003.21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收到职工返还款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1,981,748.02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44,920.00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收税务返还个人所得税手续费及其他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273,195.38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4,739.88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收到上年度多交的所得税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22,816.37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287,789.54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4,764.20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23,723,699.39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2,900,248.04</w:t>
            </w:r>
          </w:p>
        </w:tc>
      </w:tr>
    </w:tbl>
    <w:p>
      <w:pPr>
        <w:pStyle w:val="BodyText"/>
        <w:spacing w:line="240" w:lineRule="auto" w:before="12"/>
        <w:ind w:right="0"/>
        <w:jc w:val="left"/>
      </w:pPr>
      <w:r>
        <w:rPr/>
        <w:t>收到的其他与经营活动有关的现金说明：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付现销售费用、管理费用金额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175,377,187.31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46,734,091.81</w:t>
            </w:r>
          </w:p>
        </w:tc>
      </w:tr>
      <w:tr>
        <w:trPr>
          <w:trHeight w:val="3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15,622,756.00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10,221,894.82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9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10,165,323.19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8,058,263.74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2,198,906.68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罚款、赔偿及滞纳金支出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101,946.41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25,122.84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垫付合伙企业往来款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1,944,533.51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940.00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498,824.48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206,710,570.90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67,239,219.89</w:t>
            </w:r>
          </w:p>
        </w:tc>
      </w:tr>
    </w:tbl>
    <w:p>
      <w:pPr>
        <w:pStyle w:val="BodyText"/>
        <w:spacing w:line="240" w:lineRule="auto" w:before="10"/>
        <w:ind w:right="0"/>
        <w:jc w:val="left"/>
      </w:pPr>
      <w:r>
        <w:rPr/>
        <w:t>支付的其他与经营活动有关的现金说明：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赎回理财产品收到的现金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744,000,000.00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140,800,000.00</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92"/>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 净额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27,441,762.41</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744,000,000.00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168,241,762.41</w:t>
            </w:r>
          </w:p>
        </w:tc>
      </w:tr>
    </w:tbl>
    <w:p>
      <w:pPr>
        <w:pStyle w:val="BodyText"/>
        <w:spacing w:line="240" w:lineRule="auto" w:before="13"/>
        <w:ind w:right="0"/>
        <w:jc w:val="left"/>
      </w:pPr>
      <w:r>
        <w:rPr/>
        <w:t>收到的其他与投资活动有关的现金说明：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购买理财产品支付的现金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838,000,000.00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157,000,000.00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682,532.73</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838,000,000.00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157,682,532.73</w:t>
            </w:r>
          </w:p>
        </w:tc>
      </w:tr>
    </w:tbl>
    <w:p>
      <w:pPr>
        <w:pStyle w:val="BodyText"/>
        <w:spacing w:line="240" w:lineRule="auto" w:before="13"/>
        <w:ind w:right="0"/>
        <w:jc w:val="left"/>
      </w:pPr>
      <w:r>
        <w:rPr/>
        <w:t>支付的其他与投资活动有关的现金说明：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812"/>
        <w:gridCol w:w="1985"/>
        <w:gridCol w:w="1842"/>
      </w:tblGrid>
      <w:tr>
        <w:trPr>
          <w:trHeight w:val="324"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收西藏鼎信电子科技有限公司代青海明杏生物工程有限公司偿还欠款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44,324,622.29</w:t>
            </w:r>
          </w:p>
        </w:tc>
      </w:tr>
      <w:tr>
        <w:trPr>
          <w:trHeight w:val="32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收到河南焦作金箭实业有限公司借款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收湖北宜景常弘科技有限公司代付青海明胶有限责任公司欠款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99,388,768.52</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收深圳树泰科技有限公司代到付青海明诺胶囊有限公司欠款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24,668,900.94</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收湖北盛木科技有限公司代付柳州市宏升胶原蛋白肠衣有限公司欠款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9,853,102.06</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收深圳德木实业有限公司代付广东明洋明胶有限责任公司欠款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19,853,201.52</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收回河南焦作金箭实业有限公司资金占用款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6,737,413.55</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160,501,386.59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45,024,622.29</w:t>
            </w:r>
          </w:p>
        </w:tc>
      </w:tr>
    </w:tbl>
    <w:p>
      <w:pPr>
        <w:pStyle w:val="BodyText"/>
        <w:spacing w:line="240" w:lineRule="auto" w:before="11"/>
        <w:ind w:right="0"/>
        <w:jc w:val="left"/>
      </w:pPr>
      <w:r>
        <w:rPr/>
        <w:t>收到的其他与筹资活动有关的现金说明：</w:t>
      </w:r>
    </w:p>
    <w:p>
      <w:pPr>
        <w:spacing w:after="0" w:line="240" w:lineRule="auto"/>
        <w:jc w:val="left"/>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r>
        <w:rPr/>
        <w:pict>
          <v:shape style="position:absolute;margin-left:320.158997pt;margin-top:473.650024pt;width:115.9pt;height:15.75pt;mso-position-horizontal-relative:page;mso-position-vertical-relative:page;z-index:-1012312" type="#_x0000_t202" filled="false" stroked="false">
            <v:textbox inset="0,0,0,0">
              <w:txbxContent>
                <w:p>
                  <w:pPr>
                    <w:pStyle w:val="BodyText"/>
                    <w:spacing w:line="240" w:lineRule="auto" w:before="13"/>
                    <w:ind w:left="0" w:right="0"/>
                    <w:jc w:val="left"/>
                  </w:pPr>
                  <w:r>
                    <w:rPr/>
                    <w:t>）</w:t>
                  </w:r>
                </w:p>
              </w:txbxContent>
            </v:textbox>
            <w10:wrap type="none"/>
          </v:shape>
        </w:pict>
      </w:r>
      <w:r>
        <w:rPr/>
        <w:pict>
          <v:group style="position:absolute;margin-left:326.200012pt;margin-top:473.650024pt;width:109.85pt;height:15.9pt;mso-position-horizontal-relative:page;mso-position-vertical-relative:page;z-index:-1012288" coordorigin="6524,9473" coordsize="2197,318">
            <v:shape style="position:absolute;left:6524;top:9473;width:2197;height:318" coordorigin="6524,9473" coordsize="2197,318" path="m6524,9473l8721,9473,8721,9791,6524,9791,6524,9473xe" filled="true" fillcolor="#ffffff" stroked="false">
              <v:path arrowok="t"/>
              <v:fill type="solid"/>
            </v:shape>
            <w10:wrap type="none"/>
          </v:group>
        </w:pict>
      </w:r>
    </w:p>
    <w:p>
      <w:pPr>
        <w:pStyle w:val="Heading3"/>
        <w:spacing w:line="240" w:lineRule="auto" w:before="34"/>
        <w:ind w:right="94"/>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103"/>
        <w:gridCol w:w="2342"/>
        <w:gridCol w:w="2126"/>
      </w:tblGrid>
      <w:tr>
        <w:trPr>
          <w:trHeight w:val="32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孙公司注销向少数股东支付的现金</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175,333.88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支付的筹资费用</w:t>
            </w:r>
          </w:p>
        </w:tc>
        <w:tc>
          <w:tcPr>
            <w:tcW w:w="234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297,543.75</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子公司受限资金</w:t>
            </w:r>
          </w:p>
        </w:tc>
        <w:tc>
          <w:tcPr>
            <w:tcW w:w="234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2,868,079.94</w:t>
            </w:r>
          </w:p>
        </w:tc>
      </w:tr>
      <w:tr>
        <w:trPr>
          <w:trHeight w:val="32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青海明诺胶囊有限公司向青海明杏生物工程有限公司提供借款</w:t>
            </w:r>
          </w:p>
        </w:tc>
        <w:tc>
          <w:tcPr>
            <w:tcW w:w="234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850,000.00</w:t>
            </w: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支付杭州顺利办企业管理咨询有限公司往来款</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广东明洋明胶有限责任公司支付深圳德木实业有限公司欠款</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8,200,000.00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非同一控制下跨期支付的收购款</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12,252,000.00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22,127,333.88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6,015,623.69</w:t>
            </w:r>
          </w:p>
        </w:tc>
      </w:tr>
    </w:tbl>
    <w:p>
      <w:pPr>
        <w:pStyle w:val="BodyText"/>
        <w:spacing w:line="240" w:lineRule="auto" w:before="12"/>
        <w:ind w:right="94"/>
        <w:jc w:val="left"/>
      </w:pPr>
      <w:r>
        <w:rPr/>
        <w:t>支付的其他与筹资活动有关的现金说明：</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387"/>
        <w:gridCol w:w="2202"/>
        <w:gridCol w:w="2126"/>
      </w:tblGrid>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9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77,591,863.29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41,176,187.32</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11,178,678.60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1,880,431.90</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34,775,072.94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34,822,037.49</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8,675,651.61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3,262,350.77</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3,787,129.93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1,009,379.00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84,027.62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-48,516.78</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7,628,580.53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814,846.50</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725,065.05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5,766,220.49</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-220,039,131.16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-29,542,553.34</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8,115,073.93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-9,392,678.12</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1,585,632.47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-208,139.08</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476,365.79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-8,905,526.51</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-37,276,730.42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14,027,549.04</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71,781,772.18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-33,869,724.32</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1,245,283.02</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-30,910,947.64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22,037,147.38</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960,429,437.86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999,320,276.53</w:t>
            </w:r>
          </w:p>
        </w:tc>
      </w:tr>
      <w:tr>
        <w:trPr>
          <w:trHeight w:val="323"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999,320,276.53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131,860,304.94</w:t>
            </w:r>
          </w:p>
        </w:tc>
      </w:tr>
      <w:tr>
        <w:trPr>
          <w:trHeight w:val="324"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-38,890,838.67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867,459,971.59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335,663,000.00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宁波神州开元会计服务有限公司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172,500,000.00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霍尔果斯易桥快马企业管理咨询有限公司旗下</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163,163,000.00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24,926,548.34</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其中：宁波神州开元会计服务有限公司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6,931,454.71</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2" w:right="0"/>
              <w:jc w:val="left"/>
              <w:rPr>
                <w:rFonts w:ascii="宋体" w:hAnsi="宋体" w:cs="宋体" w:eastAsia="宋体" w:hint="default"/>
                <w:sz w:val="18"/>
                <w:szCs w:val="18"/>
              </w:rPr>
            </w:pPr>
            <w:r>
              <w:rPr>
                <w:rFonts w:ascii="宋体" w:hAnsi="宋体" w:cs="宋体" w:eastAsia="宋体" w:hint="default"/>
                <w:sz w:val="18"/>
                <w:szCs w:val="18"/>
              </w:rPr>
              <w:t>企业管家（北京）科技服务有限公司及其子公司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17,995,093.63</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310,736,451.66</w:t>
            </w:r>
          </w:p>
        </w:tc>
      </w:tr>
    </w:tbl>
    <w:p>
      <w:pPr>
        <w:pStyle w:val="BodyText"/>
        <w:spacing w:line="240" w:lineRule="auto" w:before="10"/>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376,060,001.00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其中：青海明诺胶囊有限公司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125,360,000.00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127,540,000.00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32,510,000.00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6,650,001.00</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29,963,204.26</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其中：青海明诺胶囊有限公司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12,919,210.47</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10,830,200.79</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917,950.58</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1,519,236.60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1,259.13</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神州易桥（北京）财税科技有限公司处置子、孙公司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3,775,346.69</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346,096,796.74</w:t>
            </w:r>
          </w:p>
        </w:tc>
      </w:tr>
    </w:tbl>
    <w:p>
      <w:pPr>
        <w:pStyle w:val="BodyText"/>
        <w:spacing w:line="240" w:lineRule="auto" w:before="11"/>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8" w:right="0"/>
              <w:jc w:val="left"/>
              <w:rPr>
                <w:rFonts w:ascii="Times New Roman" w:hAnsi="Times New Roman" w:cs="Times New Roman" w:eastAsia="Times New Roman" w:hint="default"/>
                <w:sz w:val="18"/>
                <w:szCs w:val="18"/>
              </w:rPr>
            </w:pPr>
            <w:r>
              <w:rPr>
                <w:rFonts w:ascii="Times New Roman"/>
                <w:sz w:val="18"/>
              </w:rPr>
              <w:t>960,429,437.86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6" w:right="0"/>
              <w:jc w:val="left"/>
              <w:rPr>
                <w:rFonts w:ascii="Times New Roman" w:hAnsi="Times New Roman" w:cs="Times New Roman" w:eastAsia="Times New Roman" w:hint="default"/>
                <w:sz w:val="18"/>
                <w:szCs w:val="18"/>
              </w:rPr>
            </w:pPr>
            <w:r>
              <w:rPr>
                <w:rFonts w:ascii="Times New Roman"/>
                <w:sz w:val="18"/>
              </w:rPr>
              <w:t>999,320,276.53</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808,455.23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91,685.37</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959,620,982.63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999,228,591.16</w:t>
            </w:r>
          </w:p>
        </w:tc>
      </w:tr>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960,429,437.86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999,320,276.53</w:t>
            </w:r>
          </w:p>
        </w:tc>
      </w:tr>
    </w:tbl>
    <w:p>
      <w:pPr>
        <w:pStyle w:val="BodyText"/>
        <w:spacing w:line="240" w:lineRule="auto" w:before="11"/>
        <w:ind w:right="94"/>
        <w:jc w:val="left"/>
      </w:pPr>
      <w:r>
        <w:rPr/>
        <w:t>其他说明：</w:t>
      </w:r>
    </w:p>
    <w:p>
      <w:pPr>
        <w:spacing w:line="240" w:lineRule="auto" w:before="6"/>
        <w:rPr>
          <w:rFonts w:ascii="宋体" w:hAnsi="宋体" w:cs="宋体" w:eastAsia="宋体" w:hint="default"/>
          <w:sz w:val="22"/>
          <w:szCs w:val="22"/>
        </w:rPr>
      </w:pPr>
    </w:p>
    <w:p>
      <w:pPr>
        <w:spacing w:line="491" w:lineRule="auto" w:before="0"/>
        <w:ind w:left="112" w:right="4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5"/>
        <w:ind w:left="0" w:right="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11"/>
        <w:ind w:right="94"/>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12"/>
        <w:ind w:right="94"/>
        <w:jc w:val="left"/>
      </w:pPr>
      <w:r>
        <w:rPr/>
        <w:t>其他说明：</w:t>
      </w:r>
    </w:p>
    <w:p>
      <w:pPr>
        <w:spacing w:line="240" w:lineRule="auto" w:before="3"/>
        <w:rPr>
          <w:rFonts w:ascii="宋体" w:hAnsi="宋体" w:cs="宋体" w:eastAsia="宋体" w:hint="default"/>
          <w:sz w:val="24"/>
          <w:szCs w:val="24"/>
        </w:rPr>
      </w:pPr>
    </w:p>
    <w:p>
      <w:pPr>
        <w:pStyle w:val="Heading3"/>
        <w:spacing w:line="274" w:lineRule="exact"/>
        <w:ind w:right="94"/>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4"/>
        <w:jc w:val="left"/>
      </w:pPr>
      <w:r>
        <w:rPr/>
        <w:t>按照套期类别披露套期项目及相关套期工具、被套期风险的定性和定量信息：</w:t>
      </w:r>
    </w:p>
    <w:p>
      <w:pPr>
        <w:spacing w:line="240" w:lineRule="auto" w:before="6"/>
        <w:rPr>
          <w:rFonts w:ascii="宋体" w:hAnsi="宋体" w:cs="宋体" w:eastAsia="宋体" w:hint="default"/>
          <w:sz w:val="22"/>
          <w:szCs w:val="22"/>
        </w:rPr>
      </w:pPr>
    </w:p>
    <w:p>
      <w:pPr>
        <w:spacing w:line="470" w:lineRule="auto" w:before="0"/>
        <w:ind w:left="112" w:right="7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59"/>
        <w:ind w:right="9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79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9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28"/>
              <w:jc w:val="both"/>
              <w:rPr>
                <w:rFonts w:ascii="宋体" w:hAnsi="宋体" w:cs="宋体" w:eastAsia="宋体" w:hint="default"/>
                <w:sz w:val="18"/>
                <w:szCs w:val="18"/>
              </w:rPr>
            </w:pPr>
            <w:r>
              <w:rPr>
                <w:rFonts w:ascii="宋体" w:hAnsi="宋体" w:cs="宋体" w:eastAsia="宋体" w:hint="default"/>
                <w:sz w:val="18"/>
                <w:szCs w:val="18"/>
              </w:rPr>
              <w:t>宁波神州开 元会计服务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股权交割</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74,823,868.9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22,273,482.4</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r>
      <w:tr>
        <w:trPr>
          <w:trHeight w:val="5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28"/>
              <w:jc w:val="left"/>
              <w:rPr>
                <w:rFonts w:ascii="宋体" w:hAnsi="宋体" w:cs="宋体" w:eastAsia="宋体" w:hint="default"/>
                <w:sz w:val="18"/>
                <w:szCs w:val="18"/>
              </w:rPr>
            </w:pPr>
            <w:r>
              <w:rPr>
                <w:rFonts w:ascii="宋体" w:hAnsi="宋体" w:cs="宋体" w:eastAsia="宋体" w:hint="default"/>
                <w:sz w:val="18"/>
                <w:szCs w:val="18"/>
              </w:rPr>
              <w:t>霍尔果斯易 桥快马企业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6"/>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股权交割</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6"/>
              <w:ind w:right="21"/>
              <w:jc w:val="right"/>
              <w:rPr>
                <w:rFonts w:ascii="Times New Roman" w:hAnsi="Times New Roman" w:cs="Times New Roman" w:eastAsia="Times New Roman" w:hint="default"/>
                <w:sz w:val="18"/>
                <w:szCs w:val="18"/>
              </w:rPr>
            </w:pPr>
            <w:r>
              <w:rPr>
                <w:rFonts w:ascii="Times New Roman"/>
                <w:spacing w:val="-1"/>
                <w:sz w:val="18"/>
              </w:rPr>
              <w:t>37,410,288.2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6"/>
              <w:ind w:right="19"/>
              <w:jc w:val="right"/>
              <w:rPr>
                <w:rFonts w:ascii="Times New Roman" w:hAnsi="Times New Roman" w:cs="Times New Roman" w:eastAsia="Times New Roman" w:hint="default"/>
                <w:sz w:val="18"/>
                <w:szCs w:val="18"/>
              </w:rPr>
            </w:pPr>
            <w:r>
              <w:rPr>
                <w:rFonts w:ascii="Times New Roman"/>
                <w:spacing w:val="-1"/>
                <w:sz w:val="18"/>
              </w:rPr>
              <w:t>31,614,130.9</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8</w:t>
            </w:r>
          </w:p>
        </w:tc>
      </w:tr>
    </w:tbl>
    <w:p>
      <w:pPr>
        <w:spacing w:after="0" w:line="207" w:lineRule="exact"/>
        <w:jc w:val="right"/>
        <w:rPr>
          <w:rFonts w:ascii="Times New Roman" w:hAnsi="Times New Roman" w:cs="Times New Roman" w:eastAsia="Times New Roman" w:hint="default"/>
          <w:sz w:val="18"/>
          <w:szCs w:val="18"/>
        </w:rPr>
        <w:sectPr>
          <w:pgSz w:w="11910" w:h="16840"/>
          <w:pgMar w:header="878" w:footer="978" w:top="1100" w:bottom="1160" w:left="102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51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管理咨询有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5"/>
              <w:jc w:val="center"/>
              <w:rPr>
                <w:rFonts w:ascii="宋体" w:hAnsi="宋体" w:cs="宋体" w:eastAsia="宋体" w:hint="default"/>
                <w:sz w:val="18"/>
                <w:szCs w:val="18"/>
              </w:rPr>
            </w:pPr>
            <w:r>
              <w:rPr>
                <w:rFonts w:ascii="宋体" w:hAnsi="宋体" w:cs="宋体" w:eastAsia="宋体" w:hint="default"/>
                <w:sz w:val="18"/>
                <w:szCs w:val="18"/>
              </w:rPr>
              <w:t>霍尔果斯易</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桥快马企业</w:t>
            </w:r>
          </w:p>
          <w:p>
            <w:pPr>
              <w:pStyle w:val="TableParagraph"/>
              <w:spacing w:line="240" w:lineRule="auto"/>
              <w:ind w:left="22" w:right="128"/>
              <w:jc w:val="left"/>
              <w:rPr>
                <w:rFonts w:ascii="宋体" w:hAnsi="宋体" w:cs="宋体" w:eastAsia="宋体" w:hint="default"/>
                <w:sz w:val="18"/>
                <w:szCs w:val="18"/>
              </w:rPr>
            </w:pPr>
            <w:r>
              <w:rPr>
                <w:rFonts w:ascii="宋体" w:hAnsi="宋体" w:cs="宋体" w:eastAsia="宋体" w:hint="default"/>
                <w:sz w:val="18"/>
                <w:szCs w:val="18"/>
              </w:rPr>
              <w:t>管理咨询有 限公司所属</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1" w:lineRule="exact"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right="20"/>
              <w:jc w:val="right"/>
              <w:rPr>
                <w:rFonts w:ascii="Times New Roman" w:hAnsi="Times New Roman" w:cs="Times New Roman" w:eastAsia="Times New Roman" w:hint="default"/>
                <w:sz w:val="18"/>
                <w:szCs w:val="18"/>
              </w:rPr>
            </w:pPr>
            <w:r>
              <w:rPr>
                <w:rFonts w:ascii="Times New Roman"/>
                <w:spacing w:val="-1"/>
                <w:sz w:val="18"/>
              </w:rPr>
              <w:t>466,580,800.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1064"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股权交割</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9,067,005.92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4,750,694.44</w:t>
            </w:r>
          </w:p>
        </w:tc>
      </w:tr>
      <w:tr>
        <w:trPr>
          <w:trHeight w:val="279"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家子公司</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1"/>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9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154"/>
              <w:ind w:left="1009" w:right="110" w:hanging="900"/>
              <w:jc w:val="left"/>
              <w:rPr>
                <w:rFonts w:ascii="宋体" w:hAnsi="宋体" w:cs="宋体" w:eastAsia="宋体" w:hint="default"/>
                <w:sz w:val="18"/>
                <w:szCs w:val="18"/>
              </w:rPr>
            </w:pPr>
            <w:r>
              <w:rPr>
                <w:rFonts w:ascii="宋体" w:hAnsi="宋体" w:cs="宋体" w:eastAsia="宋体" w:hint="default"/>
                <w:sz w:val="18"/>
                <w:szCs w:val="18"/>
              </w:rPr>
              <w:t>宁波神州开元会计服务有限 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154"/>
              <w:ind w:left="650" w:right="109" w:hanging="540"/>
              <w:jc w:val="left"/>
              <w:rPr>
                <w:rFonts w:ascii="宋体" w:hAnsi="宋体" w:cs="宋体" w:eastAsia="宋体" w:hint="default"/>
                <w:sz w:val="18"/>
                <w:szCs w:val="18"/>
              </w:rPr>
            </w:pPr>
            <w:r>
              <w:rPr>
                <w:rFonts w:ascii="宋体" w:hAnsi="宋体" w:cs="宋体" w:eastAsia="宋体" w:hint="default"/>
                <w:sz w:val="18"/>
                <w:szCs w:val="18"/>
              </w:rPr>
              <w:t>霍尔果斯易桥快马企业管理 咨询有限公司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6"/>
              <w:ind w:left="66" w:right="63"/>
              <w:jc w:val="center"/>
              <w:rPr>
                <w:rFonts w:ascii="宋体" w:hAnsi="宋体" w:cs="宋体" w:eastAsia="宋体" w:hint="default"/>
                <w:sz w:val="18"/>
                <w:szCs w:val="18"/>
              </w:rPr>
            </w:pPr>
            <w:r>
              <w:rPr>
                <w:rFonts w:ascii="宋体" w:hAnsi="宋体" w:cs="宋体" w:eastAsia="宋体" w:hint="default"/>
                <w:sz w:val="18"/>
                <w:szCs w:val="18"/>
              </w:rPr>
              <w:t>霍尔果斯易桥快马企业管理 咨询有限公司所属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 司</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466,580,800.00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466,580,800.00</w:t>
            </w:r>
          </w:p>
        </w:tc>
      </w:tr>
      <w:tr>
        <w:trPr>
          <w:trHeight w:val="55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17,537,858.19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337,075,053.74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22,468,826.44</w:t>
            </w:r>
          </w:p>
        </w:tc>
      </w:tr>
      <w:tr>
        <w:trPr>
          <w:trHeight w:val="79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252,462,141.81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-37,075,053.74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444,111,973.57</w:t>
            </w:r>
          </w:p>
        </w:tc>
      </w:tr>
    </w:tbl>
    <w:p>
      <w:pPr>
        <w:spacing w:line="240" w:lineRule="auto" w:before="4"/>
        <w:rPr>
          <w:rFonts w:ascii="宋体" w:hAnsi="宋体" w:cs="宋体" w:eastAsia="宋体" w:hint="default"/>
          <w:sz w:val="16"/>
          <w:szCs w:val="16"/>
        </w:rPr>
      </w:pPr>
    </w:p>
    <w:p>
      <w:pPr>
        <w:pStyle w:val="BodyText"/>
        <w:spacing w:line="240" w:lineRule="auto" w:before="44"/>
        <w:ind w:right="0"/>
        <w:jc w:val="left"/>
      </w:pPr>
      <w:r>
        <w:rPr/>
        <w:t>合并成本公允价值的确定方法、或有对价及其变动的说明：</w:t>
      </w:r>
    </w:p>
    <w:p>
      <w:pPr>
        <w:spacing w:line="240" w:lineRule="auto" w:before="12"/>
        <w:rPr>
          <w:rFonts w:ascii="宋体" w:hAnsi="宋体" w:cs="宋体" w:eastAsia="宋体" w:hint="default"/>
          <w:sz w:val="25"/>
          <w:szCs w:val="25"/>
        </w:rPr>
      </w:pPr>
    </w:p>
    <w:p>
      <w:pPr>
        <w:pStyle w:val="BodyText"/>
        <w:spacing w:line="232" w:lineRule="exact"/>
        <w:ind w:left="592" w:right="0"/>
        <w:jc w:val="left"/>
      </w:pPr>
      <w:r>
        <w:rPr/>
        <w:t>①合并成本公允价值的确定 根据上海众华资产评估有限公司出具的沪众评报[2017]第055号评估报告，对购买资产宁波神州开元会计服务有限公</w:t>
      </w:r>
    </w:p>
    <w:p>
      <w:pPr>
        <w:pStyle w:val="BodyText"/>
        <w:spacing w:line="232" w:lineRule="exact" w:before="3"/>
        <w:ind w:right="0"/>
        <w:jc w:val="left"/>
      </w:pPr>
      <w:r>
        <w:rPr>
          <w:spacing w:val="-2"/>
        </w:rPr>
        <w:t>司60%的股权采用了收益法评估。截至评估基准日2016年12月31日评估后的股东全部权益价值为45,540.00万元，根据交易双</w:t>
      </w:r>
      <w:r>
        <w:rPr>
          <w:spacing w:val="-54"/>
        </w:rPr>
        <w:t> </w:t>
      </w:r>
      <w:r>
        <w:rPr>
          <w:spacing w:val="-54"/>
        </w:rPr>
      </w:r>
      <w:r>
        <w:rPr/>
        <w:t>方协商确定本次交易的资产作价为27,000.00万元。</w:t>
      </w:r>
    </w:p>
    <w:p>
      <w:pPr>
        <w:pStyle w:val="BodyText"/>
        <w:spacing w:line="212" w:lineRule="exact"/>
        <w:ind w:right="0" w:firstLine="480"/>
        <w:jc w:val="left"/>
      </w:pPr>
      <w:r>
        <w:rPr/>
        <w:t>企业管家（北京）科技服务有限公司于2017年8月以3亿元增资霍尔果斯易桥快马企业管理咨询有限公司，形成非同一</w:t>
      </w:r>
    </w:p>
    <w:p>
      <w:pPr>
        <w:pStyle w:val="BodyText"/>
        <w:spacing w:line="232" w:lineRule="exact" w:before="24"/>
        <w:ind w:right="110"/>
        <w:jc w:val="both"/>
      </w:pPr>
      <w:r>
        <w:rPr>
          <w:spacing w:val="-2"/>
        </w:rPr>
        <w:t>控制下企业合并，依据上海众华资产评估有限公司出具的估值咨询书（2017-沪众评预0104），截至2017年6月30日以收益法</w:t>
      </w:r>
      <w:r>
        <w:rPr>
          <w:spacing w:val="-56"/>
        </w:rPr>
        <w:t> </w:t>
      </w:r>
      <w:r>
        <w:rPr>
          <w:spacing w:val="-56"/>
        </w:rPr>
      </w:r>
      <w:r>
        <w:rPr/>
        <w:t>下的股东全部权益价值的评估值14,700.00万元，按照持续计算到并购日其取得的可辨认净资产公允价值份额为33,707.51</w:t>
      </w:r>
      <w:r>
        <w:rPr>
          <w:spacing w:val="-18"/>
        </w:rPr>
        <w:t> </w:t>
      </w:r>
      <w:r>
        <w:rPr>
          <w:spacing w:val="-18"/>
        </w:rPr>
      </w:r>
      <w:r>
        <w:rPr/>
        <w:t>万元，由此计算产生当期损益-3,707.51万元。</w:t>
      </w:r>
    </w:p>
    <w:p>
      <w:pPr>
        <w:pStyle w:val="BodyText"/>
        <w:spacing w:line="212" w:lineRule="exact"/>
        <w:ind w:left="592" w:right="0"/>
        <w:jc w:val="left"/>
      </w:pPr>
      <w:r>
        <w:rPr/>
        <w:t>霍尔果斯易桥快马企业管理咨询有限公司分别于2017年7月13日-2017年9月15日收购厦门易桥金账达财务咨询有限公</w:t>
      </w:r>
    </w:p>
    <w:p>
      <w:pPr>
        <w:pStyle w:val="BodyText"/>
        <w:spacing w:line="232" w:lineRule="exact" w:before="24"/>
        <w:ind w:left="592" w:right="0" w:hanging="480"/>
        <w:jc w:val="left"/>
      </w:pPr>
      <w:r>
        <w:rPr/>
        <w:t>司等34家公司，形成非同一控制下企业合并，按照收购时账面净资产与实际支付的对价形成商誉45,905.41万元。 大额商誉形成的主要原因： </w:t>
      </w:r>
      <w:r>
        <w:rPr>
          <w:spacing w:val="-1"/>
        </w:rPr>
        <w:t>被购买公司的盈利能力较强，对其评估按收益法评估的价值较高，远超过其合并日可辨认净资产的公允价值，因此合</w:t>
      </w:r>
    </w:p>
    <w:p>
      <w:pPr>
        <w:pStyle w:val="BodyText"/>
        <w:spacing w:line="212" w:lineRule="exact"/>
        <w:ind w:right="0"/>
        <w:jc w:val="left"/>
      </w:pPr>
      <w:r>
        <w:rPr/>
        <w:t>并中形成了较高的商誉。</w:t>
      </w:r>
    </w:p>
    <w:p>
      <w:pPr>
        <w:spacing w:line="240" w:lineRule="auto" w:before="9"/>
        <w:rPr>
          <w:rFonts w:ascii="宋体" w:hAnsi="宋体" w:cs="宋体" w:eastAsia="宋体" w:hint="default"/>
          <w:sz w:val="18"/>
          <w:szCs w:val="18"/>
        </w:rPr>
      </w:pPr>
    </w:p>
    <w:p>
      <w:pPr>
        <w:pStyle w:val="BodyText"/>
        <w:spacing w:line="240" w:lineRule="auto"/>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宁波神州开元会计服务有限公司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1002" w:right="99" w:hanging="90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 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7"/>
              <w:ind w:left="327" w:right="100" w:hanging="226"/>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 有限公司所属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家子公司</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6"/>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75,848,164.35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75,057,959.61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934,231,157.78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895,421,460.10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29,286,127.88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29,286,127.88</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7,947,739.53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7,947,739.53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4,234,554.58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4,234,554.58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14,072,491.42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14,072,491.42</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50,453,697.65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50,453,697.65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316,078,666.73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316,078,666.73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11,294,511.66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11,294,511.66</w:t>
            </w:r>
          </w:p>
        </w:tc>
      </w:tr>
      <w:tr>
        <w:trPr>
          <w:trHeight w:val="3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2,934,286.64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2,138,554.15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12,130.58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12,130.58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1,618,309.27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1,618,309.27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48,544.73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54,072.48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1,181,477.21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1,181,477.21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259,888,300.00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259,888,300.00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393,219.31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393,219.31</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1,345,227.02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1,345,227.02</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12,915,480.79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12,915,480.79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38,197.01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38,197.01</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325,880,012.77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302,012,475.95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116,937.80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116,937.80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524,172.19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524,172.19</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28,137,493.12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13,195,332.26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46,618,400.70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46,618,400.70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484,797,752.79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484,797,752.79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6,817,304.15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6,817,301.45</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1,500,482.49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1,500,482.49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484,797,752.79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484,797,752.79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425,598.34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425,598.34</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15,122,846.82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15,122,846.82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732,379.33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732,379.33</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28,814,983.76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28,814,983.76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1,971,965.46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1,971,965.46</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1,180,087.63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1,180,087.63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3,687,358.32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3,687,358.32</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29,229,763.65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28,439,558.91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449,433,404.99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410,623,707.31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22,468,826.43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22,468,826.43</w:t>
            </w: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11,691,905.46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11,375,823.56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112,358,351.25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102,655,926.83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17,537,858.19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17,063,735.35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337,075,053.74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307,967,780.48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22,468,826.43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22,468,826.43</w:t>
            </w:r>
          </w:p>
        </w:tc>
      </w:tr>
    </w:tbl>
    <w:p>
      <w:pPr>
        <w:spacing w:line="240" w:lineRule="auto" w:before="3"/>
        <w:rPr>
          <w:rFonts w:ascii="宋体" w:hAnsi="宋体" w:cs="宋体" w:eastAsia="宋体" w:hint="default"/>
          <w:sz w:val="16"/>
          <w:szCs w:val="16"/>
        </w:rPr>
      </w:pPr>
    </w:p>
    <w:p>
      <w:pPr>
        <w:pStyle w:val="BodyText"/>
        <w:spacing w:line="280" w:lineRule="auto" w:before="44"/>
        <w:ind w:right="1274"/>
        <w:jc w:val="left"/>
      </w:pPr>
      <w:r>
        <w:rPr/>
        <w:t>可辨认资产、负债公允价值的确定方法： 被购买方可辨认净资产、负债的公允价值根据资产评估机构出具的评估报告的评估值为基础持续计算确定。</w:t>
      </w:r>
    </w:p>
    <w:p>
      <w:pPr>
        <w:spacing w:line="240" w:lineRule="auto" w:before="4"/>
        <w:rPr>
          <w:rFonts w:ascii="宋体" w:hAnsi="宋体" w:cs="宋体" w:eastAsia="宋体" w:hint="default"/>
          <w:sz w:val="19"/>
          <w:szCs w:val="19"/>
        </w:rPr>
      </w:pPr>
    </w:p>
    <w:p>
      <w:pPr>
        <w:pStyle w:val="BodyText"/>
        <w:spacing w:line="278" w:lineRule="auto"/>
        <w:ind w:right="6494"/>
        <w:jc w:val="left"/>
      </w:pPr>
      <w:r>
        <w:rPr/>
        <w:t>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3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02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4"/>
          <w:szCs w:val="4"/>
        </w:rPr>
      </w:pPr>
    </w:p>
    <w:p>
      <w:pPr>
        <w:spacing w:line="337"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779;height:318" coordorigin="13,12" coordsize="4779,318">
              <v:shape style="position:absolute;left:13;top:12;width:4779;height:318" coordorigin="13,12" coordsize="4779,318" path="m13,12l4792,12,4792,330,13,330,13,12xe" filled="true" fillcolor="#d2d2d2" stroked="false">
                <v:path arrowok="t"/>
                <v:fill type="solid"/>
              </v:shape>
            </v:group>
            <v:group style="position:absolute;left:4797;top:12;width:4779;height:318" coordorigin="4797,12" coordsize="4779,318">
              <v:shape style="position:absolute;left:4797;top:12;width:4779;height:318" coordorigin="4797,12" coordsize="4779,318" path="m4797,12l9576,12,9576,330,4797,330,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794;top:5;width:2;height:323" coordorigin="4794,5" coordsize="2,323">
              <v:shape style="position:absolute;left:4794;top:5;width:2;height:323" coordorigin="4794,5" coordsize="0,323" path="m4794,5l4794,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10;top:10;width:4784;height:323" type="#_x0000_t202" filled="false" stroked="false">
                <v:textbox inset="0,0,0,0">
                  <w:txbxContent>
                    <w:p>
                      <w:pPr>
                        <w:spacing w:before="1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6"/>
          <w:sz w:val="20"/>
          <w:szCs w:val="20"/>
        </w:rPr>
      </w:r>
    </w:p>
    <w:p>
      <w:pPr>
        <w:spacing w:after="0" w:line="337" w:lineRule="exact"/>
        <w:rPr>
          <w:rFonts w:ascii="宋体" w:hAnsi="宋体" w:cs="宋体" w:eastAsia="宋体" w:hint="default"/>
          <w:sz w:val="20"/>
          <w:szCs w:val="20"/>
        </w:rPr>
        <w:sectPr>
          <w:pgSz w:w="11910" w:h="16840"/>
          <w:pgMar w:header="878" w:footer="978" w:top="1100" w:bottom="1160" w:left="1020" w:right="1020"/>
        </w:sectPr>
      </w:pPr>
    </w:p>
    <w:p>
      <w:pPr>
        <w:spacing w:line="240" w:lineRule="auto" w:before="12"/>
        <w:rPr>
          <w:rFonts w:ascii="宋体" w:hAnsi="宋体" w:cs="宋体" w:eastAsia="宋体" w:hint="default"/>
          <w:sz w:val="18"/>
          <w:szCs w:val="18"/>
        </w:rPr>
      </w:pPr>
    </w:p>
    <w:p>
      <w:pPr>
        <w:pStyle w:val="BodyText"/>
        <w:spacing w:line="278" w:lineRule="auto" w:before="44"/>
        <w:ind w:left="272" w:right="7734"/>
        <w:jc w:val="left"/>
      </w:pPr>
      <w:r>
        <w:rPr/>
        <w:t>或有对价及其变动的说明： 其他说明：</w:t>
      </w:r>
    </w:p>
    <w:p>
      <w:pPr>
        <w:spacing w:line="240" w:lineRule="auto" w:before="0"/>
        <w:rPr>
          <w:rFonts w:ascii="宋体" w:hAnsi="宋体" w:cs="宋体" w:eastAsia="宋体" w:hint="default"/>
          <w:sz w:val="20"/>
          <w:szCs w:val="20"/>
        </w:rPr>
      </w:pPr>
    </w:p>
    <w:p>
      <w:pPr>
        <w:pStyle w:val="Heading3"/>
        <w:spacing w:line="240" w:lineRule="auto"/>
        <w:ind w:left="272"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272"/>
        <w:jc w:val="right"/>
      </w:pPr>
      <w:r>
        <w:rPr/>
        <w:t>单位：</w:t>
      </w:r>
      <w:r>
        <w:rPr>
          <w:spacing w:val="-2"/>
        </w:rPr>
        <w:t> </w:t>
      </w:r>
      <w:r>
        <w:rPr/>
        <w:t>元</w:t>
      </w:r>
    </w:p>
    <w:p>
      <w:pPr>
        <w:spacing w:line="240" w:lineRule="auto" w:before="11"/>
        <w:rPr>
          <w:rFonts w:ascii="宋体" w:hAnsi="宋体" w:cs="宋体" w:eastAsia="宋体" w:hint="default"/>
          <w:sz w:val="4"/>
          <w:szCs w:val="4"/>
        </w:rPr>
      </w:pPr>
    </w:p>
    <w:p>
      <w:pPr>
        <w:spacing w:line="639" w:lineRule="exact"/>
        <w:ind w:left="26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5pt;height:32pt;mso-position-horizontal-relative:char;mso-position-vertical-relative:line" coordorigin="0,0" coordsize="9590,640">
            <v:group style="position:absolute;left:13;top:12;width:3185;height:291" coordorigin="13,12" coordsize="3185,291">
              <v:shape style="position:absolute;left:13;top:12;width:3185;height:291" coordorigin="13,12" coordsize="3185,291" path="m13,12l3198,12,3198,303,13,303,13,12xe" filled="true" fillcolor="#d2d2d2" stroked="false">
                <v:path arrowok="t"/>
                <v:fill type="solid"/>
              </v:shape>
            </v:group>
            <v:group style="position:absolute;left:3203;top:12;width:6375;height:291" coordorigin="3203,12" coordsize="6375,291">
              <v:shape style="position:absolute;left:3203;top:12;width:6375;height:291" coordorigin="3203,12" coordsize="6375,291" path="m3203,12l9578,12,9578,303,3203,303,3203,12xe" filled="true" fillcolor="#e0ffff" stroked="false">
                <v:path arrowok="t"/>
                <v:fill type="solid"/>
              </v:shape>
            </v:group>
            <v:group style="position:absolute;left:13;top:309;width:3185;height:318" coordorigin="13,309" coordsize="3185,318">
              <v:shape style="position:absolute;left:13;top:309;width:3185;height:318" coordorigin="13,309" coordsize="3185,318" path="m13,309l3198,309,3198,627,13,627,13,309xe" filled="true" fillcolor="#d2d2d2" stroked="false">
                <v:path arrowok="t"/>
                <v:fill type="solid"/>
              </v:shape>
            </v:group>
            <v:group style="position:absolute;left:3203;top:309;width:3185;height:318" coordorigin="3203,309" coordsize="3185,318">
              <v:shape style="position:absolute;left:3203;top:309;width:3185;height:318" coordorigin="3203,309" coordsize="3185,318" path="m3203,309l6388,309,6388,627,3203,627,3203,309xe" filled="true" fillcolor="#d2d2d2" stroked="false">
                <v:path arrowok="t"/>
                <v:fill type="solid"/>
              </v:shape>
            </v:group>
            <v:group style="position:absolute;left:6393;top:309;width:3185;height:318" coordorigin="6393,309" coordsize="3185,318">
              <v:shape style="position:absolute;left:6393;top:309;width:3185;height:318" coordorigin="6393,309" coordsize="3185,318" path="m6393,309l9578,309,9578,627,6393,627,6393,309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307;width:9580;height:2" coordorigin="5,307" coordsize="9580,2">
              <v:shape style="position:absolute;left:5;top:307;width:9580;height:2" coordorigin="5,307" coordsize="9580,0" path="m5,307l9584,307e" filled="false" stroked="true" strokeweight=".48pt" strokecolor="#000000">
                <v:path arrowok="t"/>
              </v:shape>
            </v:group>
            <v:group style="position:absolute;left:5;top:630;width:9580;height:2" coordorigin="5,630" coordsize="9580,2">
              <v:shape style="position:absolute;left:5;top:630;width:9580;height:2" coordorigin="5,630" coordsize="9580,0" path="m5,630l9584,630e" filled="false" stroked="true" strokeweight=".48pt" strokecolor="#000000">
                <v:path arrowok="t"/>
              </v:shape>
            </v:group>
            <v:group style="position:absolute;left:10;top:5;width:2;height:630" coordorigin="10,5" coordsize="2,630">
              <v:shape style="position:absolute;left:10;top:5;width:2;height:630" coordorigin="10,5" coordsize="0,630" path="m10,5l10,634e" filled="false" stroked="true" strokeweight=".48pt" strokecolor="#000000">
                <v:path arrowok="t"/>
              </v:shape>
            </v:group>
            <v:group style="position:absolute;left:3200;top:5;width:2;height:620" coordorigin="3200,5" coordsize="2,620">
              <v:shape style="position:absolute;left:3200;top:5;width:2;height:620" coordorigin="3200,5" coordsize="0,620" path="m3200,5l3200,625e" filled="false" stroked="true" strokeweight=".48pt" strokecolor="#000000">
                <v:path arrowok="t"/>
              </v:shape>
            </v:group>
            <v:group style="position:absolute;left:6390;top:302;width:2;height:323" coordorigin="6390,302" coordsize="2,323">
              <v:shape style="position:absolute;left:6390;top:302;width:2;height:323" coordorigin="6390,302" coordsize="0,323" path="m6390,302l6390,625e" filled="false" stroked="true" strokeweight=".48pt" strokecolor="#000000">
                <v:path arrowok="t"/>
              </v:shape>
            </v:group>
            <v:group style="position:absolute;left:9580;top:14;width:2;height:620" coordorigin="9580,14" coordsize="2,620">
              <v:shape style="position:absolute;left:9580;top:14;width:2;height:620" coordorigin="9580,14" coordsize="0,620" path="m9580,14l9580,634e" filled="false" stroked="true" strokeweight=".48pt" strokecolor="#000000">
                <v:path arrowok="t"/>
              </v:shape>
              <v:shape style="position:absolute;left:3200;top:307;width:3190;height:323" type="#_x0000_t202" filled="false" stroked="false">
                <v:textbox inset="0,0,0,0">
                  <w:txbxContent>
                    <w:p>
                      <w:pPr>
                        <w:spacing w:before="1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307;width:3190;height:323" type="#_x0000_t202" filled="false" stroked="false">
                <v:textbox inset="0,0,0,0">
                  <w:txbxContent>
                    <w:p>
                      <w:pPr>
                        <w:spacing w:before="16"/>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2"/>
          <w:sz w:val="20"/>
          <w:szCs w:val="20"/>
        </w:rPr>
      </w:r>
    </w:p>
    <w:p>
      <w:pPr>
        <w:pStyle w:val="BodyText"/>
        <w:spacing w:line="276" w:lineRule="auto" w:before="8"/>
        <w:ind w:left="272" w:right="6654"/>
        <w:jc w:val="left"/>
      </w:pPr>
      <w:r>
        <w:rPr/>
        <w:t>企业合并中承担的被合并方的或有负债： 其他说明：</w:t>
      </w:r>
    </w:p>
    <w:p>
      <w:pPr>
        <w:spacing w:line="240" w:lineRule="auto" w:before="5"/>
        <w:rPr>
          <w:rFonts w:ascii="宋体" w:hAnsi="宋体" w:cs="宋体" w:eastAsia="宋体" w:hint="default"/>
          <w:sz w:val="20"/>
          <w:szCs w:val="20"/>
        </w:rPr>
      </w:pPr>
    </w:p>
    <w:p>
      <w:pPr>
        <w:pStyle w:val="Heading3"/>
        <w:spacing w:line="240" w:lineRule="auto"/>
        <w:ind w:left="272" w:right="7734"/>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left="272"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8"/>
        <w:rPr>
          <w:rFonts w:ascii="宋体" w:hAnsi="宋体" w:cs="宋体" w:eastAsia="宋体" w:hint="default"/>
          <w:sz w:val="20"/>
          <w:szCs w:val="20"/>
        </w:rPr>
      </w:pPr>
    </w:p>
    <w:p>
      <w:pPr>
        <w:pStyle w:val="Heading3"/>
        <w:spacing w:line="240" w:lineRule="auto"/>
        <w:ind w:left="272" w:right="7734"/>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8" w:footer="978" w:top="1100" w:bottom="1160" w:left="860" w:right="860"/>
        </w:sectPr>
      </w:pPr>
    </w:p>
    <w:p>
      <w:pPr>
        <w:pStyle w:val="BodyText"/>
        <w:spacing w:line="240" w:lineRule="auto" w:before="44"/>
        <w:ind w:left="272" w:right="-20"/>
        <w:jc w:val="left"/>
      </w:pPr>
      <w:r>
        <w:rPr/>
        <w:t>是否存在单次处置对子公司投资即丧失控制权的情形</w:t>
      </w:r>
    </w:p>
    <w:p>
      <w:pPr>
        <w:pStyle w:val="BodyText"/>
        <w:spacing w:line="240" w:lineRule="auto" w:before="38"/>
        <w:ind w:left="27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272" w:right="0"/>
        <w:jc w:val="left"/>
      </w:pPr>
      <w:r>
        <w:rPr/>
        <w:t>单位：</w:t>
      </w:r>
      <w:r>
        <w:rPr>
          <w:spacing w:val="-2"/>
        </w:rPr>
        <w:t> </w:t>
      </w:r>
      <w:r>
        <w:rPr/>
        <w:t>元</w:t>
      </w:r>
    </w:p>
    <w:p>
      <w:pPr>
        <w:spacing w:after="0" w:line="240" w:lineRule="auto"/>
        <w:jc w:val="left"/>
        <w:sectPr>
          <w:type w:val="continuous"/>
          <w:pgSz w:w="11910" w:h="16840"/>
          <w:pgMar w:top="1060" w:bottom="1160" w:left="860" w:right="860"/>
          <w:cols w:num="2" w:equalWidth="0">
            <w:col w:w="4413" w:space="4416"/>
            <w:col w:w="1361"/>
          </w:cols>
        </w:sectPr>
      </w:pP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34"/>
        <w:gridCol w:w="736"/>
        <w:gridCol w:w="736"/>
        <w:gridCol w:w="735"/>
        <w:gridCol w:w="735"/>
        <w:gridCol w:w="735"/>
        <w:gridCol w:w="735"/>
        <w:gridCol w:w="735"/>
        <w:gridCol w:w="737"/>
        <w:gridCol w:w="736"/>
        <w:gridCol w:w="736"/>
        <w:gridCol w:w="736"/>
        <w:gridCol w:w="736"/>
      </w:tblGrid>
      <w:tr>
        <w:trPr>
          <w:trHeight w:val="279"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34"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91"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90" w:right="92"/>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92"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92" w:right="0"/>
              <w:jc w:val="both"/>
              <w:rPr>
                <w:rFonts w:ascii="宋体" w:hAnsi="宋体" w:cs="宋体" w:eastAsia="宋体" w:hint="default"/>
                <w:sz w:val="18"/>
                <w:szCs w:val="18"/>
              </w:rPr>
            </w:pPr>
            <w:r>
              <w:rPr>
                <w:rFonts w:ascii="宋体" w:hAnsi="宋体" w:cs="宋体" w:eastAsia="宋体" w:hint="default"/>
                <w:sz w:val="18"/>
                <w:szCs w:val="18"/>
              </w:rPr>
              <w:t>款与处</w:t>
            </w:r>
          </w:p>
          <w:p>
            <w:pPr>
              <w:pStyle w:val="TableParagraph"/>
              <w:spacing w:line="237" w:lineRule="auto"/>
              <w:ind w:left="92" w:right="91"/>
              <w:jc w:val="both"/>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91"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93" w:right="90"/>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auto" w:before="90"/>
              <w:ind w:left="92"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auto" w:before="90"/>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78"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98"/>
              <w:jc w:val="both"/>
              <w:rPr>
                <w:rFonts w:ascii="宋体" w:hAnsi="宋体" w:cs="宋体" w:eastAsia="宋体" w:hint="default"/>
                <w:sz w:val="18"/>
                <w:szCs w:val="18"/>
              </w:rPr>
            </w:pPr>
            <w:r>
              <w:rPr>
                <w:rFonts w:ascii="宋体" w:hAnsi="宋体" w:cs="宋体" w:eastAsia="宋体" w:hint="default"/>
                <w:sz w:val="18"/>
                <w:szCs w:val="18"/>
              </w:rPr>
              <w:t>河南焦作金 箭明胶有限 责任公司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60"/>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12,812,4</w:t>
            </w:r>
          </w:p>
          <w:p>
            <w:pPr>
              <w:pStyle w:val="TableParagraph"/>
              <w:spacing w:line="207" w:lineRule="exact"/>
              <w:ind w:left="296" w:right="0"/>
              <w:jc w:val="left"/>
              <w:rPr>
                <w:rFonts w:ascii="Times New Roman" w:hAnsi="Times New Roman" w:cs="Times New Roman" w:eastAsia="Times New Roman" w:hint="default"/>
                <w:sz w:val="18"/>
                <w:szCs w:val="18"/>
              </w:rPr>
            </w:pPr>
            <w:r>
              <w:rPr>
                <w:rFonts w:ascii="Times New Roman"/>
                <w:sz w:val="18"/>
              </w:rPr>
              <w:t>33.21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3" w:right="198"/>
              <w:jc w:val="left"/>
              <w:rPr>
                <w:rFonts w:ascii="宋体" w:hAnsi="宋体" w:cs="宋体" w:eastAsia="宋体" w:hint="default"/>
                <w:sz w:val="18"/>
                <w:szCs w:val="18"/>
              </w:rPr>
            </w:pPr>
            <w:r>
              <w:rPr>
                <w:rFonts w:ascii="宋体" w:hAnsi="宋体" w:cs="宋体" w:eastAsia="宋体" w:hint="default"/>
                <w:sz w:val="18"/>
                <w:szCs w:val="18"/>
              </w:rPr>
              <w:t>青海明胶有 限责任公司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125,360,</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3" w:right="160"/>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19,080,0</w:t>
            </w:r>
          </w:p>
          <w:p>
            <w:pPr>
              <w:pStyle w:val="TableParagraph"/>
              <w:spacing w:line="207" w:lineRule="exact"/>
              <w:ind w:left="296" w:right="0"/>
              <w:jc w:val="left"/>
              <w:rPr>
                <w:rFonts w:ascii="Times New Roman" w:hAnsi="Times New Roman" w:cs="Times New Roman" w:eastAsia="Times New Roman" w:hint="default"/>
                <w:sz w:val="18"/>
                <w:szCs w:val="18"/>
              </w:rPr>
            </w:pPr>
            <w:r>
              <w:rPr>
                <w:rFonts w:ascii="Times New Roman"/>
                <w:sz w:val="18"/>
              </w:rPr>
              <w:t>07.85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98"/>
              <w:jc w:val="left"/>
              <w:rPr>
                <w:rFonts w:ascii="宋体" w:hAnsi="宋体" w:cs="宋体" w:eastAsia="宋体" w:hint="default"/>
                <w:sz w:val="18"/>
                <w:szCs w:val="18"/>
              </w:rPr>
            </w:pPr>
            <w:r>
              <w:rPr>
                <w:rFonts w:ascii="宋体" w:hAnsi="宋体" w:cs="宋体" w:eastAsia="宋体" w:hint="default"/>
                <w:sz w:val="18"/>
                <w:szCs w:val="18"/>
              </w:rPr>
              <w:t>青海明诺胶 囊有限公司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60"/>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3,893,38</w:t>
            </w:r>
          </w:p>
          <w:p>
            <w:pPr>
              <w:pStyle w:val="TableParagraph"/>
              <w:spacing w:line="207" w:lineRule="exact"/>
              <w:ind w:left="387" w:right="0"/>
              <w:jc w:val="left"/>
              <w:rPr>
                <w:rFonts w:ascii="Times New Roman" w:hAnsi="Times New Roman" w:cs="Times New Roman" w:eastAsia="Times New Roman" w:hint="default"/>
                <w:sz w:val="18"/>
                <w:szCs w:val="18"/>
              </w:rPr>
            </w:pPr>
            <w:r>
              <w:rPr>
                <w:rFonts w:ascii="Times New Roman"/>
                <w:sz w:val="18"/>
              </w:rPr>
              <w:t>5.44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3" w:right="198"/>
              <w:jc w:val="both"/>
              <w:rPr>
                <w:rFonts w:ascii="宋体" w:hAnsi="宋体" w:cs="宋体" w:eastAsia="宋体" w:hint="default"/>
                <w:sz w:val="18"/>
                <w:szCs w:val="18"/>
              </w:rPr>
            </w:pPr>
            <w:r>
              <w:rPr>
                <w:rFonts w:ascii="宋体" w:hAnsi="宋体" w:cs="宋体" w:eastAsia="宋体" w:hint="default"/>
                <w:sz w:val="18"/>
                <w:szCs w:val="18"/>
              </w:rPr>
              <w:t>柳州宏升胶 原蛋白肠衣 有限公司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127,540,</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60"/>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84" w:right="0"/>
              <w:jc w:val="center"/>
              <w:rPr>
                <w:rFonts w:ascii="Times New Roman" w:hAnsi="Times New Roman" w:cs="Times New Roman" w:eastAsia="Times New Roman" w:hint="default"/>
                <w:sz w:val="18"/>
                <w:szCs w:val="18"/>
              </w:rPr>
            </w:pPr>
            <w:r>
              <w:rPr>
                <w:rFonts w:ascii="Times New Roman"/>
                <w:sz w:val="18"/>
              </w:rPr>
              <w:t>-7,387,8</w:t>
            </w:r>
          </w:p>
          <w:p>
            <w:pPr>
              <w:pStyle w:val="TableParagraph"/>
              <w:spacing w:line="207" w:lineRule="exact"/>
              <w:ind w:left="273" w:right="0"/>
              <w:jc w:val="center"/>
              <w:rPr>
                <w:rFonts w:ascii="Times New Roman" w:hAnsi="Times New Roman" w:cs="Times New Roman" w:eastAsia="Times New Roman" w:hint="default"/>
                <w:sz w:val="18"/>
                <w:szCs w:val="18"/>
              </w:rPr>
            </w:pPr>
            <w:r>
              <w:rPr>
                <w:rFonts w:ascii="Times New Roman"/>
                <w:sz w:val="18"/>
              </w:rPr>
              <w:t>07.41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198"/>
              <w:jc w:val="both"/>
              <w:rPr>
                <w:rFonts w:ascii="宋体" w:hAnsi="宋体" w:cs="宋体" w:eastAsia="宋体" w:hint="default"/>
                <w:sz w:val="18"/>
                <w:szCs w:val="18"/>
              </w:rPr>
            </w:pPr>
            <w:r>
              <w:rPr>
                <w:rFonts w:ascii="宋体" w:hAnsi="宋体" w:cs="宋体" w:eastAsia="宋体" w:hint="default"/>
                <w:sz w:val="18"/>
                <w:szCs w:val="18"/>
              </w:rPr>
              <w:t>广东明洋明 胶有限责任 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32,510,0</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160"/>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73" w:right="0"/>
              <w:jc w:val="left"/>
              <w:rPr>
                <w:rFonts w:ascii="Times New Roman" w:hAnsi="Times New Roman" w:cs="Times New Roman" w:eastAsia="Times New Roman" w:hint="default"/>
                <w:sz w:val="18"/>
                <w:szCs w:val="18"/>
              </w:rPr>
            </w:pPr>
            <w:r>
              <w:rPr>
                <w:rFonts w:ascii="Times New Roman"/>
                <w:sz w:val="18"/>
              </w:rPr>
              <w:t>1,402,32</w:t>
            </w:r>
          </w:p>
          <w:p>
            <w:pPr>
              <w:pStyle w:val="TableParagraph"/>
              <w:spacing w:line="207" w:lineRule="exact"/>
              <w:ind w:left="387" w:right="0"/>
              <w:jc w:val="left"/>
              <w:rPr>
                <w:rFonts w:ascii="Times New Roman" w:hAnsi="Times New Roman" w:cs="Times New Roman" w:eastAsia="Times New Roman" w:hint="default"/>
                <w:sz w:val="18"/>
                <w:szCs w:val="18"/>
              </w:rPr>
            </w:pPr>
            <w:r>
              <w:rPr>
                <w:rFonts w:ascii="Times New Roman"/>
                <w:sz w:val="18"/>
              </w:rPr>
              <w:t>0.17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神州易桥（北 京）财税科技 有限公司的 子公司</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160"/>
              <w:jc w:val="both"/>
              <w:rPr>
                <w:rFonts w:ascii="宋体" w:hAnsi="宋体" w:cs="宋体" w:eastAsia="宋体" w:hint="default"/>
                <w:sz w:val="18"/>
                <w:szCs w:val="18"/>
              </w:rPr>
            </w:pPr>
            <w:r>
              <w:rPr>
                <w:rFonts w:ascii="宋体" w:hAnsi="宋体" w:cs="宋体" w:eastAsia="宋体" w:hint="default"/>
                <w:sz w:val="18"/>
                <w:szCs w:val="18"/>
              </w:rPr>
              <w:t>已注销 或丧失 控制权</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144,564.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60" w:right="860"/>
        </w:sectPr>
      </w:pPr>
    </w:p>
    <w:p>
      <w:pPr>
        <w:spacing w:line="240" w:lineRule="auto" w:before="12"/>
        <w:rPr>
          <w:rFonts w:ascii="宋体" w:hAnsi="宋体" w:cs="宋体" w:eastAsia="宋体" w:hint="default"/>
          <w:sz w:val="18"/>
          <w:szCs w:val="18"/>
        </w:rPr>
      </w:pPr>
    </w:p>
    <w:p>
      <w:pPr>
        <w:pStyle w:val="BodyText"/>
        <w:spacing w:line="278" w:lineRule="auto" w:before="44"/>
        <w:ind w:right="3974"/>
        <w:jc w:val="left"/>
      </w:pPr>
      <w:r>
        <w:rPr/>
        <w:t>其他说明： 是否存在通过多次交易分步处置对子公司投资且在本期丧失控制权的情形</w:t>
      </w:r>
    </w:p>
    <w:p>
      <w:pPr>
        <w:pStyle w:val="BodyText"/>
        <w:spacing w:line="240" w:lineRule="auto" w:before="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2894"/>
        <w:jc w:val="left"/>
      </w:pPr>
      <w:r>
        <w:rPr/>
        <w:t>说明其他原因导致的合并范围变动（如，新设子公司、清算子公司等）及其相关情况： 本期公司新设北京办饭餐饮服务有限公司。</w:t>
      </w:r>
    </w:p>
    <w:p>
      <w:pPr>
        <w:spacing w:line="240" w:lineRule="auto" w:before="1"/>
        <w:rPr>
          <w:rFonts w:ascii="宋体" w:hAnsi="宋体" w:cs="宋体" w:eastAsia="宋体" w:hint="default"/>
          <w:sz w:val="20"/>
          <w:szCs w:val="20"/>
        </w:rPr>
      </w:pPr>
    </w:p>
    <w:p>
      <w:pPr>
        <w:spacing w:line="470"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5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2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76"/>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76"/>
              <w:jc w:val="both"/>
              <w:rPr>
                <w:rFonts w:ascii="宋体" w:hAnsi="宋体" w:cs="宋体" w:eastAsia="宋体" w:hint="default"/>
                <w:sz w:val="18"/>
                <w:szCs w:val="18"/>
              </w:rPr>
            </w:pPr>
            <w:r>
              <w:rPr>
                <w:rFonts w:ascii="宋体" w:hAnsi="宋体" w:cs="宋体" w:eastAsia="宋体" w:hint="default"/>
                <w:spacing w:val="-5"/>
                <w:sz w:val="18"/>
                <w:szCs w:val="18"/>
              </w:rPr>
              <w:t>神州易桥（北京</w:t>
            </w:r>
            <w:r>
              <w:rPr>
                <w:rFonts w:ascii="宋体" w:hAnsi="宋体" w:cs="宋体" w:eastAsia="宋体" w:hint="default"/>
                <w:sz w:val="18"/>
                <w:szCs w:val="18"/>
              </w:rPr>
              <w:t> 财税科技有限公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6"/>
              <w:jc w:val="both"/>
              <w:rPr>
                <w:rFonts w:ascii="宋体" w:hAnsi="宋体" w:cs="宋体" w:eastAsia="宋体" w:hint="default"/>
                <w:sz w:val="18"/>
                <w:szCs w:val="18"/>
              </w:rPr>
            </w:pPr>
            <w:r>
              <w:rPr>
                <w:rFonts w:ascii="宋体" w:hAnsi="宋体" w:cs="宋体" w:eastAsia="宋体" w:hint="default"/>
                <w:spacing w:val="-5"/>
                <w:sz w:val="18"/>
                <w:szCs w:val="18"/>
              </w:rPr>
              <w:t>企业管家（北京</w:t>
            </w:r>
            <w:r>
              <w:rPr>
                <w:rFonts w:ascii="宋体" w:hAnsi="宋体" w:cs="宋体" w:eastAsia="宋体" w:hint="default"/>
                <w:sz w:val="18"/>
                <w:szCs w:val="18"/>
              </w:rPr>
              <w:t> 科技信息服务有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北京办饭餐饮服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bl>
    <w:p>
      <w:pPr>
        <w:pStyle w:val="BodyText"/>
        <w:spacing w:line="278" w:lineRule="auto" w:before="10"/>
        <w:ind w:right="1814"/>
        <w:jc w:val="left"/>
      </w:pPr>
      <w:r>
        <w:rPr/>
        <w:pict>
          <v:shape style="position:absolute;margin-left:119.400002pt;margin-top:-106.988289pt;width:74.1pt;height:39.1pt;mso-position-horizontal-relative:page;mso-position-vertical-relative:paragraph;z-index:-1012144" type="#_x0000_t202" filled="false" stroked="false">
            <v:textbox inset="0,0,0,0">
              <w:txbxContent>
                <w:p>
                  <w:pPr>
                    <w:pStyle w:val="BodyText"/>
                    <w:spacing w:line="240" w:lineRule="auto" w:before="13"/>
                    <w:ind w:left="0" w:right="0"/>
                    <w:jc w:val="left"/>
                  </w:pPr>
                  <w:r>
                    <w:rPr/>
                    <w:t>）</w:t>
                  </w:r>
                </w:p>
              </w:txbxContent>
            </v:textbox>
            <w10:wrap type="none"/>
          </v:shape>
        </w:pict>
      </w:r>
      <w:r>
        <w:rPr/>
        <w:pict>
          <v:shape style="position:absolute;margin-left:119.400002pt;margin-top:-67.488289pt;width:74.1pt;height:39.1pt;mso-position-horizontal-relative:page;mso-position-vertical-relative:paragraph;z-index:-1012120" type="#_x0000_t202" filled="false" stroked="false">
            <v:textbox inset="0,0,0,0">
              <w:txbxContent>
                <w:p>
                  <w:pPr>
                    <w:pStyle w:val="BodyText"/>
                    <w:spacing w:line="240" w:lineRule="auto" w:before="13"/>
                    <w:ind w:left="0" w:right="0"/>
                    <w:jc w:val="left"/>
                  </w:pPr>
                  <w:r>
                    <w:rPr/>
                    <w:t>）</w:t>
                  </w:r>
                </w:p>
              </w:txbxContent>
            </v:textbox>
            <w10:wrap type="none"/>
          </v:shape>
        </w:pict>
      </w:r>
      <w:r>
        <w:rPr/>
        <w:pict>
          <v:group style="position:absolute;margin-left:125.400002pt;margin-top:-106.988289pt;width:68.1pt;height:78.75pt;mso-position-horizontal-relative:page;mso-position-vertical-relative:paragraph;z-index:-1012096" coordorigin="2508,-2140" coordsize="1362,1575">
            <v:group style="position:absolute;left:2508;top:-2140;width:1362;height:785" coordorigin="2508,-2140" coordsize="1362,785">
              <v:shape style="position:absolute;left:2508;top:-2140;width:1362;height:785" coordorigin="2508,-2140" coordsize="1362,785" path="m2508,-2140l3870,-2140,3870,-1355,2508,-1355,2508,-2140xe" filled="true" fillcolor="#ffffff" stroked="false">
                <v:path arrowok="t"/>
                <v:fill type="solid"/>
              </v:shape>
            </v:group>
            <v:group style="position:absolute;left:2508;top:-1350;width:1362;height:785" coordorigin="2508,-1350" coordsize="1362,785">
              <v:shape style="position:absolute;left:2508;top:-1350;width:1362;height:785" coordorigin="2508,-1350" coordsize="1362,785" path="m2508,-1350l3870,-1350,3870,-565,2508,-565,2508,-1350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78" w:lineRule="auto" w:before="9"/>
        <w:ind w:right="6674"/>
        <w:jc w:val="left"/>
      </w:pPr>
      <w:r>
        <w:rPr/>
        <w:t>确定公司是代理人还是委托人的依据：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8"/>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8"/>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81"/>
              <w:jc w:val="left"/>
              <w:rPr>
                <w:rFonts w:ascii="宋体" w:hAnsi="宋体" w:cs="宋体" w:eastAsia="宋体" w:hint="default"/>
                <w:sz w:val="18"/>
                <w:szCs w:val="18"/>
              </w:rPr>
            </w:pPr>
            <w:r>
              <w:rPr>
                <w:rFonts w:ascii="宋体" w:hAnsi="宋体" w:cs="宋体" w:eastAsia="宋体" w:hint="default"/>
                <w:sz w:val="18"/>
                <w:szCs w:val="18"/>
              </w:rPr>
              <w:t>青海宁达创业投资有限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12" w:right="0"/>
              <w:jc w:val="left"/>
              <w:rPr>
                <w:rFonts w:ascii="Times New Roman" w:hAnsi="Times New Roman" w:cs="Times New Roman" w:eastAsia="Times New Roman" w:hint="default"/>
                <w:sz w:val="18"/>
                <w:szCs w:val="18"/>
              </w:rPr>
            </w:pPr>
            <w:r>
              <w:rPr>
                <w:rFonts w:ascii="Times New Roman"/>
                <w:sz w:val="18"/>
              </w:rPr>
              <w:t>-953,712.38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31,622,614.59</w:t>
            </w:r>
          </w:p>
        </w:tc>
      </w:tr>
    </w:tbl>
    <w:p>
      <w:pPr>
        <w:pStyle w:val="BodyText"/>
        <w:spacing w:line="280" w:lineRule="auto" w:before="10"/>
        <w:ind w:right="5414"/>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2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27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青海宁</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达创业</w:t>
            </w:r>
          </w:p>
          <w:p>
            <w:pPr>
              <w:pStyle w:val="TableParagraph"/>
              <w:spacing w:line="240" w:lineRule="auto"/>
              <w:ind w:left="22" w:right="161"/>
              <w:jc w:val="left"/>
              <w:rPr>
                <w:rFonts w:ascii="宋体" w:hAnsi="宋体" w:cs="宋体" w:eastAsia="宋体" w:hint="default"/>
                <w:sz w:val="18"/>
                <w:szCs w:val="18"/>
              </w:rPr>
            </w:pPr>
            <w:r>
              <w:rPr>
                <w:rFonts w:ascii="宋体" w:hAnsi="宋体" w:cs="宋体" w:eastAsia="宋体" w:hint="default"/>
                <w:sz w:val="18"/>
                <w:szCs w:val="18"/>
              </w:rPr>
              <w:t>投资有 限责任</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4" w:right="0"/>
              <w:jc w:val="left"/>
              <w:rPr>
                <w:rFonts w:ascii="Times New Roman" w:hAnsi="Times New Roman" w:cs="Times New Roman" w:eastAsia="Times New Roman" w:hint="default"/>
                <w:sz w:val="18"/>
                <w:szCs w:val="18"/>
              </w:rPr>
            </w:pPr>
            <w:r>
              <w:rPr>
                <w:rFonts w:ascii="Times New Roman"/>
                <w:sz w:val="18"/>
              </w:rPr>
              <w:t>30,525,3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37.66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37,200,0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3" w:right="0"/>
              <w:jc w:val="left"/>
              <w:rPr>
                <w:rFonts w:ascii="Times New Roman" w:hAnsi="Times New Roman" w:cs="Times New Roman" w:eastAsia="Times New Roman" w:hint="default"/>
                <w:sz w:val="18"/>
                <w:szCs w:val="18"/>
              </w:rPr>
            </w:pPr>
            <w:r>
              <w:rPr>
                <w:rFonts w:ascii="Times New Roman"/>
                <w:sz w:val="18"/>
              </w:rPr>
              <w:t>67,725,3</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37.66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3" w:right="0"/>
              <w:jc w:val="left"/>
              <w:rPr>
                <w:rFonts w:ascii="Times New Roman" w:hAnsi="Times New Roman" w:cs="Times New Roman" w:eastAsia="Times New Roman" w:hint="default"/>
                <w:sz w:val="18"/>
                <w:szCs w:val="18"/>
              </w:rPr>
            </w:pPr>
            <w:r>
              <w:rPr>
                <w:rFonts w:ascii="Times New Roman"/>
                <w:sz w:val="18"/>
              </w:rPr>
              <w:t>3,189,38</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9.51</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1" w:right="0"/>
              <w:jc w:val="left"/>
              <w:rPr>
                <w:rFonts w:ascii="Times New Roman" w:hAnsi="Times New Roman" w:cs="Times New Roman" w:eastAsia="Times New Roman" w:hint="default"/>
                <w:sz w:val="18"/>
                <w:szCs w:val="18"/>
              </w:rPr>
            </w:pPr>
            <w:r>
              <w:rPr>
                <w:rFonts w:ascii="Times New Roman"/>
                <w:sz w:val="18"/>
              </w:rPr>
              <w:t>3,189,38</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9.51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1" w:right="0"/>
              <w:jc w:val="left"/>
              <w:rPr>
                <w:rFonts w:ascii="Times New Roman" w:hAnsi="Times New Roman" w:cs="Times New Roman" w:eastAsia="Times New Roman" w:hint="default"/>
                <w:sz w:val="18"/>
                <w:szCs w:val="18"/>
              </w:rPr>
            </w:pPr>
            <w:r>
              <w:rPr>
                <w:rFonts w:ascii="Times New Roman"/>
                <w:sz w:val="18"/>
              </w:rPr>
              <w:t>31,617,2</w:t>
            </w:r>
          </w:p>
          <w:p>
            <w:pPr>
              <w:pStyle w:val="TableParagraph"/>
              <w:spacing w:line="207" w:lineRule="exact"/>
              <w:ind w:left="296" w:right="0"/>
              <w:jc w:val="left"/>
              <w:rPr>
                <w:rFonts w:ascii="Times New Roman" w:hAnsi="Times New Roman" w:cs="Times New Roman" w:eastAsia="Times New Roman" w:hint="default"/>
                <w:sz w:val="18"/>
                <w:szCs w:val="18"/>
              </w:rPr>
            </w:pPr>
            <w:r>
              <w:rPr>
                <w:rFonts w:ascii="Times New Roman"/>
                <w:sz w:val="18"/>
              </w:rPr>
              <w:t>00.94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37,200,0</w:t>
            </w:r>
          </w:p>
          <w:p>
            <w:pPr>
              <w:pStyle w:val="TableParagraph"/>
              <w:spacing w:line="207" w:lineRule="exact"/>
              <w:ind w:left="296"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68,817,2</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00.94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4"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0.99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0.99</w:t>
            </w:r>
          </w:p>
        </w:tc>
      </w:tr>
      <w:tr>
        <w:trPr>
          <w:trHeight w:val="27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27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广东明</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24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洋明胶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16,791,7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59,018,9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75,810,6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23,960,9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23,960,9</w:t>
            </w:r>
          </w:p>
        </w:tc>
      </w:tr>
      <w:tr>
        <w:trPr>
          <w:trHeight w:val="22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13.61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49.63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pacing w:val="-1"/>
                <w:sz w:val="18"/>
              </w:rPr>
              <w:t>63.24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pacing w:val="-1"/>
                <w:sz w:val="18"/>
              </w:rPr>
              <w:t>62.42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62.42</w:t>
            </w:r>
          </w:p>
        </w:tc>
      </w:tr>
      <w:tr>
        <w:trPr>
          <w:trHeight w:val="279"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河南焦</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作金箭</w:t>
            </w:r>
          </w:p>
          <w:p>
            <w:pPr>
              <w:pStyle w:val="TableParagraph"/>
              <w:spacing w:line="240" w:lineRule="auto"/>
              <w:ind w:left="22" w:right="161"/>
              <w:jc w:val="left"/>
              <w:rPr>
                <w:rFonts w:ascii="宋体" w:hAnsi="宋体" w:cs="宋体" w:eastAsia="宋体" w:hint="default"/>
                <w:sz w:val="18"/>
                <w:szCs w:val="18"/>
              </w:rPr>
            </w:pPr>
            <w:r>
              <w:rPr>
                <w:rFonts w:ascii="宋体" w:hAnsi="宋体" w:cs="宋体" w:eastAsia="宋体" w:hint="default"/>
                <w:sz w:val="18"/>
                <w:szCs w:val="18"/>
              </w:rPr>
              <w:t>明胶有 限责任</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1" w:right="0"/>
              <w:jc w:val="left"/>
              <w:rPr>
                <w:rFonts w:ascii="Times New Roman" w:hAnsi="Times New Roman" w:cs="Times New Roman" w:eastAsia="Times New Roman" w:hint="default"/>
                <w:sz w:val="18"/>
                <w:szCs w:val="18"/>
              </w:rPr>
            </w:pPr>
            <w:r>
              <w:rPr>
                <w:rFonts w:ascii="Times New Roman"/>
                <w:sz w:val="18"/>
              </w:rPr>
              <w:t>8,122,75</w:t>
            </w:r>
          </w:p>
          <w:p>
            <w:pPr>
              <w:pStyle w:val="TableParagraph"/>
              <w:spacing w:line="207" w:lineRule="exact"/>
              <w:ind w:left="387" w:right="0"/>
              <w:jc w:val="left"/>
              <w:rPr>
                <w:rFonts w:ascii="Times New Roman" w:hAnsi="Times New Roman" w:cs="Times New Roman" w:eastAsia="Times New Roman" w:hint="default"/>
                <w:sz w:val="18"/>
                <w:szCs w:val="18"/>
              </w:rPr>
            </w:pPr>
            <w:r>
              <w:rPr>
                <w:rFonts w:ascii="Times New Roman"/>
                <w:sz w:val="18"/>
              </w:rPr>
              <w:t>6.05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29,644,7</w:t>
            </w:r>
          </w:p>
          <w:p>
            <w:pPr>
              <w:pStyle w:val="TableParagraph"/>
              <w:spacing w:line="207" w:lineRule="exact"/>
              <w:ind w:left="296" w:right="0"/>
              <w:jc w:val="left"/>
              <w:rPr>
                <w:rFonts w:ascii="Times New Roman" w:hAnsi="Times New Roman" w:cs="Times New Roman" w:eastAsia="Times New Roman" w:hint="default"/>
                <w:sz w:val="18"/>
                <w:szCs w:val="18"/>
              </w:rPr>
            </w:pPr>
            <w:r>
              <w:rPr>
                <w:rFonts w:ascii="Times New Roman"/>
                <w:sz w:val="18"/>
              </w:rPr>
              <w:t>79.52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37,767,5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35.57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4" w:right="0"/>
              <w:jc w:val="left"/>
              <w:rPr>
                <w:rFonts w:ascii="Times New Roman" w:hAnsi="Times New Roman" w:cs="Times New Roman" w:eastAsia="Times New Roman" w:hint="default"/>
                <w:sz w:val="18"/>
                <w:szCs w:val="18"/>
              </w:rPr>
            </w:pPr>
            <w:r>
              <w:rPr>
                <w:rFonts w:ascii="Times New Roman"/>
                <w:sz w:val="18"/>
              </w:rPr>
              <w:t>49,848,5</w:t>
            </w:r>
          </w:p>
          <w:p>
            <w:pPr>
              <w:pStyle w:val="TableParagraph"/>
              <w:spacing w:line="207" w:lineRule="exact"/>
              <w:ind w:left="307" w:right="0"/>
              <w:jc w:val="left"/>
              <w:rPr>
                <w:rFonts w:ascii="Times New Roman" w:hAnsi="Times New Roman" w:cs="Times New Roman" w:eastAsia="Times New Roman" w:hint="default"/>
                <w:sz w:val="18"/>
                <w:szCs w:val="18"/>
              </w:rPr>
            </w:pPr>
            <w:r>
              <w:rPr>
                <w:rFonts w:ascii="Times New Roman"/>
                <w:sz w:val="18"/>
              </w:rPr>
              <w:t>84.11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07" w:lineRule="exact" w:before="142"/>
              <w:ind w:left="72" w:right="0"/>
              <w:jc w:val="left"/>
              <w:rPr>
                <w:rFonts w:ascii="Times New Roman" w:hAnsi="Times New Roman" w:cs="Times New Roman" w:eastAsia="Times New Roman" w:hint="default"/>
                <w:sz w:val="18"/>
                <w:szCs w:val="18"/>
              </w:rPr>
            </w:pPr>
            <w:r>
              <w:rPr>
                <w:rFonts w:ascii="Times New Roman"/>
                <w:sz w:val="18"/>
              </w:rPr>
              <w:t>49,848,5</w:t>
            </w:r>
          </w:p>
          <w:p>
            <w:pPr>
              <w:pStyle w:val="TableParagraph"/>
              <w:spacing w:line="207" w:lineRule="exact"/>
              <w:ind w:left="305" w:right="0"/>
              <w:jc w:val="left"/>
              <w:rPr>
                <w:rFonts w:ascii="Times New Roman" w:hAnsi="Times New Roman" w:cs="Times New Roman" w:eastAsia="Times New Roman" w:hint="default"/>
                <w:sz w:val="18"/>
                <w:szCs w:val="18"/>
              </w:rPr>
            </w:pPr>
            <w:r>
              <w:rPr>
                <w:rFonts w:ascii="Times New Roman"/>
                <w:sz w:val="18"/>
              </w:rPr>
              <w:t>84.11</w:t>
            </w:r>
          </w:p>
        </w:tc>
      </w:tr>
      <w:tr>
        <w:trPr>
          <w:trHeight w:val="27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2"/>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32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9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26"/>
              <w:jc w:val="both"/>
              <w:rPr>
                <w:rFonts w:ascii="宋体" w:hAnsi="宋体" w:cs="宋体" w:eastAsia="宋体" w:hint="default"/>
                <w:sz w:val="18"/>
                <w:szCs w:val="18"/>
              </w:rPr>
            </w:pPr>
            <w:r>
              <w:rPr>
                <w:rFonts w:ascii="宋体" w:hAnsi="宋体" w:cs="宋体" w:eastAsia="宋体" w:hint="default"/>
                <w:sz w:val="18"/>
                <w:szCs w:val="18"/>
              </w:rPr>
              <w:t>青海宁达创 业投资有限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-1,946,351.80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-1,946,351.80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-877,928.81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5,748,560.48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-9,465,939.52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-26,065,594.3</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26"/>
              <w:jc w:val="both"/>
              <w:rPr>
                <w:rFonts w:ascii="宋体" w:hAnsi="宋体" w:cs="宋体" w:eastAsia="宋体" w:hint="default"/>
                <w:sz w:val="18"/>
                <w:szCs w:val="18"/>
              </w:rPr>
            </w:pPr>
            <w:r>
              <w:rPr>
                <w:rFonts w:ascii="宋体" w:hAnsi="宋体" w:cs="宋体" w:eastAsia="宋体" w:hint="default"/>
                <w:sz w:val="18"/>
                <w:szCs w:val="18"/>
              </w:rPr>
              <w:t>广东明洋明 胶有限责任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12,372,288.7</w:t>
            </w:r>
          </w:p>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-5,644,668.98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-5,644,668.98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9,529,773.10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16,857,163.6</w:t>
            </w:r>
          </w:p>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-3,715,559.22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-3,715,559.22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-2,964,485.68</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6"/>
              <w:jc w:val="both"/>
              <w:rPr>
                <w:rFonts w:ascii="宋体" w:hAnsi="宋体" w:cs="宋体" w:eastAsia="宋体" w:hint="default"/>
                <w:sz w:val="18"/>
                <w:szCs w:val="18"/>
              </w:rPr>
            </w:pPr>
            <w:r>
              <w:rPr>
                <w:rFonts w:ascii="宋体" w:hAnsi="宋体" w:cs="宋体" w:eastAsia="宋体" w:hint="default"/>
                <w:sz w:val="18"/>
                <w:szCs w:val="18"/>
              </w:rPr>
              <w:t>河南焦作金 箭明胶有限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5,961,346.13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-12,443,248.7</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-12,443,248.7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442,819.64</w:t>
            </w:r>
          </w:p>
        </w:tc>
      </w:tr>
    </w:tbl>
    <w:p>
      <w:pPr>
        <w:pStyle w:val="BodyText"/>
        <w:spacing w:line="240" w:lineRule="auto" w:before="13"/>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11" w:lineRule="exact"/>
        <w:ind w:left="10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9.4pt;height:15.6pt;mso-position-horizontal-relative:char;mso-position-vertical-relative:line" coordorigin="0,0" coordsize="9588,312">
            <v:group style="position:absolute;left:13;top:12;width:4779;height:291" coordorigin="13,12" coordsize="4779,291">
              <v:shape style="position:absolute;left:13;top:12;width:4779;height:291" coordorigin="13,12" coordsize="4779,291" path="m13,12l4792,12,4792,303,13,303,13,12xe" filled="true" fillcolor="#d2d2d2" stroked="false">
                <v:path arrowok="t"/>
                <v:fill type="solid"/>
              </v:shape>
            </v:group>
            <v:group style="position:absolute;left:4797;top:12;width:4779;height:291" coordorigin="4797,12" coordsize="4779,291">
              <v:shape style="position:absolute;left:4797;top:12;width:4779;height:291" coordorigin="4797,12" coordsize="4779,291" path="m4797,12l9576,12,9576,303,4797,303,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07;width:9578;height:2" coordorigin="5,307" coordsize="9578,2">
              <v:shape style="position:absolute;left:5;top:307;width:9578;height:2" coordorigin="5,307" coordsize="9578,0" path="m5,307l9582,307e" filled="false" stroked="true" strokeweight=".48pt" strokecolor="#000000">
                <v:path arrowok="t"/>
              </v:shape>
            </v:group>
            <v:group style="position:absolute;left:10;top:5;width:2;height:297" coordorigin="10,5" coordsize="2,297">
              <v:shape style="position:absolute;left:10;top:5;width:2;height:297" coordorigin="10,5" coordsize="0,297" path="m10,5l10,302e" filled="false" stroked="true" strokeweight=".48pt" strokecolor="#000000">
                <v:path arrowok="t"/>
              </v:shape>
            </v:group>
            <v:group style="position:absolute;left:4794;top:5;width:2;height:297" coordorigin="4794,5" coordsize="2,297">
              <v:shape style="position:absolute;left:4794;top:5;width:2;height:297" coordorigin="4794,5" coordsize="0,297" path="m4794,5l4794,302e" filled="false" stroked="true" strokeweight=".48pt" strokecolor="#000000">
                <v:path arrowok="t"/>
              </v:shape>
            </v:group>
            <v:group style="position:absolute;left:9578;top:5;width:2;height:297" coordorigin="9578,5" coordsize="2,297">
              <v:shape style="position:absolute;left:9578;top:5;width:2;height:297" coordorigin="9578,5" coordsize="0,297" path="m9578,5l9578,302e" filled="false" stroked="true" strokeweight=".48pt" strokecolor="#000000">
                <v:path arrowok="t"/>
              </v:shape>
            </v:group>
          </v:group>
        </w:pict>
      </w:r>
      <w:r>
        <w:rPr>
          <w:rFonts w:ascii="宋体" w:hAnsi="宋体" w:cs="宋体" w:eastAsia="宋体" w:hint="default"/>
          <w:position w:val="-5"/>
          <w:sz w:val="20"/>
          <w:szCs w:val="20"/>
        </w:rPr>
      </w:r>
    </w:p>
    <w:p>
      <w:pPr>
        <w:pStyle w:val="BodyText"/>
        <w:spacing w:line="240" w:lineRule="auto" w:before="11"/>
        <w:ind w:right="0"/>
        <w:jc w:val="left"/>
      </w:pPr>
      <w:r>
        <w:rPr/>
        <w:t>其他说明</w:t>
      </w:r>
    </w:p>
    <w:p>
      <w:pPr>
        <w:spacing w:after="0" w:line="240" w:lineRule="auto"/>
        <w:jc w:val="left"/>
        <w:sectPr>
          <w:footerReference w:type="default" r:id="rId42"/>
          <w:pgSz w:w="11910" w:h="16840"/>
          <w:pgMar w:footer="978" w:header="878" w:top="1100" w:bottom="1160" w:left="1020" w:right="1020"/>
          <w:pgNumType w:start="14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2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51"/>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6"/>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67"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76"/>
              <w:jc w:val="both"/>
              <w:rPr>
                <w:rFonts w:ascii="宋体" w:hAnsi="宋体" w:cs="宋体" w:eastAsia="宋体" w:hint="default"/>
                <w:sz w:val="18"/>
                <w:szCs w:val="18"/>
              </w:rPr>
            </w:pPr>
            <w:r>
              <w:rPr>
                <w:rFonts w:ascii="宋体" w:hAnsi="宋体" w:cs="宋体" w:eastAsia="宋体" w:hint="default"/>
                <w:sz w:val="18"/>
                <w:szCs w:val="18"/>
              </w:rPr>
              <w:t>吉林省嘉孚化学 工业股份有限公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76"/>
              <w:jc w:val="left"/>
              <w:rPr>
                <w:rFonts w:ascii="宋体" w:hAnsi="宋体" w:cs="宋体" w:eastAsia="宋体" w:hint="default"/>
                <w:sz w:val="18"/>
                <w:szCs w:val="18"/>
              </w:rPr>
            </w:pPr>
            <w:r>
              <w:rPr>
                <w:rFonts w:ascii="宋体" w:hAnsi="宋体" w:cs="宋体" w:eastAsia="宋体" w:hint="default"/>
                <w:sz w:val="18"/>
                <w:szCs w:val="18"/>
              </w:rPr>
              <w:t>河北兴石创业投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22" w:right="76"/>
              <w:jc w:val="left"/>
              <w:rPr>
                <w:rFonts w:ascii="宋体" w:hAnsi="宋体" w:cs="宋体" w:eastAsia="宋体" w:hint="default"/>
                <w:sz w:val="18"/>
                <w:szCs w:val="18"/>
              </w:rPr>
            </w:pPr>
            <w:r>
              <w:rPr>
                <w:rFonts w:ascii="宋体" w:hAnsi="宋体" w:cs="宋体" w:eastAsia="宋体" w:hint="default"/>
                <w:sz w:val="18"/>
                <w:szCs w:val="18"/>
              </w:rPr>
              <w:t>广西海东科技创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广州网融信息技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6"/>
              <w:jc w:val="left"/>
              <w:rPr>
                <w:rFonts w:ascii="宋体" w:hAnsi="宋体" w:cs="宋体" w:eastAsia="宋体" w:hint="default"/>
                <w:sz w:val="18"/>
                <w:szCs w:val="18"/>
              </w:rPr>
            </w:pPr>
            <w:r>
              <w:rPr>
                <w:rFonts w:ascii="宋体" w:hAnsi="宋体" w:cs="宋体" w:eastAsia="宋体" w:hint="default"/>
                <w:sz w:val="18"/>
                <w:szCs w:val="18"/>
              </w:rPr>
              <w:t>洛阳蓝宝氟业有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工矿业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6"/>
              <w:jc w:val="both"/>
              <w:rPr>
                <w:rFonts w:ascii="宋体" w:hAnsi="宋体" w:cs="宋体" w:eastAsia="宋体" w:hint="default"/>
                <w:sz w:val="18"/>
                <w:szCs w:val="18"/>
              </w:rPr>
            </w:pPr>
            <w:r>
              <w:rPr>
                <w:rFonts w:ascii="宋体" w:hAnsi="宋体" w:cs="宋体" w:eastAsia="宋体" w:hint="default"/>
                <w:sz w:val="18"/>
                <w:szCs w:val="18"/>
              </w:rPr>
              <w:t>霍尔果斯神州易 桥股权投资合伙 </w:t>
            </w:r>
            <w:r>
              <w:rPr>
                <w:rFonts w:ascii="宋体" w:hAnsi="宋体" w:cs="宋体" w:eastAsia="宋体" w:hint="default"/>
                <w:spacing w:val="-5"/>
                <w:sz w:val="18"/>
                <w:szCs w:val="18"/>
              </w:rPr>
              <w:t>企业（有限合伙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76"/>
              <w:jc w:val="both"/>
              <w:rPr>
                <w:rFonts w:ascii="宋体" w:hAnsi="宋体" w:cs="宋体" w:eastAsia="宋体" w:hint="default"/>
                <w:sz w:val="18"/>
                <w:szCs w:val="18"/>
              </w:rPr>
            </w:pPr>
            <w:r>
              <w:rPr>
                <w:rFonts w:ascii="宋体" w:hAnsi="宋体" w:cs="宋体" w:eastAsia="宋体" w:hint="default"/>
                <w:sz w:val="18"/>
                <w:szCs w:val="18"/>
              </w:rPr>
              <w:t>霍尔果斯快马财 税管理服务有限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56" w:lineRule="auto" w:before="10"/>
        <w:ind w:left="592" w:right="100" w:hanging="480"/>
        <w:jc w:val="left"/>
      </w:pPr>
      <w:r>
        <w:rPr/>
        <w:pict>
          <v:shape style="position:absolute;margin-left:119.400002pt;margin-top:-79.168274pt;width:74.1pt;height:39.1pt;mso-position-horizontal-relative:page;mso-position-vertical-relative:paragraph;z-index:-1012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pict>
          <v:group style="position:absolute;margin-left:125.400002pt;margin-top:-79.168274pt;width:68.1pt;height:39.25pt;mso-position-horizontal-relative:page;mso-position-vertical-relative:paragraph;z-index:-1012024" coordorigin="2508,-1583" coordsize="1362,785">
            <v:shape style="position:absolute;left:2508;top:-1583;width:1362;height:785" coordorigin="2508,-1583" coordsize="1362,785" path="m2508,-1583l3870,-1583,3870,-798,2508,-798,2508,-1583xe" filled="true" fillcolor="#ffffff" stroked="false">
              <v:path arrowok="t"/>
              <v:fill type="solid"/>
            </v:shape>
            <w10:wrap type="none"/>
          </v:group>
        </w:pict>
      </w:r>
      <w:r>
        <w:rPr/>
        <w:t>在合营企业或联营企业的持股比例不同于表决权比例的说明： 在合营企业或联营企业的持股比例不同于表决权比例的说明； </w:t>
      </w:r>
      <w:r>
        <w:rPr>
          <w:spacing w:val="-2"/>
        </w:rPr>
        <w:t>本公司持有霍尔果斯神州易桥股权投资合伙企业（有限合伙）</w:t>
      </w:r>
      <w:r>
        <w:rPr>
          <w:rFonts w:ascii="Times New Roman" w:hAnsi="Times New Roman" w:cs="Times New Roman" w:eastAsia="Times New Roman" w:hint="default"/>
          <w:spacing w:val="-2"/>
        </w:rPr>
        <w:t>5%</w:t>
      </w:r>
      <w:r>
        <w:rPr>
          <w:spacing w:val="-2"/>
        </w:rPr>
        <w:t>股权具有重大影响的原因：霍尔果斯神州易桥股权投</w:t>
      </w:r>
    </w:p>
    <w:p>
      <w:pPr>
        <w:pStyle w:val="BodyText"/>
        <w:spacing w:line="213" w:lineRule="exact"/>
        <w:ind w:right="0"/>
        <w:jc w:val="left"/>
      </w:pPr>
      <w:r>
        <w:rPr/>
        <w:t>资合伙企业（有限合伙）设有投资决策委员会，投资决策委员会设</w:t>
      </w:r>
      <w:r>
        <w:rPr>
          <w:rFonts w:ascii="Times New Roman" w:hAnsi="Times New Roman" w:cs="Times New Roman" w:eastAsia="Times New Roman" w:hint="default"/>
        </w:rPr>
        <w:t>5</w:t>
      </w:r>
      <w:r>
        <w:rPr/>
        <w:t>名成员，本公司之子公司神州易桥</w:t>
      </w:r>
      <w:r>
        <w:rPr>
          <w:rFonts w:ascii="Times New Roman" w:hAnsi="Times New Roman" w:cs="Times New Roman" w:eastAsia="Times New Roman" w:hint="default"/>
        </w:rPr>
        <w:t>(</w:t>
      </w:r>
      <w:r>
        <w:rPr/>
        <w:t>北京）财税科技有限</w:t>
      </w:r>
    </w:p>
    <w:p>
      <w:pPr>
        <w:pStyle w:val="BodyText"/>
        <w:spacing w:line="463" w:lineRule="auto"/>
        <w:ind w:right="2264"/>
        <w:jc w:val="left"/>
      </w:pPr>
      <w:r>
        <w:rPr/>
        <w:t>公司委派</w:t>
      </w:r>
      <w:r>
        <w:rPr>
          <w:rFonts w:ascii="Times New Roman" w:hAnsi="Times New Roman" w:cs="Times New Roman" w:eastAsia="Times New Roman" w:hint="default"/>
        </w:rPr>
        <w:t>1</w:t>
      </w:r>
      <w:r>
        <w:rPr/>
        <w:t>人，投资决策委员会作出的决议一人一票，必须经</w:t>
      </w:r>
      <w:r>
        <w:rPr>
          <w:rFonts w:ascii="Times New Roman" w:hAnsi="Times New Roman" w:cs="Times New Roman" w:eastAsia="Times New Roman" w:hint="default"/>
        </w:rPr>
        <w:t>3</w:t>
      </w:r>
      <w:r>
        <w:rPr/>
        <w:t>名及</w:t>
      </w:r>
      <w:r>
        <w:rPr>
          <w:rFonts w:ascii="Times New Roman" w:hAnsi="Times New Roman" w:cs="Times New Roman" w:eastAsia="Times New Roman" w:hint="default"/>
        </w:rPr>
        <w:t>3</w:t>
      </w:r>
      <w:r>
        <w:rPr/>
        <w:t>名以上委员同意方可通过。 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pStyle w:val="Heading3"/>
        <w:spacing w:line="240" w:lineRule="auto" w:before="94"/>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9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32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5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9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78" w:hRule="exact"/>
        </w:trPr>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霍尔果斯</w:t>
            </w: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霍尔果斯</w:t>
            </w: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c>
          <w:tcPr>
            <w:tcW w:w="798" w:type="dxa"/>
            <w:tcBorders>
              <w:top w:val="single" w:sz="4" w:space="0" w:color="000000"/>
              <w:left w:val="single" w:sz="4" w:space="0" w:color="000000"/>
              <w:bottom w:val="nil" w:sz="6" w:space="0" w:color="auto"/>
              <w:right w:val="single" w:sz="4" w:space="0" w:color="000000"/>
            </w:tcBorders>
            <w:shd w:val="clear" w:color="auto" w:fill="E0FFFF"/>
          </w:tcPr>
          <w:p>
            <w:pPr/>
          </w:p>
        </w:tc>
      </w:tr>
      <w:tr>
        <w:trPr>
          <w:trHeight w:val="935" w:hRule="exact"/>
        </w:trPr>
        <w:tc>
          <w:tcPr>
            <w:tcW w:w="798" w:type="dxa"/>
            <w:vMerge/>
            <w:tcBorders>
              <w:left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33" w:right="0"/>
              <w:jc w:val="left"/>
              <w:rPr>
                <w:rFonts w:ascii="宋体" w:hAnsi="宋体" w:cs="宋体" w:eastAsia="宋体" w:hint="default"/>
                <w:sz w:val="18"/>
                <w:szCs w:val="18"/>
              </w:rPr>
            </w:pPr>
            <w:r>
              <w:rPr>
                <w:rFonts w:ascii="宋体" w:hAnsi="宋体" w:cs="宋体" w:eastAsia="宋体" w:hint="default"/>
                <w:sz w:val="18"/>
                <w:szCs w:val="18"/>
              </w:rPr>
              <w:t>神州易桥</w:t>
            </w:r>
          </w:p>
          <w:p>
            <w:pPr>
              <w:pStyle w:val="TableParagraph"/>
              <w:spacing w:line="232" w:lineRule="exact" w:before="24"/>
              <w:ind w:left="33" w:right="32"/>
              <w:jc w:val="left"/>
              <w:rPr>
                <w:rFonts w:ascii="宋体" w:hAnsi="宋体" w:cs="宋体" w:eastAsia="宋体" w:hint="default"/>
                <w:sz w:val="18"/>
                <w:szCs w:val="18"/>
              </w:rPr>
            </w:pPr>
            <w:r>
              <w:rPr>
                <w:rFonts w:ascii="宋体" w:hAnsi="宋体" w:cs="宋体" w:eastAsia="宋体" w:hint="default"/>
                <w:sz w:val="18"/>
                <w:szCs w:val="18"/>
              </w:rPr>
              <w:t>股权投资 合伙企业</w:t>
            </w:r>
          </w:p>
          <w:p>
            <w:pPr>
              <w:pStyle w:val="TableParagraph"/>
              <w:spacing w:line="212" w:lineRule="exact"/>
              <w:ind w:left="3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广西海东</w:t>
            </w:r>
          </w:p>
          <w:p>
            <w:pPr>
              <w:pStyle w:val="TableParagraph"/>
              <w:spacing w:line="232" w:lineRule="exact" w:before="24"/>
              <w:ind w:left="34" w:right="31"/>
              <w:jc w:val="center"/>
              <w:rPr>
                <w:rFonts w:ascii="宋体" w:hAnsi="宋体" w:cs="宋体" w:eastAsia="宋体" w:hint="default"/>
                <w:sz w:val="18"/>
                <w:szCs w:val="18"/>
              </w:rPr>
            </w:pPr>
            <w:r>
              <w:rPr>
                <w:rFonts w:ascii="宋体" w:hAnsi="宋体" w:cs="宋体" w:eastAsia="宋体" w:hint="default"/>
                <w:sz w:val="18"/>
                <w:szCs w:val="18"/>
              </w:rPr>
              <w:t>科技创业 投资有限 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33" w:right="0"/>
              <w:jc w:val="both"/>
              <w:rPr>
                <w:rFonts w:ascii="宋体" w:hAnsi="宋体" w:cs="宋体" w:eastAsia="宋体" w:hint="default"/>
                <w:sz w:val="18"/>
                <w:szCs w:val="18"/>
              </w:rPr>
            </w:pPr>
            <w:r>
              <w:rPr>
                <w:rFonts w:ascii="宋体" w:hAnsi="宋体" w:cs="宋体" w:eastAsia="宋体" w:hint="default"/>
                <w:sz w:val="18"/>
                <w:szCs w:val="18"/>
              </w:rPr>
              <w:t>吉林省嘉</w:t>
            </w:r>
          </w:p>
          <w:p>
            <w:pPr>
              <w:pStyle w:val="TableParagraph"/>
              <w:spacing w:line="232" w:lineRule="exact" w:before="24"/>
              <w:ind w:left="33" w:right="32"/>
              <w:jc w:val="both"/>
              <w:rPr>
                <w:rFonts w:ascii="宋体" w:hAnsi="宋体" w:cs="宋体" w:eastAsia="宋体" w:hint="default"/>
                <w:sz w:val="18"/>
                <w:szCs w:val="18"/>
              </w:rPr>
            </w:pPr>
            <w:r>
              <w:rPr>
                <w:rFonts w:ascii="宋体" w:hAnsi="宋体" w:cs="宋体" w:eastAsia="宋体" w:hint="default"/>
                <w:sz w:val="18"/>
                <w:szCs w:val="18"/>
              </w:rPr>
              <w:t>孚化学工 业股份有 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32" w:lineRule="exact" w:before="113"/>
              <w:ind w:left="34" w:right="3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32" w:lineRule="exact" w:before="113"/>
              <w:ind w:left="33" w:right="32"/>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34" w:right="0"/>
              <w:jc w:val="both"/>
              <w:rPr>
                <w:rFonts w:ascii="宋体" w:hAnsi="宋体" w:cs="宋体" w:eastAsia="宋体" w:hint="default"/>
                <w:sz w:val="18"/>
                <w:szCs w:val="18"/>
              </w:rPr>
            </w:pPr>
            <w:r>
              <w:rPr>
                <w:rFonts w:ascii="宋体" w:hAnsi="宋体" w:cs="宋体" w:eastAsia="宋体" w:hint="default"/>
                <w:sz w:val="18"/>
                <w:szCs w:val="18"/>
              </w:rPr>
              <w:t>霍尔果斯</w:t>
            </w:r>
          </w:p>
          <w:p>
            <w:pPr>
              <w:pStyle w:val="TableParagraph"/>
              <w:spacing w:line="232" w:lineRule="exact" w:before="24"/>
              <w:ind w:left="34" w:right="31"/>
              <w:jc w:val="both"/>
              <w:rPr>
                <w:rFonts w:ascii="宋体" w:hAnsi="宋体" w:cs="宋体" w:eastAsia="宋体" w:hint="default"/>
                <w:sz w:val="18"/>
                <w:szCs w:val="18"/>
              </w:rPr>
            </w:pPr>
            <w:r>
              <w:rPr>
                <w:rFonts w:ascii="宋体" w:hAnsi="宋体" w:cs="宋体" w:eastAsia="宋体" w:hint="default"/>
                <w:sz w:val="18"/>
                <w:szCs w:val="18"/>
              </w:rPr>
              <w:t>快马财税 管理服务 有限公司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33" w:right="0"/>
              <w:jc w:val="left"/>
              <w:rPr>
                <w:rFonts w:ascii="宋体" w:hAnsi="宋体" w:cs="宋体" w:eastAsia="宋体" w:hint="default"/>
                <w:sz w:val="18"/>
                <w:szCs w:val="18"/>
              </w:rPr>
            </w:pPr>
            <w:r>
              <w:rPr>
                <w:rFonts w:ascii="宋体" w:hAnsi="宋体" w:cs="宋体" w:eastAsia="宋体" w:hint="default"/>
                <w:sz w:val="18"/>
                <w:szCs w:val="18"/>
              </w:rPr>
              <w:t>神州易桥</w:t>
            </w:r>
          </w:p>
          <w:p>
            <w:pPr>
              <w:pStyle w:val="TableParagraph"/>
              <w:spacing w:line="232" w:lineRule="exact" w:before="24"/>
              <w:ind w:left="33" w:right="32"/>
              <w:jc w:val="left"/>
              <w:rPr>
                <w:rFonts w:ascii="宋体" w:hAnsi="宋体" w:cs="宋体" w:eastAsia="宋体" w:hint="default"/>
                <w:sz w:val="18"/>
                <w:szCs w:val="18"/>
              </w:rPr>
            </w:pPr>
            <w:r>
              <w:rPr>
                <w:rFonts w:ascii="宋体" w:hAnsi="宋体" w:cs="宋体" w:eastAsia="宋体" w:hint="default"/>
                <w:sz w:val="18"/>
                <w:szCs w:val="18"/>
              </w:rPr>
              <w:t>股权投资 合伙企业</w:t>
            </w:r>
          </w:p>
          <w:p>
            <w:pPr>
              <w:pStyle w:val="TableParagraph"/>
              <w:spacing w:line="212" w:lineRule="exact"/>
              <w:ind w:left="3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广西海东</w:t>
            </w:r>
          </w:p>
          <w:p>
            <w:pPr>
              <w:pStyle w:val="TableParagraph"/>
              <w:spacing w:line="232" w:lineRule="exact" w:before="24"/>
              <w:ind w:left="34" w:right="31"/>
              <w:jc w:val="center"/>
              <w:rPr>
                <w:rFonts w:ascii="宋体" w:hAnsi="宋体" w:cs="宋体" w:eastAsia="宋体" w:hint="default"/>
                <w:sz w:val="18"/>
                <w:szCs w:val="18"/>
              </w:rPr>
            </w:pPr>
            <w:r>
              <w:rPr>
                <w:rFonts w:ascii="宋体" w:hAnsi="宋体" w:cs="宋体" w:eastAsia="宋体" w:hint="default"/>
                <w:sz w:val="18"/>
                <w:szCs w:val="18"/>
              </w:rPr>
              <w:t>科技创业 投资有限 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06" w:lineRule="exact"/>
              <w:ind w:left="33" w:right="0"/>
              <w:jc w:val="both"/>
              <w:rPr>
                <w:rFonts w:ascii="宋体" w:hAnsi="宋体" w:cs="宋体" w:eastAsia="宋体" w:hint="default"/>
                <w:sz w:val="18"/>
                <w:szCs w:val="18"/>
              </w:rPr>
            </w:pPr>
            <w:r>
              <w:rPr>
                <w:rFonts w:ascii="宋体" w:hAnsi="宋体" w:cs="宋体" w:eastAsia="宋体" w:hint="default"/>
                <w:sz w:val="18"/>
                <w:szCs w:val="18"/>
              </w:rPr>
              <w:t>吉林省嘉</w:t>
            </w:r>
          </w:p>
          <w:p>
            <w:pPr>
              <w:pStyle w:val="TableParagraph"/>
              <w:spacing w:line="232" w:lineRule="exact" w:before="24"/>
              <w:ind w:left="33" w:right="32"/>
              <w:jc w:val="both"/>
              <w:rPr>
                <w:rFonts w:ascii="宋体" w:hAnsi="宋体" w:cs="宋体" w:eastAsia="宋体" w:hint="default"/>
                <w:sz w:val="18"/>
                <w:szCs w:val="18"/>
              </w:rPr>
            </w:pPr>
            <w:r>
              <w:rPr>
                <w:rFonts w:ascii="宋体" w:hAnsi="宋体" w:cs="宋体" w:eastAsia="宋体" w:hint="default"/>
                <w:sz w:val="18"/>
                <w:szCs w:val="18"/>
              </w:rPr>
              <w:t>孚化学工 业股份有 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32" w:lineRule="exact" w:before="113"/>
              <w:ind w:left="34" w:right="3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32" w:lineRule="exact" w:before="113"/>
              <w:ind w:left="33" w:right="32"/>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r>
      <w:tr>
        <w:trPr>
          <w:trHeight w:val="278" w:hRule="exact"/>
        </w:trPr>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伙）</w:t>
            </w: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伙）</w:t>
            </w: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c>
          <w:tcPr>
            <w:tcW w:w="798" w:type="dxa"/>
            <w:tcBorders>
              <w:top w:val="nil" w:sz="6" w:space="0" w:color="auto"/>
              <w:left w:val="single" w:sz="4" w:space="0" w:color="000000"/>
              <w:bottom w:val="single" w:sz="4" w:space="0" w:color="000000"/>
              <w:right w:val="single" w:sz="4" w:space="0" w:color="000000"/>
            </w:tcBorders>
            <w:shd w:val="clear" w:color="auto" w:fill="E0FFFF"/>
          </w:tcPr>
          <w:p>
            <w:pPr/>
          </w:p>
        </w:tc>
      </w:tr>
      <w:tr>
        <w:trPr>
          <w:trHeight w:val="5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5" w:right="0"/>
              <w:jc w:val="left"/>
              <w:rPr>
                <w:rFonts w:ascii="Times New Roman" w:hAnsi="Times New Roman" w:cs="Times New Roman" w:eastAsia="Times New Roman" w:hint="default"/>
                <w:sz w:val="18"/>
                <w:szCs w:val="18"/>
              </w:rPr>
            </w:pPr>
            <w:r>
              <w:rPr>
                <w:rFonts w:ascii="Times New Roman"/>
                <w:sz w:val="18"/>
              </w:rPr>
              <w:t>707,218,2</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4" w:right="0"/>
              <w:jc w:val="left"/>
              <w:rPr>
                <w:rFonts w:ascii="Times New Roman" w:hAnsi="Times New Roman" w:cs="Times New Roman" w:eastAsia="Times New Roman" w:hint="default"/>
                <w:sz w:val="18"/>
                <w:szCs w:val="18"/>
              </w:rPr>
            </w:pPr>
            <w:r>
              <w:rPr>
                <w:rFonts w:ascii="Times New Roman"/>
                <w:sz w:val="18"/>
              </w:rPr>
              <w:t>31,238,39</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8.63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5" w:right="0"/>
              <w:jc w:val="left"/>
              <w:rPr>
                <w:rFonts w:ascii="Times New Roman" w:hAnsi="Times New Roman" w:cs="Times New Roman" w:eastAsia="Times New Roman" w:hint="default"/>
                <w:sz w:val="18"/>
                <w:szCs w:val="18"/>
              </w:rPr>
            </w:pPr>
            <w:r>
              <w:rPr>
                <w:rFonts w:ascii="Times New Roman"/>
                <w:sz w:val="18"/>
              </w:rPr>
              <w:t>31,855,04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7.82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4" w:right="0"/>
              <w:jc w:val="left"/>
              <w:rPr>
                <w:rFonts w:ascii="Times New Roman" w:hAnsi="Times New Roman" w:cs="Times New Roman" w:eastAsia="Times New Roman" w:hint="default"/>
                <w:sz w:val="18"/>
                <w:szCs w:val="18"/>
              </w:rPr>
            </w:pPr>
            <w:r>
              <w:rPr>
                <w:rFonts w:ascii="Times New Roman"/>
                <w:sz w:val="18"/>
              </w:rPr>
              <w:t>19,315,34</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2" w:right="0"/>
              <w:jc w:val="left"/>
              <w:rPr>
                <w:rFonts w:ascii="Times New Roman" w:hAnsi="Times New Roman" w:cs="Times New Roman" w:eastAsia="Times New Roman" w:hint="default"/>
                <w:sz w:val="18"/>
                <w:szCs w:val="18"/>
              </w:rPr>
            </w:pPr>
            <w:r>
              <w:rPr>
                <w:rFonts w:ascii="Times New Roman"/>
                <w:sz w:val="18"/>
              </w:rPr>
              <w:t>17,495,11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4" w:right="0"/>
              <w:jc w:val="left"/>
              <w:rPr>
                <w:rFonts w:ascii="Times New Roman" w:hAnsi="Times New Roman" w:cs="Times New Roman" w:eastAsia="Times New Roman" w:hint="default"/>
                <w:sz w:val="18"/>
                <w:szCs w:val="18"/>
              </w:rPr>
            </w:pPr>
            <w:r>
              <w:rPr>
                <w:rFonts w:ascii="Times New Roman"/>
                <w:sz w:val="18"/>
              </w:rPr>
              <w:t>400,716,2</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88.62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5" w:right="0"/>
              <w:jc w:val="left"/>
              <w:rPr>
                <w:rFonts w:ascii="Times New Roman" w:hAnsi="Times New Roman" w:cs="Times New Roman" w:eastAsia="Times New Roman" w:hint="default"/>
                <w:sz w:val="18"/>
                <w:szCs w:val="18"/>
              </w:rPr>
            </w:pPr>
            <w:r>
              <w:rPr>
                <w:rFonts w:ascii="Times New Roman"/>
                <w:sz w:val="18"/>
              </w:rPr>
              <w:t>69,777,52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4" w:right="0"/>
              <w:jc w:val="left"/>
              <w:rPr>
                <w:rFonts w:ascii="Times New Roman" w:hAnsi="Times New Roman" w:cs="Times New Roman" w:eastAsia="Times New Roman" w:hint="default"/>
                <w:sz w:val="18"/>
                <w:szCs w:val="18"/>
              </w:rPr>
            </w:pPr>
            <w:r>
              <w:rPr>
                <w:rFonts w:ascii="Times New Roman"/>
                <w:sz w:val="18"/>
              </w:rPr>
              <w:t>35,001,59</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8.53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5" w:right="0"/>
              <w:jc w:val="left"/>
              <w:rPr>
                <w:rFonts w:ascii="Times New Roman" w:hAnsi="Times New Roman" w:cs="Times New Roman" w:eastAsia="Times New Roman" w:hint="default"/>
                <w:sz w:val="18"/>
                <w:szCs w:val="18"/>
              </w:rPr>
            </w:pPr>
            <w:r>
              <w:rPr>
                <w:rFonts w:ascii="Times New Roman"/>
                <w:sz w:val="18"/>
              </w:rPr>
              <w:t>24,544,68</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44" w:right="0"/>
              <w:jc w:val="left"/>
              <w:rPr>
                <w:rFonts w:ascii="Times New Roman" w:hAnsi="Times New Roman" w:cs="Times New Roman" w:eastAsia="Times New Roman" w:hint="default"/>
                <w:sz w:val="18"/>
                <w:szCs w:val="18"/>
              </w:rPr>
            </w:pPr>
            <w:r>
              <w:rPr>
                <w:rFonts w:ascii="Times New Roman"/>
                <w:sz w:val="18"/>
              </w:rPr>
              <w:t>18,759,06</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55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4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23" w:right="0"/>
              <w:jc w:val="center"/>
              <w:rPr>
                <w:rFonts w:ascii="Times New Roman" w:hAnsi="Times New Roman" w:cs="Times New Roman" w:eastAsia="Times New Roman" w:hint="default"/>
                <w:sz w:val="18"/>
                <w:szCs w:val="18"/>
              </w:rPr>
            </w:pPr>
            <w:r>
              <w:rPr>
                <w:rFonts w:ascii="Times New Roman"/>
                <w:sz w:val="18"/>
              </w:rPr>
              <w:t>2,468,721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,408.61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4" w:right="0"/>
              <w:jc w:val="left"/>
              <w:rPr>
                <w:rFonts w:ascii="Times New Roman" w:hAnsi="Times New Roman" w:cs="Times New Roman" w:eastAsia="Times New Roman" w:hint="default"/>
                <w:sz w:val="18"/>
                <w:szCs w:val="18"/>
              </w:rPr>
            </w:pPr>
            <w:r>
              <w:rPr>
                <w:rFonts w:ascii="Times New Roman"/>
                <w:sz w:val="18"/>
              </w:rPr>
              <w:t>19,124,94</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5" w:right="0"/>
              <w:jc w:val="left"/>
              <w:rPr>
                <w:rFonts w:ascii="Times New Roman" w:hAnsi="Times New Roman" w:cs="Times New Roman" w:eastAsia="Times New Roman" w:hint="default"/>
                <w:sz w:val="18"/>
                <w:szCs w:val="18"/>
              </w:rPr>
            </w:pPr>
            <w:r>
              <w:rPr>
                <w:rFonts w:ascii="Times New Roman"/>
                <w:sz w:val="18"/>
              </w:rPr>
              <w:t>74,733,97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4" w:right="0"/>
              <w:jc w:val="left"/>
              <w:rPr>
                <w:rFonts w:ascii="Times New Roman" w:hAnsi="Times New Roman" w:cs="Times New Roman" w:eastAsia="Times New Roman" w:hint="default"/>
                <w:sz w:val="18"/>
                <w:szCs w:val="18"/>
              </w:rPr>
            </w:pPr>
            <w:r>
              <w:rPr>
                <w:rFonts w:ascii="Times New Roman"/>
                <w:sz w:val="18"/>
              </w:rPr>
              <w:t>85,924,94</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right="19"/>
              <w:jc w:val="right"/>
              <w:rPr>
                <w:rFonts w:ascii="Times New Roman" w:hAnsi="Times New Roman" w:cs="Times New Roman" w:eastAsia="Times New Roman" w:hint="default"/>
                <w:sz w:val="18"/>
                <w:szCs w:val="18"/>
              </w:rPr>
            </w:pPr>
            <w:r>
              <w:rPr>
                <w:rFonts w:ascii="Times New Roman"/>
                <w:spacing w:val="-1"/>
                <w:sz w:val="18"/>
              </w:rPr>
              <w:t>6,367,370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21" w:right="0"/>
              <w:jc w:val="center"/>
              <w:rPr>
                <w:rFonts w:ascii="Times New Roman" w:hAnsi="Times New Roman" w:cs="Times New Roman" w:eastAsia="Times New Roman" w:hint="default"/>
                <w:sz w:val="18"/>
                <w:szCs w:val="18"/>
              </w:rPr>
            </w:pPr>
            <w:r>
              <w:rPr>
                <w:rFonts w:ascii="Times New Roman"/>
                <w:sz w:val="18"/>
              </w:rPr>
              <w:t>2,766,495</w:t>
            </w:r>
          </w:p>
          <w:p>
            <w:pPr>
              <w:pStyle w:val="TableParagraph"/>
              <w:spacing w:line="207" w:lineRule="exact"/>
              <w:ind w:left="201" w:right="0"/>
              <w:jc w:val="center"/>
              <w:rPr>
                <w:rFonts w:ascii="Times New Roman" w:hAnsi="Times New Roman" w:cs="Times New Roman" w:eastAsia="Times New Roman" w:hint="default"/>
                <w:sz w:val="18"/>
                <w:szCs w:val="18"/>
              </w:rPr>
            </w:pPr>
            <w:r>
              <w:rPr>
                <w:rFonts w:ascii="Times New Roman"/>
                <w:sz w:val="18"/>
              </w:rPr>
              <w:t>,128.09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4" w:right="0"/>
              <w:jc w:val="left"/>
              <w:rPr>
                <w:rFonts w:ascii="Times New Roman" w:hAnsi="Times New Roman" w:cs="Times New Roman" w:eastAsia="Times New Roman" w:hint="default"/>
                <w:sz w:val="18"/>
                <w:szCs w:val="18"/>
              </w:rPr>
            </w:pPr>
            <w:r>
              <w:rPr>
                <w:rFonts w:ascii="Times New Roman"/>
                <w:sz w:val="18"/>
              </w:rPr>
              <w:t>13,124,94</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5" w:right="0"/>
              <w:jc w:val="left"/>
              <w:rPr>
                <w:rFonts w:ascii="Times New Roman" w:hAnsi="Times New Roman" w:cs="Times New Roman" w:eastAsia="Times New Roman" w:hint="default"/>
                <w:sz w:val="18"/>
                <w:szCs w:val="18"/>
              </w:rPr>
            </w:pPr>
            <w:r>
              <w:rPr>
                <w:rFonts w:ascii="Times New Roman"/>
                <w:sz w:val="18"/>
              </w:rPr>
              <w:t>78,433,34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5"/>
              <w:ind w:left="44" w:right="0"/>
              <w:jc w:val="left"/>
              <w:rPr>
                <w:rFonts w:ascii="Times New Roman" w:hAnsi="Times New Roman" w:cs="Times New Roman" w:eastAsia="Times New Roman" w:hint="default"/>
                <w:sz w:val="18"/>
                <w:szCs w:val="18"/>
              </w:rPr>
            </w:pPr>
            <w:r>
              <w:rPr>
                <w:rFonts w:ascii="Times New Roman"/>
                <w:sz w:val="18"/>
              </w:rPr>
              <w:t>95,936,81</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9.21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3" w:right="0"/>
              <w:jc w:val="center"/>
              <w:rPr>
                <w:rFonts w:ascii="Times New Roman" w:hAnsi="Times New Roman" w:cs="Times New Roman" w:eastAsia="Times New Roman" w:hint="default"/>
                <w:sz w:val="18"/>
                <w:szCs w:val="18"/>
              </w:rPr>
            </w:pPr>
            <w:r>
              <w:rPr>
                <w:rFonts w:ascii="Times New Roman"/>
                <w:sz w:val="18"/>
              </w:rPr>
              <w:t>3,175,939</w:t>
            </w:r>
          </w:p>
          <w:p>
            <w:pPr>
              <w:pStyle w:val="TableParagraph"/>
              <w:spacing w:line="207" w:lineRule="exact"/>
              <w:ind w:left="211" w:right="0"/>
              <w:jc w:val="center"/>
              <w:rPr>
                <w:rFonts w:ascii="Times New Roman" w:hAnsi="Times New Roman" w:cs="Times New Roman" w:eastAsia="Times New Roman" w:hint="default"/>
                <w:sz w:val="18"/>
                <w:szCs w:val="18"/>
              </w:rPr>
            </w:pPr>
            <w:r>
              <w:rPr>
                <w:rFonts w:ascii="Times New Roman"/>
                <w:sz w:val="18"/>
              </w:rPr>
              <w:t>,611.01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50,363,34</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106,589,0</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19.06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105,240,2</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94.82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23,862,48</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31" w:right="0"/>
              <w:jc w:val="center"/>
              <w:rPr>
                <w:rFonts w:ascii="Times New Roman" w:hAnsi="Times New Roman" w:cs="Times New Roman" w:eastAsia="Times New Roman" w:hint="default"/>
                <w:sz w:val="18"/>
                <w:szCs w:val="18"/>
              </w:rPr>
            </w:pPr>
            <w:r>
              <w:rPr>
                <w:rFonts w:ascii="Times New Roman"/>
                <w:sz w:val="18"/>
              </w:rPr>
              <w:t>3,167,211</w:t>
            </w:r>
          </w:p>
          <w:p>
            <w:pPr>
              <w:pStyle w:val="TableParagraph"/>
              <w:spacing w:line="207" w:lineRule="exact"/>
              <w:ind w:left="201" w:right="0"/>
              <w:jc w:val="center"/>
              <w:rPr>
                <w:rFonts w:ascii="Times New Roman" w:hAnsi="Times New Roman" w:cs="Times New Roman" w:eastAsia="Times New Roman" w:hint="default"/>
                <w:sz w:val="18"/>
                <w:szCs w:val="18"/>
              </w:rPr>
            </w:pPr>
            <w:r>
              <w:rPr>
                <w:rFonts w:ascii="Times New Roman"/>
                <w:sz w:val="18"/>
              </w:rPr>
              <w:t>,416.71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69,777,52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48,126,54</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6.53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102,978,0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27.02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1" w:right="0"/>
              <w:jc w:val="left"/>
              <w:rPr>
                <w:rFonts w:ascii="Times New Roman" w:hAnsi="Times New Roman" w:cs="Times New Roman" w:eastAsia="Times New Roman" w:hint="default"/>
                <w:sz w:val="18"/>
                <w:szCs w:val="18"/>
              </w:rPr>
            </w:pPr>
            <w:r>
              <w:rPr>
                <w:rFonts w:ascii="Times New Roman"/>
                <w:sz w:val="18"/>
              </w:rPr>
              <w:t>114,695,8</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83.47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3" w:right="0"/>
              <w:jc w:val="center"/>
              <w:rPr>
                <w:rFonts w:ascii="Times New Roman" w:hAnsi="Times New Roman" w:cs="Times New Roman" w:eastAsia="Times New Roman" w:hint="default"/>
                <w:sz w:val="18"/>
                <w:szCs w:val="18"/>
              </w:rPr>
            </w:pPr>
            <w:r>
              <w:rPr>
                <w:rFonts w:ascii="Times New Roman"/>
                <w:sz w:val="18"/>
              </w:rPr>
              <w:t>1,949,857</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,586.04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500,015.0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66,905,60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-705.27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1,989,234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1" w:right="0"/>
              <w:jc w:val="center"/>
              <w:rPr>
                <w:rFonts w:ascii="Times New Roman" w:hAnsi="Times New Roman" w:cs="Times New Roman" w:eastAsia="Times New Roman" w:hint="default"/>
                <w:sz w:val="18"/>
                <w:szCs w:val="18"/>
              </w:rPr>
            </w:pPr>
            <w:r>
              <w:rPr>
                <w:rFonts w:ascii="Times New Roman"/>
                <w:sz w:val="18"/>
              </w:rPr>
              <w:t>1,382,698</w:t>
            </w:r>
          </w:p>
          <w:p>
            <w:pPr>
              <w:pStyle w:val="TableParagraph"/>
              <w:spacing w:line="207" w:lineRule="exact"/>
              <w:ind w:left="201" w:right="0"/>
              <w:jc w:val="center"/>
              <w:rPr>
                <w:rFonts w:ascii="Times New Roman" w:hAnsi="Times New Roman" w:cs="Times New Roman" w:eastAsia="Times New Roman" w:hint="default"/>
                <w:sz w:val="18"/>
                <w:szCs w:val="18"/>
              </w:rPr>
            </w:pPr>
            <w:r>
              <w:rPr>
                <w:rFonts w:ascii="Times New Roman"/>
                <w:sz w:val="18"/>
              </w:rPr>
              <w:t>,378.58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532,493.5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53,026,89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10,676,79</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7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非流动负</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pacing w:val="-1"/>
                <w:sz w:val="18"/>
              </w:rPr>
              <w:t>377,279,8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863,132,3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70" w:hRule="exact"/>
        </w:trPr>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98.87</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80.30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3" w:right="0"/>
              <w:jc w:val="center"/>
              <w:rPr>
                <w:rFonts w:ascii="Times New Roman" w:hAnsi="Times New Roman" w:cs="Times New Roman" w:eastAsia="Times New Roman" w:hint="default"/>
                <w:sz w:val="18"/>
                <w:szCs w:val="18"/>
              </w:rPr>
            </w:pPr>
            <w:r>
              <w:rPr>
                <w:rFonts w:ascii="Times New Roman"/>
                <w:sz w:val="18"/>
              </w:rPr>
              <w:t>2,327,137</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,484.91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500,015.0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66,905,60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-705.27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1,989,234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1" w:right="0"/>
              <w:jc w:val="center"/>
              <w:rPr>
                <w:rFonts w:ascii="Times New Roman" w:hAnsi="Times New Roman" w:cs="Times New Roman" w:eastAsia="Times New Roman" w:hint="default"/>
                <w:sz w:val="18"/>
                <w:szCs w:val="18"/>
              </w:rPr>
            </w:pPr>
            <w:r>
              <w:rPr>
                <w:rFonts w:ascii="Times New Roman"/>
                <w:sz w:val="18"/>
              </w:rPr>
              <w:t>2,245,830</w:t>
            </w:r>
          </w:p>
          <w:p>
            <w:pPr>
              <w:pStyle w:val="TableParagraph"/>
              <w:spacing w:line="207" w:lineRule="exact"/>
              <w:ind w:left="201" w:right="0"/>
              <w:jc w:val="center"/>
              <w:rPr>
                <w:rFonts w:ascii="Times New Roman" w:hAnsi="Times New Roman" w:cs="Times New Roman" w:eastAsia="Times New Roman" w:hint="default"/>
                <w:sz w:val="18"/>
                <w:szCs w:val="18"/>
              </w:rPr>
            </w:pPr>
            <w:r>
              <w:rPr>
                <w:rFonts w:ascii="Times New Roman"/>
                <w:sz w:val="18"/>
              </w:rPr>
              <w:t>,758.88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532,493.5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53,026,89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10,676,79</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7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pacing w:val="-1"/>
                <w:sz w:val="18"/>
              </w:rPr>
              <w:t>218,622,9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39,810,67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70" w:hRule="exact"/>
        </w:trPr>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78.38</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1.46</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43"/>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630,179,1</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47.72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49,863,33</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39,683,41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2.33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105,241,0</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00.09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21,873,25</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881,569,9</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86.37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69,777,52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47,594,05</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49,951,13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4" w:right="0"/>
              <w:jc w:val="left"/>
              <w:rPr>
                <w:rFonts w:ascii="Times New Roman" w:hAnsi="Times New Roman" w:cs="Times New Roman" w:eastAsia="Times New Roman" w:hint="default"/>
                <w:sz w:val="18"/>
                <w:szCs w:val="18"/>
              </w:rPr>
            </w:pPr>
            <w:r>
              <w:rPr>
                <w:rFonts w:ascii="Times New Roman"/>
                <w:sz w:val="18"/>
              </w:rPr>
              <w:t>104,019,0</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89.48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7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按持股比</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41" w:hRule="exact"/>
        </w:trPr>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例计算的</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31,508,95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20,942,59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7,936,682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32,624,71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5,468,313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141,567,6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3,488,876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19,989,50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9,990,227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32,245,91</w:t>
            </w:r>
          </w:p>
        </w:tc>
        <w:tc>
          <w:tcPr>
            <w:tcW w:w="798" w:type="dxa"/>
            <w:vMerge/>
            <w:tcBorders>
              <w:left w:val="single" w:sz="4" w:space="0" w:color="000000"/>
              <w:right w:val="single" w:sz="4" w:space="0" w:color="000000"/>
            </w:tcBorders>
          </w:tcPr>
          <w:p>
            <w:pPr/>
          </w:p>
        </w:tc>
      </w:tr>
      <w:tr>
        <w:trPr>
          <w:trHeight w:val="225" w:hRule="exact"/>
        </w:trPr>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净资产份</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7.39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9.28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83.06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2.26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7.71</w:t>
            </w:r>
          </w:p>
        </w:tc>
        <w:tc>
          <w:tcPr>
            <w:tcW w:w="798" w:type="dxa"/>
            <w:vMerge/>
            <w:tcBorders>
              <w:left w:val="single" w:sz="4" w:space="0" w:color="000000"/>
              <w:right w:val="single" w:sz="4" w:space="0" w:color="000000"/>
            </w:tcBorders>
          </w:tcPr>
          <w:p>
            <w:pPr/>
          </w:p>
        </w:tc>
      </w:tr>
      <w:tr>
        <w:trPr>
          <w:trHeight w:val="280" w:hRule="exact"/>
        </w:trPr>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6" w:right="0"/>
              <w:jc w:val="left"/>
              <w:rPr>
                <w:rFonts w:ascii="Times New Roman" w:hAnsi="Times New Roman" w:cs="Times New Roman" w:eastAsia="Times New Roman" w:hint="default"/>
                <w:sz w:val="18"/>
                <w:szCs w:val="18"/>
              </w:rPr>
            </w:pPr>
            <w:r>
              <w:rPr>
                <w:rFonts w:ascii="Times New Roman"/>
                <w:sz w:val="18"/>
              </w:rPr>
              <w:t>-1,943,42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5" w:right="0"/>
              <w:jc w:val="left"/>
              <w:rPr>
                <w:rFonts w:ascii="Times New Roman" w:hAnsi="Times New Roman" w:cs="Times New Roman" w:eastAsia="Times New Roman" w:hint="default"/>
                <w:sz w:val="18"/>
                <w:szCs w:val="18"/>
              </w:rPr>
            </w:pPr>
            <w:r>
              <w:rPr>
                <w:rFonts w:ascii="Times New Roman"/>
                <w:sz w:val="18"/>
              </w:rPr>
              <w:t>-2,085,67</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45,531,97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w:t>
            </w:r>
            <w:r>
              <w:rPr>
                <w:rFonts w:ascii="宋体" w:hAnsi="宋体" w:cs="宋体" w:eastAsia="宋体" w:hint="default"/>
                <w:w w:val="99"/>
                <w:sz w:val="18"/>
                <w:szCs w:val="18"/>
              </w:rPr>
              <w:t> </w:t>
            </w:r>
            <w:r>
              <w:rPr>
                <w:rFonts w:ascii="宋体" w:hAnsi="宋体" w:cs="宋体" w:eastAsia="宋体" w:hint="default"/>
                <w:sz w:val="18"/>
                <w:szCs w:val="18"/>
              </w:rPr>
              <w:t>易未实现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-724,260.</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5" w:lineRule="exact"/>
              <w:ind w:left="75" w:right="0"/>
              <w:jc w:val="left"/>
              <w:rPr>
                <w:rFonts w:ascii="Times New Roman" w:hAnsi="Times New Roman" w:cs="Times New Roman" w:eastAsia="Times New Roman" w:hint="default"/>
                <w:sz w:val="18"/>
                <w:szCs w:val="18"/>
              </w:rPr>
            </w:pPr>
            <w:r>
              <w:rPr>
                <w:rFonts w:ascii="Times New Roman"/>
                <w:sz w:val="18"/>
              </w:rPr>
              <w:t>-2,085,67</w:t>
            </w:r>
          </w:p>
          <w:p>
            <w:pPr>
              <w:pStyle w:val="TableParagraph"/>
              <w:spacing w:line="205" w:lineRule="exact"/>
              <w:ind w:left="449" w:right="0"/>
              <w:jc w:val="left"/>
              <w:rPr>
                <w:rFonts w:ascii="Times New Roman" w:hAnsi="Times New Roman" w:cs="Times New Roman" w:eastAsia="Times New Roman" w:hint="default"/>
                <w:sz w:val="18"/>
                <w:szCs w:val="18"/>
              </w:rPr>
            </w:pPr>
            <w:r>
              <w:rPr>
                <w:rFonts w:ascii="Times New Roman"/>
                <w:sz w:val="18"/>
              </w:rPr>
              <w:t>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76"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7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对联营企</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241" w:hRule="exact"/>
        </w:trPr>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业权益投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29,565,53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20,942,59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7,936,682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32,624,71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51,000,28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139,482,0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3,888,876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19,989,50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9,990,227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32,245,91</w:t>
            </w:r>
          </w:p>
        </w:tc>
        <w:tc>
          <w:tcPr>
            <w:tcW w:w="798" w:type="dxa"/>
            <w:vMerge/>
            <w:tcBorders>
              <w:left w:val="single" w:sz="4" w:space="0" w:color="000000"/>
              <w:right w:val="single" w:sz="4" w:space="0" w:color="000000"/>
            </w:tcBorders>
          </w:tcPr>
          <w:p>
            <w:pPr/>
          </w:p>
        </w:tc>
      </w:tr>
      <w:tr>
        <w:trPr>
          <w:trHeight w:val="225" w:hRule="exact"/>
        </w:trPr>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资的账面</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5.70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9.28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4.64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03.99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2.26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7.71</w:t>
            </w:r>
          </w:p>
        </w:tc>
        <w:tc>
          <w:tcPr>
            <w:tcW w:w="798" w:type="dxa"/>
            <w:vMerge/>
            <w:tcBorders>
              <w:left w:val="single" w:sz="4" w:space="0" w:color="000000"/>
              <w:right w:val="single" w:sz="4" w:space="0" w:color="000000"/>
            </w:tcBorders>
          </w:tcPr>
          <w:p>
            <w:pPr/>
          </w:p>
        </w:tc>
      </w:tr>
      <w:tr>
        <w:trPr>
          <w:trHeight w:val="279" w:hRule="exact"/>
        </w:trPr>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50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420,106,1</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25.75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5,239,828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26,592,03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304,593,9</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91.40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pacing w:val="-1"/>
                <w:sz w:val="18"/>
              </w:rPr>
              <w:t>177.00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4,053,825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355,055,1</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18.18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2,269,278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6" w:right="0"/>
              <w:jc w:val="left"/>
              <w:rPr>
                <w:rFonts w:ascii="Times New Roman" w:hAnsi="Times New Roman" w:cs="Times New Roman" w:eastAsia="Times New Roman" w:hint="default"/>
                <w:sz w:val="18"/>
                <w:szCs w:val="18"/>
              </w:rPr>
            </w:pPr>
            <w:r>
              <w:rPr>
                <w:rFonts w:ascii="Times New Roman"/>
                <w:sz w:val="18"/>
              </w:rPr>
              <w:t>-10,267,7</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23.79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1,221,910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5" w:right="0"/>
              <w:jc w:val="left"/>
              <w:rPr>
                <w:rFonts w:ascii="Times New Roman" w:hAnsi="Times New Roman" w:cs="Times New Roman" w:eastAsia="Times New Roman" w:hint="default"/>
                <w:sz w:val="18"/>
                <w:szCs w:val="18"/>
              </w:rPr>
            </w:pPr>
            <w:r>
              <w:rPr>
                <w:rFonts w:ascii="Times New Roman"/>
                <w:sz w:val="18"/>
              </w:rPr>
              <w:t>14,375,73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9.46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4" w:right="0"/>
              <w:jc w:val="left"/>
              <w:rPr>
                <w:rFonts w:ascii="Times New Roman" w:hAnsi="Times New Roman" w:cs="Times New Roman" w:eastAsia="Times New Roman" w:hint="default"/>
                <w:sz w:val="18"/>
                <w:szCs w:val="18"/>
              </w:rPr>
            </w:pPr>
            <w:r>
              <w:rPr>
                <w:rFonts w:ascii="Times New Roman"/>
                <w:sz w:val="18"/>
              </w:rPr>
              <w:t>141,338,6</w:t>
            </w:r>
          </w:p>
          <w:p>
            <w:pPr>
              <w:pStyle w:val="TableParagraph"/>
              <w:spacing w:line="207" w:lineRule="exact"/>
              <w:ind w:left="361" w:right="0"/>
              <w:jc w:val="left"/>
              <w:rPr>
                <w:rFonts w:ascii="Times New Roman" w:hAnsi="Times New Roman" w:cs="Times New Roman" w:eastAsia="Times New Roman" w:hint="default"/>
                <w:sz w:val="18"/>
                <w:szCs w:val="18"/>
              </w:rPr>
            </w:pPr>
            <w:r>
              <w:rPr>
                <w:rFonts w:ascii="Times New Roman"/>
                <w:sz w:val="18"/>
              </w:rPr>
              <w:t>02.73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6" w:right="0"/>
              <w:jc w:val="left"/>
              <w:rPr>
                <w:rFonts w:ascii="Times New Roman" w:hAnsi="Times New Roman" w:cs="Times New Roman" w:eastAsia="Times New Roman" w:hint="default"/>
                <w:sz w:val="18"/>
                <w:szCs w:val="18"/>
              </w:rPr>
            </w:pPr>
            <w:r>
              <w:rPr>
                <w:rFonts w:ascii="Times New Roman"/>
                <w:sz w:val="18"/>
              </w:rPr>
              <w:t>-2,222,47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-389,145.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6" w:right="0"/>
              <w:jc w:val="left"/>
              <w:rPr>
                <w:rFonts w:ascii="Times New Roman" w:hAnsi="Times New Roman" w:cs="Times New Roman" w:eastAsia="Times New Roman" w:hint="default"/>
                <w:sz w:val="18"/>
                <w:szCs w:val="18"/>
              </w:rPr>
            </w:pPr>
            <w:r>
              <w:rPr>
                <w:rFonts w:ascii="Times New Roman"/>
                <w:sz w:val="18"/>
              </w:rPr>
              <w:t>-10,077,1</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46.63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2,047,141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7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2"/>
              <w:jc w:val="right"/>
              <w:rPr>
                <w:rFonts w:ascii="Times New Roman" w:hAnsi="Times New Roman" w:cs="Times New Roman" w:eastAsia="Times New Roman" w:hint="default"/>
                <w:sz w:val="18"/>
                <w:szCs w:val="18"/>
              </w:rPr>
            </w:pPr>
            <w:r>
              <w:rPr>
                <w:rFonts w:ascii="Times New Roman"/>
                <w:spacing w:val="-1"/>
                <w:sz w:val="18"/>
              </w:rPr>
              <w:t>355,055,1</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2,269,278</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-10,267,7</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1,221,910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14,375,73</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141,338,6</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-2,222,47</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-389,145.</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-10,077,1</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2,047,141</w:t>
            </w:r>
          </w:p>
        </w:tc>
        <w:tc>
          <w:tcPr>
            <w:tcW w:w="798" w:type="dxa"/>
            <w:vMerge w:val="restart"/>
            <w:tcBorders>
              <w:top w:val="single" w:sz="4" w:space="0" w:color="000000"/>
              <w:left w:val="single" w:sz="4" w:space="0" w:color="000000"/>
              <w:right w:val="single" w:sz="4" w:space="0" w:color="000000"/>
            </w:tcBorders>
          </w:tcPr>
          <w:p>
            <w:pPr/>
          </w:p>
        </w:tc>
      </w:tr>
      <w:tr>
        <w:trPr>
          <w:trHeight w:val="269" w:hRule="exact"/>
        </w:trPr>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18.18</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.61</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23.79</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.61</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9.46</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02.73</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8.23</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46.63</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798"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6"/>
          <w:szCs w:val="16"/>
        </w:rPr>
      </w:pPr>
    </w:p>
    <w:p>
      <w:pPr>
        <w:pStyle w:val="BodyText"/>
        <w:spacing w:line="240" w:lineRule="auto" w:before="44"/>
        <w:ind w:right="0"/>
        <w:jc w:val="left"/>
      </w:pPr>
      <w:r>
        <w:rPr/>
        <w:t>其他说明</w:t>
      </w:r>
    </w:p>
    <w:p>
      <w:pPr>
        <w:pStyle w:val="BodyText"/>
        <w:spacing w:line="240" w:lineRule="auto" w:before="35"/>
        <w:ind w:right="112" w:firstLine="480"/>
        <w:jc w:val="left"/>
      </w:pPr>
      <w:r>
        <w:rPr>
          <w:spacing w:val="-1"/>
        </w:rPr>
        <w:t>调整事项系按照霍尔果斯神州易桥股权投资合伙企业（有限合伙）合伙协议约定的利润分配方案确认的投资收益与实</w:t>
      </w:r>
      <w:r>
        <w:rPr/>
        <w:t> 缴比例差异-1,943,421.69元。</w:t>
      </w:r>
    </w:p>
    <w:p>
      <w:pPr>
        <w:pStyle w:val="BodyText"/>
        <w:spacing w:line="236" w:lineRule="exact" w:before="18"/>
        <w:ind w:right="0" w:firstLine="480"/>
        <w:jc w:val="left"/>
      </w:pPr>
      <w:r>
        <w:rPr>
          <w:spacing w:val="2"/>
        </w:rPr>
        <w:t>对霍尔果斯快马财税管理服务有限公司按照实缴比例计算的净资产份额与账面确认的价值不一致的原因系按照认缴</w:t>
      </w:r>
      <w:r>
        <w:rPr/>
        <w:t> 比例确认了购买日至年末的净利润及实缴出资之和。</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r>
      <w:tr>
        <w:trPr>
          <w:trHeight w:val="32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2"/>
        <w:ind w:right="94"/>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557"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12"/>
        <w:ind w:right="94"/>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323"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24"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78" w:lineRule="auto" w:before="11"/>
        <w:ind w:right="4594"/>
        <w:jc w:val="left"/>
      </w:pPr>
      <w:r>
        <w:rPr/>
        <w:t>在共同经营中的持股比例或享有的份额不同于表决权比例的说明： 共同经营为单独主体的，分类为共同经营的依据：</w:t>
      </w:r>
    </w:p>
    <w:p>
      <w:pPr>
        <w:pStyle w:val="BodyText"/>
        <w:spacing w:line="240" w:lineRule="auto" w:before="9"/>
        <w:ind w:right="94"/>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4"/>
        <w:jc w:val="left"/>
      </w:pPr>
      <w:r>
        <w:rPr/>
        <w:t>未纳入合并财务报表范围的结构化主体的相关说明：</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1"/>
          <w:szCs w:val="21"/>
        </w:rPr>
      </w:pPr>
    </w:p>
    <w:p>
      <w:pPr>
        <w:pStyle w:val="Heading2"/>
        <w:spacing w:line="240" w:lineRule="auto"/>
        <w:ind w:right="94"/>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25"/>
          <w:szCs w:val="25"/>
        </w:rPr>
      </w:pPr>
    </w:p>
    <w:p>
      <w:pPr>
        <w:pStyle w:val="BodyText"/>
        <w:spacing w:line="232" w:lineRule="exact"/>
        <w:ind w:right="190" w:firstLine="480"/>
        <w:jc w:val="both"/>
      </w:pPr>
      <w:r>
        <w:rPr>
          <w:spacing w:val="-1"/>
        </w:rPr>
        <w:t>本公司的主要金融工具包括股权投资、借款、应收账款、应付账款等，各项金融工具的详细情况说明见本附注六相关</w:t>
      </w:r>
      <w:r>
        <w:rPr/>
        <w:t> </w:t>
      </w:r>
      <w:r>
        <w:rPr>
          <w:spacing w:val="-2"/>
        </w:rPr>
        <w:t>项目。与这些金融工具有关的风险，以及本公司为降低这些风险所采取的风险管理政策如下所述。本公司管理层对这些风险</w:t>
      </w:r>
      <w:r>
        <w:rPr>
          <w:spacing w:val="-63"/>
        </w:rPr>
        <w:t> </w:t>
      </w:r>
      <w:r>
        <w:rPr>
          <w:spacing w:val="-63"/>
        </w:rPr>
      </w:r>
      <w:r>
        <w:rPr/>
        <w:t>敞口进行管理和监控以确保将上述风险控制在限定的范围之内。</w:t>
      </w:r>
    </w:p>
    <w:p>
      <w:pPr>
        <w:pStyle w:val="BodyText"/>
        <w:spacing w:line="232" w:lineRule="exact" w:before="3"/>
        <w:ind w:right="190" w:firstLine="480"/>
        <w:jc w:val="both"/>
      </w:pPr>
      <w:r>
        <w:rPr>
          <w:spacing w:val="-1"/>
        </w:rPr>
        <w:t>本公司从事风险管理的目标是在风险和收益之间取得适当的平衡，将风险对本公司经营业绩的负面影响降低到最低水</w:t>
      </w:r>
      <w:r>
        <w:rPr/>
        <w:t>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Heading5"/>
        <w:spacing w:line="220" w:lineRule="exact"/>
        <w:ind w:left="595" w:right="94"/>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232" w:lineRule="exact" w:before="16"/>
        <w:ind w:right="94" w:firstLine="48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w:t>
      </w:r>
    </w:p>
    <w:p>
      <w:pPr>
        <w:pStyle w:val="BodyText"/>
        <w:spacing w:line="232" w:lineRule="exact" w:before="1"/>
        <w:ind w:right="94" w:firstLine="480"/>
        <w:jc w:val="left"/>
      </w:pPr>
      <w:r>
        <w:rPr/>
        <w:t>为降低信用风险，本公司专人负责确定信用额度、进行信用审批，并执行其他监控程序以确保采取必要的措施回收过 </w:t>
      </w:r>
      <w:r>
        <w:rPr>
          <w:spacing w:val="-4"/>
        </w:rPr>
        <w:t>期债权。本公司于每个资产负债表日审核每一单项应收款的回收情况，以确保就无法回收的款项计提充分的坏账准备。因此，</w:t>
      </w:r>
    </w:p>
    <w:p>
      <w:pPr>
        <w:pStyle w:val="BodyText"/>
        <w:spacing w:line="232" w:lineRule="exact" w:before="3"/>
        <w:ind w:right="94"/>
        <w:jc w:val="left"/>
      </w:pPr>
      <w:r>
        <w:rPr>
          <w:spacing w:val="-2"/>
        </w:rPr>
        <w:t>本公司管理层认为本公司所承担的信用风险已经大为降低。本公司的流动资金存放在信用评级较高的银行，故流动资金的信</w:t>
      </w:r>
      <w:r>
        <w:rPr>
          <w:spacing w:val="-64"/>
        </w:rPr>
        <w:t> </w:t>
      </w:r>
      <w:r>
        <w:rPr>
          <w:spacing w:val="-64"/>
        </w:rPr>
      </w:r>
      <w:r>
        <w:rPr/>
        <w:t>用风险较低。</w:t>
      </w:r>
    </w:p>
    <w:p>
      <w:pPr>
        <w:pStyle w:val="BodyText"/>
        <w:spacing w:line="232" w:lineRule="exact" w:before="3"/>
        <w:ind w:left="592" w:right="94" w:firstLine="2"/>
        <w:jc w:val="left"/>
      </w:pPr>
      <w:r>
        <w:rPr>
          <w:rFonts w:ascii="Times New Roman" w:hAnsi="Times New Roman" w:cs="Times New Roman" w:eastAsia="Times New Roman" w:hint="default"/>
          <w:b/>
          <w:bCs/>
        </w:rPr>
        <w:t>2</w:t>
      </w:r>
      <w:r>
        <w:rPr>
          <w:rFonts w:ascii="宋体" w:hAnsi="宋体" w:cs="宋体" w:eastAsia="宋体" w:hint="default"/>
          <w:b/>
          <w:bCs/>
        </w:rPr>
        <w:t>、流动风险</w:t>
      </w:r>
      <w:r>
        <w:rPr>
          <w:rFonts w:ascii="宋体" w:hAnsi="宋体" w:cs="宋体" w:eastAsia="宋体" w:hint="default"/>
          <w:b/>
          <w:bCs/>
          <w:w w:val="99"/>
        </w:rPr>
        <w:t> </w:t>
      </w:r>
      <w:r>
        <w:rPr>
          <w:spacing w:val="-1"/>
        </w:rPr>
        <w:t>本公司保持管理层认为充分的现金及现金等价物并对其进行监控，以满足本公司经营需要，并降低现金流量波动的影</w:t>
      </w:r>
    </w:p>
    <w:p>
      <w:pPr>
        <w:pStyle w:val="BodyText"/>
        <w:spacing w:line="210" w:lineRule="exact"/>
        <w:ind w:right="94"/>
        <w:jc w:val="left"/>
      </w:pPr>
      <w:r>
        <w:rPr/>
        <w:t>响。本公司管理层对银行借款的使用情况进行监控并确保遵守借款协议。</w:t>
      </w:r>
    </w:p>
    <w:p>
      <w:pPr>
        <w:pStyle w:val="BodyText"/>
        <w:spacing w:line="236" w:lineRule="exact" w:before="20"/>
        <w:ind w:left="592" w:right="94" w:firstLine="2"/>
        <w:jc w:val="left"/>
      </w:pPr>
      <w:r>
        <w:rPr>
          <w:rFonts w:ascii="Times New Roman" w:hAnsi="Times New Roman" w:cs="Times New Roman" w:eastAsia="Times New Roman" w:hint="default"/>
          <w:b/>
          <w:bCs/>
        </w:rPr>
        <w:t>3</w:t>
      </w:r>
      <w:r>
        <w:rPr>
          <w:rFonts w:ascii="宋体" w:hAnsi="宋体" w:cs="宋体" w:eastAsia="宋体" w:hint="default"/>
          <w:b/>
          <w:bCs/>
        </w:rPr>
        <w:t>、利率风险</w:t>
      </w:r>
      <w:r>
        <w:rPr>
          <w:rFonts w:ascii="宋体" w:hAnsi="宋体" w:cs="宋体" w:eastAsia="宋体" w:hint="default"/>
          <w:b/>
          <w:bCs/>
          <w:w w:val="99"/>
        </w:rPr>
        <w:t> </w:t>
      </w:r>
      <w:r>
        <w:rPr>
          <w:spacing w:val="-1"/>
        </w:rPr>
        <w:t>本公司因利率变动引起金融工具现金流量变动的风险主要与银行借款利率有关。市场利率变化影响公司金融工具的利</w:t>
      </w:r>
    </w:p>
    <w:p>
      <w:pPr>
        <w:pStyle w:val="BodyText"/>
        <w:spacing w:line="211" w:lineRule="exact"/>
        <w:ind w:right="94"/>
        <w:jc w:val="left"/>
      </w:pPr>
      <w:r>
        <w:rPr/>
        <w:t>息收入或利息支出。</w:t>
      </w:r>
    </w:p>
    <w:p>
      <w:pPr>
        <w:spacing w:after="0" w:line="211" w:lineRule="exact"/>
        <w:jc w:val="left"/>
        <w:sectPr>
          <w:pgSz w:w="11910" w:h="16840"/>
          <w:pgMar w:header="878" w:footer="978" w:top="1100" w:bottom="1160" w:left="102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十一、公允价值的披露</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24"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57"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11,641,543.20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11,641,543.20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557"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11,641,543.20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557"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7"/>
          <w:szCs w:val="17"/>
        </w:rPr>
      </w:pPr>
    </w:p>
    <w:p>
      <w:pPr>
        <w:spacing w:line="491" w:lineRule="auto"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18"/>
          <w:szCs w:val="18"/>
        </w:rPr>
        <w:t>公允价值计量项目市价的确定依据为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日该股票的收盘价。 </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、持续和非持续第二层次公允价值计量项目，采用的估值技术和重要参数的定性及定量信息</w:t>
      </w:r>
      <w:r>
        <w:rPr>
          <w:rFonts w:ascii="宋体" w:hAnsi="宋体" w:cs="宋体" w:eastAsia="宋体" w:hint="default"/>
          <w:sz w:val="21"/>
          <w:szCs w:val="21"/>
        </w:rPr>
      </w:r>
    </w:p>
    <w:p>
      <w:pPr>
        <w:pStyle w:val="Heading3"/>
        <w:spacing w:line="240" w:lineRule="auto" w:before="38"/>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1"/>
          <w:szCs w:val="21"/>
        </w:rPr>
      </w:pPr>
    </w:p>
    <w:p>
      <w:pPr>
        <w:spacing w:line="470"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20"/>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1,423,264,822.00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r>
    </w:tbl>
    <w:p>
      <w:pPr>
        <w:pStyle w:val="BodyText"/>
        <w:spacing w:line="278" w:lineRule="auto" w:before="10"/>
        <w:ind w:right="1454"/>
        <w:jc w:val="left"/>
      </w:pPr>
      <w:r>
        <w:rPr/>
        <w:t>本企业的母公司情况的说明 本公司股东中连良桂、天津泰达科技投资股份有限公司、新疆泰达新源股权投资有限公司为一致行动人。 本企业最终控制方是。</w:t>
      </w:r>
    </w:p>
    <w:p>
      <w:pPr>
        <w:pStyle w:val="BodyText"/>
        <w:spacing w:line="240" w:lineRule="auto" w:before="9"/>
        <w:ind w:right="0"/>
        <w:jc w:val="left"/>
      </w:pPr>
      <w:r>
        <w:rPr/>
        <w:t>其他说明：</w:t>
      </w:r>
    </w:p>
    <w:p>
      <w:pPr>
        <w:spacing w:after="0" w:line="240" w:lineRule="auto"/>
        <w:jc w:val="left"/>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spacing w:line="491" w:lineRule="auto" w:before="34"/>
        <w:ind w:left="112" w:right="4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64" w:lineRule="auto" w:before="45"/>
        <w:ind w:right="1274"/>
        <w:jc w:val="left"/>
      </w:pPr>
      <w:r>
        <w:rPr/>
        <w:t>本企业重要的合营或联营企业详见附注</w:t>
      </w:r>
      <w:r>
        <w:rPr>
          <w:rFonts w:ascii="Times New Roman" w:hAnsi="Times New Roman" w:cs="Times New Roman" w:eastAsia="Times New Roman" w:hint="default"/>
        </w:rPr>
        <w:t>“</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河北兴石创投资有限公司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本公司之子公司联营企业</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本公司之子公司联营企业</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杭州顺利办企业管理咨询有限公司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北京起跑器科技有限公司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bl>
    <w:p>
      <w:pPr>
        <w:pStyle w:val="BodyText"/>
        <w:spacing w:line="240" w:lineRule="auto" w:before="12"/>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本公司之子公司股东及持股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4.72%</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百达永信（北京）投资有限公司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本公司之股东持股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5.98%</w:t>
            </w:r>
            <w:r>
              <w:rPr>
                <w:rFonts w:ascii="宋体" w:hAnsi="宋体" w:cs="宋体" w:eastAsia="宋体" w:hint="default"/>
                <w:sz w:val="18"/>
                <w:szCs w:val="18"/>
              </w:rPr>
              <w:t>及与本公司为同一法定代表人</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新疆泰达新源股权投资有限公司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本公司之股东持股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北京鼎和瑞成投资有限公司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黑龙江弘远泰斯数字技术服务有限公司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子公司之股东之子公司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西藏鼎信电子科技有限公司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本公司第三大股东之全资孙公司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湖北宜景常弘科技有限公司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本公司之控股股东之子公司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湖北盛木科技有限公司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本公司之控股股东之子公司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深圳德木实业有限公司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本公司之控股股东之子公司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深圳树泰科技有限公司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本公司之控股股东之子公司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杨佩剑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本公司之孙公司法定代表人</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聂静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本公司之孙公司法定代表人</w:t>
            </w:r>
          </w:p>
        </w:tc>
      </w:tr>
    </w:tbl>
    <w:p>
      <w:pPr>
        <w:pStyle w:val="BodyText"/>
        <w:spacing w:line="240" w:lineRule="auto" w:before="10"/>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2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843"/>
        <w:gridCol w:w="1454"/>
        <w:gridCol w:w="1454"/>
        <w:gridCol w:w="1707"/>
        <w:gridCol w:w="1707"/>
        <w:gridCol w:w="1474"/>
      </w:tblGrid>
      <w:tr>
        <w:trPr>
          <w:trHeight w:val="32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843"/>
        <w:gridCol w:w="1454"/>
        <w:gridCol w:w="1454"/>
        <w:gridCol w:w="1707"/>
        <w:gridCol w:w="1707"/>
        <w:gridCol w:w="1474"/>
      </w:tblGrid>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88"/>
              <w:jc w:val="left"/>
              <w:rPr>
                <w:rFonts w:ascii="宋体" w:hAnsi="宋体" w:cs="宋体" w:eastAsia="宋体" w:hint="default"/>
                <w:sz w:val="18"/>
                <w:szCs w:val="18"/>
              </w:rPr>
            </w:pPr>
            <w:r>
              <w:rPr>
                <w:rFonts w:ascii="宋体" w:hAnsi="宋体" w:cs="宋体" w:eastAsia="宋体" w:hint="default"/>
                <w:sz w:val="18"/>
                <w:szCs w:val="18"/>
              </w:rPr>
              <w:t>黑龙江弘远泰斯数字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设备维护 合作协议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500,722.18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1,061,215.09</w:t>
            </w:r>
          </w:p>
        </w:tc>
      </w:tr>
    </w:tbl>
    <w:p>
      <w:pPr>
        <w:pStyle w:val="BodyText"/>
        <w:spacing w:line="240" w:lineRule="auto" w:before="1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94"/>
        <w:gridCol w:w="2259"/>
        <w:gridCol w:w="2259"/>
        <w:gridCol w:w="2427"/>
      </w:tblGrid>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39"/>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 企业（有限合伙）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1,747,572.81</w:t>
            </w:r>
          </w:p>
        </w:tc>
        <w:tc>
          <w:tcPr>
            <w:tcW w:w="24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新疆泰达新源股权投资有限公司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91,132.08</w:t>
            </w:r>
          </w:p>
        </w:tc>
        <w:tc>
          <w:tcPr>
            <w:tcW w:w="24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购销商品、提供和接受劳务的关联交易说明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22"/>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32" w:lineRule="exact"/>
        <w:jc w:val="left"/>
        <w:rPr>
          <w:rFonts w:ascii="宋体" w:hAnsi="宋体" w:cs="宋体" w:eastAsia="宋体" w:hint="default"/>
          <w:sz w:val="18"/>
          <w:szCs w:val="18"/>
        </w:rPr>
        <w:sectPr>
          <w:pgSz w:w="11910" w:h="16840"/>
          <w:pgMar w:header="878" w:footer="978" w:top="1100" w:bottom="1160" w:left="1020" w:right="1020"/>
        </w:sectPr>
      </w:pPr>
    </w:p>
    <w:p>
      <w:pPr>
        <w:pStyle w:val="BodyText"/>
        <w:spacing w:line="264" w:lineRule="auto" w:before="11"/>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2504" w:space="6326"/>
            <w:col w:w="1040"/>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12"/>
        <w:ind w:right="0"/>
        <w:jc w:val="left"/>
      </w:pPr>
      <w:r>
        <w:rPr/>
        <w:t>关联管理</w:t>
      </w:r>
      <w:r>
        <w:rPr>
          <w:rFonts w:ascii="Times New Roman" w:hAnsi="Times New Roman" w:cs="Times New Roman" w:eastAsia="Times New Roman" w:hint="default"/>
        </w:rPr>
        <w:t>/</w:t>
      </w:r>
      <w:r>
        <w:rPr/>
        <w:t>出包情况说明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0"/>
        <w:jc w:val="left"/>
      </w:pPr>
      <w:r>
        <w:rPr/>
        <w:t>本公司作为出租方：</w:t>
      </w:r>
    </w:p>
    <w:p>
      <w:pPr>
        <w:pStyle w:val="BodyText"/>
        <w:spacing w:line="240" w:lineRule="auto" w:before="38"/>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12"/>
        <w:ind w:right="0"/>
        <w:jc w:val="left"/>
      </w:pPr>
      <w:r>
        <w:rPr/>
        <w:t>本公司作为承租方：</w:t>
      </w:r>
    </w:p>
    <w:p>
      <w:pPr>
        <w:pStyle w:val="BodyText"/>
        <w:spacing w:line="240" w:lineRule="auto" w:before="38"/>
        <w:ind w:left="0" w:right="11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11"/>
        <w:ind w:right="0"/>
        <w:jc w:val="left"/>
      </w:pPr>
      <w:r>
        <w:rPr/>
        <w:t>关联租赁情况说明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0"/>
        <w:jc w:val="left"/>
      </w:pPr>
      <w:r>
        <w:rPr/>
        <w:t>本公司作为担保方</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5"/>
              <w:jc w:val="center"/>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8"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0"/>
        <w:ind w:right="0"/>
        <w:jc w:val="left"/>
      </w:pPr>
      <w:r>
        <w:rPr/>
        <w:t>本公司作为被担保方</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11"/>
        <w:ind w:right="0"/>
        <w:jc w:val="left"/>
      </w:pPr>
      <w:r>
        <w:rPr/>
        <w:t>关联担保情况说明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after="0" w:line="240" w:lineRule="auto"/>
        <w:jc w:val="right"/>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2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7"/>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2391"/>
        <w:gridCol w:w="2393"/>
        <w:gridCol w:w="2392"/>
        <w:gridCol w:w="2392"/>
      </w:tblGrid>
      <w:tr>
        <w:trPr>
          <w:trHeight w:val="349" w:hRule="exact"/>
        </w:trPr>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64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湖北宜景常弘科技有限公司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股权转让及偿还债务</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224,915,438.52</w:t>
            </w:r>
          </w:p>
        </w:tc>
        <w:tc>
          <w:tcPr>
            <w:tcW w:w="2392"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湖北盛木科技有限公司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股权转让及偿还债务</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137,393,102.06</w:t>
            </w:r>
          </w:p>
        </w:tc>
        <w:tc>
          <w:tcPr>
            <w:tcW w:w="23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深圳德木实业有限公司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股权转让及偿还债务</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52,694,765.38</w:t>
            </w:r>
          </w:p>
        </w:tc>
        <w:tc>
          <w:tcPr>
            <w:tcW w:w="2392"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深圳树泰科技有限公司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股权转让及偿还债务</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108,668,900.94</w:t>
            </w:r>
          </w:p>
        </w:tc>
        <w:tc>
          <w:tcPr>
            <w:tcW w:w="23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324"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19"/>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19"/>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3" w:right="119"/>
              <w:jc w:val="left"/>
              <w:rPr>
                <w:rFonts w:ascii="宋体" w:hAnsi="宋体" w:cs="宋体" w:eastAsia="宋体" w:hint="default"/>
                <w:sz w:val="18"/>
                <w:szCs w:val="18"/>
              </w:rPr>
            </w:pPr>
            <w:r>
              <w:rPr>
                <w:rFonts w:ascii="宋体" w:hAnsi="宋体" w:cs="宋体" w:eastAsia="宋体" w:hint="default"/>
                <w:sz w:val="18"/>
                <w:szCs w:val="18"/>
              </w:rPr>
              <w:t>杭州顺利办企业管 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3" w:right="119"/>
              <w:jc w:val="left"/>
              <w:rPr>
                <w:rFonts w:ascii="宋体" w:hAnsi="宋体" w:cs="宋体" w:eastAsia="宋体" w:hint="default"/>
                <w:sz w:val="18"/>
                <w:szCs w:val="18"/>
              </w:rPr>
            </w:pPr>
            <w:r>
              <w:rPr>
                <w:rFonts w:ascii="宋体" w:hAnsi="宋体" w:cs="宋体" w:eastAsia="宋体" w:hint="default"/>
                <w:sz w:val="18"/>
                <w:szCs w:val="18"/>
              </w:rPr>
              <w:t>北京起跑器科技有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312,966.00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99"/>
              <w:jc w:val="left"/>
              <w:rPr>
                <w:rFonts w:ascii="宋体" w:hAnsi="宋体" w:cs="宋体" w:eastAsia="宋体" w:hint="default"/>
                <w:sz w:val="18"/>
                <w:szCs w:val="18"/>
              </w:rPr>
            </w:pPr>
            <w:r>
              <w:rPr>
                <w:rFonts w:ascii="宋体" w:hAnsi="宋体" w:cs="宋体" w:eastAsia="宋体" w:hint="default"/>
                <w:sz w:val="18"/>
                <w:szCs w:val="18"/>
              </w:rPr>
              <w:t>黑龙江弘远泰斯数字技术服 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334,556.60</w:t>
            </w: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99"/>
              <w:jc w:val="left"/>
              <w:rPr>
                <w:rFonts w:ascii="宋体" w:hAnsi="宋体" w:cs="宋体" w:eastAsia="宋体" w:hint="default"/>
                <w:sz w:val="18"/>
                <w:szCs w:val="18"/>
              </w:rPr>
            </w:pPr>
            <w:r>
              <w:rPr>
                <w:rFonts w:ascii="宋体" w:hAnsi="宋体" w:cs="宋体" w:eastAsia="宋体" w:hint="default"/>
                <w:sz w:val="18"/>
                <w:szCs w:val="18"/>
              </w:rPr>
              <w:t>新疆泰达新源股权投资有限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河南省焦作金箭实业总公司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33,084,034.19</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股权价款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21,668,000.00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628,882.61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2,910,384.08</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firstLine="480"/>
        <w:jc w:val="left"/>
      </w:pPr>
      <w:r>
        <w:rPr>
          <w:spacing w:val="-1"/>
        </w:rPr>
        <w:t>本公司与关联企业之间的交易往来，遵照公平、公正的市场原则，按照一般市场经营规则进行，并与其他企业的业务</w:t>
      </w:r>
      <w:r>
        <w:rPr/>
        <w:t> 往来同等对待。</w:t>
      </w:r>
    </w:p>
    <w:p>
      <w:pPr>
        <w:spacing w:line="240" w:lineRule="auto" w:before="3"/>
        <w:rPr>
          <w:rFonts w:ascii="宋体" w:hAnsi="宋体" w:cs="宋体" w:eastAsia="宋体" w:hint="default"/>
          <w:sz w:val="22"/>
          <w:szCs w:val="22"/>
        </w:rPr>
      </w:pPr>
    </w:p>
    <w:p>
      <w:pPr>
        <w:spacing w:line="470"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6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1"/>
          <w:szCs w:val="21"/>
        </w:rPr>
      </w:pPr>
    </w:p>
    <w:p>
      <w:pPr>
        <w:spacing w:line="470" w:lineRule="auto" w:before="0"/>
        <w:ind w:left="112" w:right="7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78" w:lineRule="auto" w:before="66"/>
        <w:ind w:left="592" w:right="7394" w:hanging="480"/>
        <w:jc w:val="left"/>
      </w:pPr>
      <w:r>
        <w:rPr/>
        <w:t>资产负债表日存在的重要承诺 盈利补偿承诺</w:t>
      </w:r>
    </w:p>
    <w:p>
      <w:pPr>
        <w:pStyle w:val="BodyText"/>
        <w:spacing w:line="209" w:lineRule="exact"/>
        <w:ind w:right="0" w:firstLine="4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年，本公司完成了发行股份购买神州易桥（北京）财税科技有限公司资产事宜，通过发行股份的方式购买</w:t>
      </w:r>
    </w:p>
    <w:p>
      <w:pPr>
        <w:pStyle w:val="BodyText"/>
        <w:spacing w:line="230" w:lineRule="auto"/>
        <w:ind w:right="110"/>
        <w:jc w:val="both"/>
      </w:pPr>
      <w:r>
        <w:rPr>
          <w:spacing w:val="-2"/>
        </w:rPr>
        <w:t>了彭聪、百达永信（北京）投资有限公司、新疆泰达新源股权投资有限公司合计持有的神州易桥（北京）财税科技有限公司</w:t>
      </w:r>
      <w:r>
        <w:rPr>
          <w:spacing w:val="-63"/>
        </w:rPr>
        <w:t> </w:t>
      </w:r>
      <w:r>
        <w:rPr>
          <w:spacing w:val="-63"/>
        </w:rPr>
      </w:r>
      <w:r>
        <w:rPr>
          <w:rFonts w:ascii="Times New Roman" w:hAnsi="Times New Roman" w:cs="Times New Roman" w:eastAsia="Times New Roman" w:hint="default"/>
        </w:rPr>
        <w:t>100%</w:t>
      </w:r>
      <w:r>
        <w:rPr/>
        <w:t>股权；同时，本公司与</w:t>
      </w:r>
      <w:r>
        <w:rPr>
          <w:rFonts w:ascii="Times New Roman" w:hAnsi="Times New Roman" w:cs="Times New Roman" w:eastAsia="Times New Roman" w:hint="default"/>
        </w:rPr>
        <w:t>3</w:t>
      </w:r>
      <w:r>
        <w:rPr/>
        <w:t>名交易方签署了《盈利补偿协议（二）》，</w:t>
      </w:r>
      <w:r>
        <w:rPr>
          <w:rFonts w:ascii="Times New Roman" w:hAnsi="Times New Roman" w:cs="Times New Roman" w:eastAsia="Times New Roman" w:hint="default"/>
        </w:rPr>
        <w:t>3</w:t>
      </w:r>
      <w:r>
        <w:rPr/>
        <w:t>名补偿义务人承诺，神州易桥（北京）财税科技</w:t>
      </w:r>
      <w:r>
        <w:rPr>
          <w:spacing w:val="-63"/>
        </w:rPr>
        <w:t> </w:t>
      </w:r>
      <w:r>
        <w:rPr>
          <w:spacing w:val="-63"/>
        </w:rPr>
      </w:r>
      <w:r>
        <w:rPr>
          <w:spacing w:val="-2"/>
        </w:rPr>
        <w:t>有限公司</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年度经审计的扣非净利润分别不低于</w:t>
      </w:r>
      <w:r>
        <w:rPr>
          <w:rFonts w:ascii="Times New Roman" w:hAnsi="Times New Roman" w:cs="Times New Roman" w:eastAsia="Times New Roman" w:hint="default"/>
          <w:spacing w:val="-2"/>
        </w:rPr>
        <w:t>8,000.00</w:t>
      </w:r>
      <w:r>
        <w:rPr>
          <w:spacing w:val="-2"/>
        </w:rPr>
        <w:t>万元、</w:t>
      </w:r>
      <w:r>
        <w:rPr>
          <w:rFonts w:ascii="Times New Roman" w:hAnsi="Times New Roman" w:cs="Times New Roman" w:eastAsia="Times New Roman" w:hint="default"/>
          <w:spacing w:val="-2"/>
        </w:rPr>
        <w:t>9,400.00</w:t>
      </w:r>
      <w:r>
        <w:rPr>
          <w:spacing w:val="-2"/>
        </w:rPr>
        <w:t>万元和</w:t>
      </w:r>
      <w:r>
        <w:rPr>
          <w:rFonts w:ascii="Times New Roman" w:hAnsi="Times New Roman" w:cs="Times New Roman" w:eastAsia="Times New Roman" w:hint="default"/>
          <w:spacing w:val="-2"/>
        </w:rPr>
        <w:t>10,700.00</w:t>
      </w:r>
      <w:r>
        <w:rPr>
          <w:spacing w:val="-2"/>
        </w:rPr>
        <w:t>万元；补偿</w:t>
      </w:r>
      <w:r>
        <w:rPr>
          <w:spacing w:val="-41"/>
        </w:rPr>
        <w:t> </w:t>
      </w:r>
      <w:r>
        <w:rPr>
          <w:spacing w:val="-41"/>
        </w:rPr>
      </w:r>
      <w:r>
        <w:rPr>
          <w:spacing w:val="-2"/>
        </w:rPr>
        <w:t>义务人保证在本协议生效之日起，对本协议中所载的承诺扣非净利润的实现承担保证责任，具体见《青海明胶股份有限公司</w:t>
      </w:r>
      <w:r>
        <w:rPr>
          <w:spacing w:val="-63"/>
        </w:rPr>
        <w:t> </w:t>
      </w:r>
      <w:r>
        <w:rPr>
          <w:spacing w:val="-63"/>
        </w:rPr>
      </w:r>
      <w:r>
        <w:rPr>
          <w:spacing w:val="-2"/>
        </w:rPr>
        <w:t>发行股份购买资产并募集配套资金暨关联交易报告书（修订稿）》中盈利补偿协议主要内容部分。本期仍在承诺期内。根据</w:t>
      </w:r>
      <w:r>
        <w:rPr>
          <w:spacing w:val="-64"/>
        </w:rPr>
        <w:t> </w:t>
      </w:r>
      <w:r>
        <w:rPr>
          <w:spacing w:val="-64"/>
        </w:rPr>
      </w:r>
      <w:r>
        <w:rPr>
          <w:spacing w:val="-2"/>
        </w:rPr>
        <w:t>瑞华会计师事务所（特殊普通合伙）出具的《业绩承诺实现情况的专项审核报告》，</w:t>
      </w:r>
      <w:r>
        <w:rPr>
          <w:rFonts w:ascii="Times New Roman" w:hAnsi="Times New Roman" w:cs="Times New Roman" w:eastAsia="Times New Roman" w:hint="default"/>
          <w:spacing w:val="-2"/>
        </w:rPr>
        <w:t>2017</w:t>
      </w:r>
      <w:r>
        <w:rPr>
          <w:spacing w:val="-2"/>
        </w:rPr>
        <w:t>年神州易桥（北京）财税科技有限</w:t>
      </w:r>
      <w:r>
        <w:rPr>
          <w:spacing w:val="-61"/>
        </w:rPr>
        <w:t> </w:t>
      </w:r>
      <w:r>
        <w:rPr>
          <w:spacing w:val="-61"/>
        </w:rPr>
      </w:r>
      <w:r>
        <w:rPr/>
        <w:t>公司完成了该年度的业绩承诺。</w:t>
      </w:r>
    </w:p>
    <w:p>
      <w:pPr>
        <w:pStyle w:val="BodyText"/>
        <w:spacing w:line="232" w:lineRule="exact" w:before="23"/>
        <w:ind w:right="0" w:firstLine="480"/>
        <w:jc w:val="left"/>
      </w:pPr>
      <w:r>
        <w:rPr>
          <w:spacing w:val="-1"/>
        </w:rPr>
        <w:t>（</w:t>
      </w:r>
      <w:r>
        <w:rPr>
          <w:rFonts w:ascii="Times New Roman" w:hAnsi="Times New Roman" w:cs="Times New Roman" w:eastAsia="Times New Roman" w:hint="default"/>
          <w:spacing w:val="-1"/>
        </w:rPr>
        <w:t>2</w:t>
      </w:r>
      <w:r>
        <w:rPr>
          <w:spacing w:val="-1"/>
        </w:rPr>
        <w:t>）神州易桥（北京）财税科技有限公司在报告期内完成对无锡易广企业管理有限公司的股权收购，于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月与</w:t>
      </w:r>
      <w:r>
        <w:rPr/>
        <w:t> </w:t>
      </w:r>
      <w:r>
        <w:rPr>
          <w:spacing w:val="-2"/>
        </w:rPr>
        <w:t>补偿义务人聂静签订了《无锡易广企业管理有限公司股权转让协议之盈利补偿协议书》，补偿义务人承诺：无锡易广企业管</w:t>
      </w:r>
    </w:p>
    <w:p>
      <w:pPr>
        <w:spacing w:after="0" w:line="232" w:lineRule="exact"/>
        <w:jc w:val="left"/>
        <w:sectPr>
          <w:pgSz w:w="11910" w:h="16840"/>
          <w:pgMar w:header="878" w:footer="978" w:top="1100" w:bottom="1160" w:left="1020" w:right="1020"/>
        </w:sectPr>
      </w:pPr>
    </w:p>
    <w:p>
      <w:pPr>
        <w:spacing w:line="240" w:lineRule="auto" w:before="12"/>
        <w:rPr>
          <w:rFonts w:ascii="宋体" w:hAnsi="宋体" w:cs="宋体" w:eastAsia="宋体" w:hint="default"/>
          <w:sz w:val="18"/>
          <w:szCs w:val="18"/>
        </w:rPr>
      </w:pPr>
    </w:p>
    <w:p>
      <w:pPr>
        <w:pStyle w:val="BodyText"/>
        <w:spacing w:line="225" w:lineRule="auto" w:before="57"/>
        <w:ind w:right="94"/>
        <w:jc w:val="left"/>
      </w:pPr>
      <w:r>
        <w:rPr>
          <w:spacing w:val="-2"/>
        </w:rPr>
        <w:t>理有限公司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年度及</w:t>
      </w:r>
      <w:r>
        <w:rPr>
          <w:rFonts w:ascii="Times New Roman" w:hAnsi="Times New Roman" w:cs="Times New Roman" w:eastAsia="Times New Roman" w:hint="default"/>
          <w:spacing w:val="-2"/>
        </w:rPr>
        <w:t>2019</w:t>
      </w:r>
      <w:r>
        <w:rPr>
          <w:spacing w:val="-2"/>
        </w:rPr>
        <w:t>年度承诺的扣非净利润分别不低于</w:t>
      </w:r>
      <w:r>
        <w:rPr>
          <w:rFonts w:ascii="Times New Roman" w:hAnsi="Times New Roman" w:cs="Times New Roman" w:eastAsia="Times New Roman" w:hint="default"/>
          <w:spacing w:val="-2"/>
        </w:rPr>
        <w:t>67</w:t>
      </w:r>
      <w:r>
        <w:rPr>
          <w:spacing w:val="-2"/>
        </w:rPr>
        <w:t>万元、</w:t>
      </w:r>
      <w:r>
        <w:rPr>
          <w:rFonts w:ascii="Times New Roman" w:hAnsi="Times New Roman" w:cs="Times New Roman" w:eastAsia="Times New Roman" w:hint="default"/>
          <w:spacing w:val="-2"/>
        </w:rPr>
        <w:t>179</w:t>
      </w:r>
      <w:r>
        <w:rPr>
          <w:spacing w:val="-2"/>
        </w:rPr>
        <w:t>万元、</w:t>
      </w:r>
      <w:r>
        <w:rPr>
          <w:spacing w:val="-48"/>
        </w:rPr>
        <w:t> </w:t>
      </w:r>
      <w:r>
        <w:rPr>
          <w:spacing w:val="-48"/>
        </w:rPr>
      </w:r>
      <w:r>
        <w:rPr>
          <w:rFonts w:ascii="Times New Roman" w:hAnsi="Times New Roman" w:cs="Times New Roman" w:eastAsia="Times New Roman" w:hint="default"/>
          <w:spacing w:val="-2"/>
        </w:rPr>
        <w:t>216</w:t>
      </w:r>
      <w:r>
        <w:rPr>
          <w:spacing w:val="-2"/>
        </w:rPr>
        <w:t>万元和</w:t>
      </w:r>
      <w:r>
        <w:rPr>
          <w:rFonts w:ascii="Times New Roman" w:hAnsi="Times New Roman" w:cs="Times New Roman" w:eastAsia="Times New Roman" w:hint="default"/>
          <w:spacing w:val="-2"/>
        </w:rPr>
        <w:t>262</w:t>
      </w:r>
      <w:r>
        <w:rPr>
          <w:spacing w:val="-2"/>
        </w:rPr>
        <w:t>万元。补偿义务人对上述承诺的扣非净利润的实现承担保证责任。根据瑞华会计师事务所（特殊普通合伙）审</w:t>
      </w:r>
      <w:r>
        <w:rPr>
          <w:spacing w:val="-61"/>
        </w:rPr>
        <w:t> </w:t>
      </w:r>
      <w:r>
        <w:rPr>
          <w:spacing w:val="-61"/>
        </w:rPr>
      </w:r>
      <w:r>
        <w:rPr/>
        <w:t>计后的报表，补偿义务人已经完成了</w:t>
      </w:r>
      <w:r>
        <w:rPr>
          <w:rFonts w:ascii="Times New Roman" w:hAnsi="Times New Roman" w:cs="Times New Roman" w:eastAsia="Times New Roman" w:hint="default"/>
        </w:rPr>
        <w:t>2017</w:t>
      </w:r>
      <w:r>
        <w:rPr/>
        <w:t>年度承诺的业绩。</w:t>
      </w:r>
    </w:p>
    <w:p>
      <w:pPr>
        <w:pStyle w:val="BodyText"/>
        <w:spacing w:line="228" w:lineRule="auto"/>
        <w:ind w:right="190" w:firstLine="480"/>
        <w:jc w:val="both"/>
      </w:pPr>
      <w:r>
        <w:rPr>
          <w:spacing w:val="-1"/>
        </w:rPr>
        <w:t>（</w:t>
      </w:r>
      <w:r>
        <w:rPr>
          <w:rFonts w:ascii="Times New Roman" w:hAnsi="Times New Roman" w:cs="Times New Roman" w:eastAsia="Times New Roman" w:hint="default"/>
          <w:spacing w:val="-1"/>
        </w:rPr>
        <w:t>3</w:t>
      </w:r>
      <w:r>
        <w:rPr>
          <w:spacing w:val="-1"/>
        </w:rPr>
        <w:t>）神州易桥（北京）财税科技有限公司在报告期内完成对无锡易真企业管理有限公司的股权收购，于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月与</w:t>
      </w:r>
      <w:r>
        <w:rPr/>
        <w:t> </w:t>
      </w:r>
      <w:r>
        <w:rPr>
          <w:spacing w:val="-2"/>
        </w:rPr>
        <w:t>杨佩剑签订了《无锡易真企业管理有限公司股权转让协议之盈利补偿协议书》，补偿义务人承诺：无锡易真企业管理有限公</w:t>
      </w:r>
      <w:r>
        <w:rPr>
          <w:spacing w:val="-64"/>
        </w:rPr>
        <w:t> </w:t>
      </w:r>
      <w:r>
        <w:rPr>
          <w:spacing w:val="-64"/>
        </w:rPr>
      </w:r>
      <w:r>
        <w:rPr>
          <w:spacing w:val="-2"/>
        </w:rPr>
        <w:t>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年度及</w:t>
      </w:r>
      <w:r>
        <w:rPr>
          <w:rFonts w:ascii="Times New Roman" w:hAnsi="Times New Roman" w:cs="Times New Roman" w:eastAsia="Times New Roman" w:hint="default"/>
          <w:spacing w:val="-2"/>
        </w:rPr>
        <w:t>2019</w:t>
      </w:r>
      <w:r>
        <w:rPr>
          <w:spacing w:val="-2"/>
        </w:rPr>
        <w:t>年度承诺的扣非净利润分别不低于</w:t>
      </w:r>
      <w:r>
        <w:rPr>
          <w:rFonts w:ascii="Times New Roman" w:hAnsi="Times New Roman" w:cs="Times New Roman" w:eastAsia="Times New Roman" w:hint="default"/>
          <w:spacing w:val="-2"/>
        </w:rPr>
        <w:t>88</w:t>
      </w:r>
      <w:r>
        <w:rPr>
          <w:spacing w:val="-2"/>
        </w:rPr>
        <w:t>万元、</w:t>
      </w:r>
      <w:r>
        <w:rPr>
          <w:rFonts w:ascii="Times New Roman" w:hAnsi="Times New Roman" w:cs="Times New Roman" w:eastAsia="Times New Roman" w:hint="default"/>
          <w:spacing w:val="-2"/>
        </w:rPr>
        <w:t>191</w:t>
      </w:r>
      <w:r>
        <w:rPr>
          <w:spacing w:val="-2"/>
        </w:rPr>
        <w:t>万元、</w:t>
      </w:r>
      <w:r>
        <w:rPr>
          <w:rFonts w:ascii="Times New Roman" w:hAnsi="Times New Roman" w:cs="Times New Roman" w:eastAsia="Times New Roman" w:hint="default"/>
          <w:spacing w:val="-2"/>
        </w:rPr>
        <w:t>234</w:t>
      </w:r>
      <w:r>
        <w:rPr>
          <w:spacing w:val="-2"/>
        </w:rPr>
        <w:t>万元</w:t>
      </w:r>
      <w:r>
        <w:rPr>
          <w:spacing w:val="-48"/>
        </w:rPr>
        <w:t> </w:t>
      </w:r>
      <w:r>
        <w:rPr/>
        <w:t>和</w:t>
      </w:r>
      <w:r>
        <w:rPr>
          <w:rFonts w:ascii="Times New Roman" w:hAnsi="Times New Roman" w:cs="Times New Roman" w:eastAsia="Times New Roman" w:hint="default"/>
        </w:rPr>
        <w:t>276</w:t>
      </w:r>
      <w:r>
        <w:rPr/>
        <w:t>万元。补偿义务人对上述承诺的扣非净利润的实现承担保证责任。根据瑞华会计师事务所（特殊普通合伙）审计后的</w:t>
      </w:r>
      <w:r>
        <w:rPr>
          <w:spacing w:val="-85"/>
        </w:rPr>
        <w:t> </w:t>
      </w:r>
      <w:r>
        <w:rPr>
          <w:spacing w:val="-85"/>
        </w:rPr>
      </w:r>
      <w:r>
        <w:rPr/>
        <w:t>报表，补偿义务人已经完成了</w:t>
      </w:r>
      <w:r>
        <w:rPr>
          <w:rFonts w:ascii="Times New Roman" w:hAnsi="Times New Roman" w:cs="Times New Roman" w:eastAsia="Times New Roman" w:hint="default"/>
        </w:rPr>
        <w:t>2017</w:t>
      </w:r>
      <w:r>
        <w:rPr/>
        <w:t>年度承诺的业绩。</w:t>
      </w:r>
    </w:p>
    <w:p>
      <w:pPr>
        <w:pStyle w:val="BodyText"/>
        <w:spacing w:line="228" w:lineRule="auto"/>
        <w:ind w:right="94" w:firstLine="480"/>
        <w:jc w:val="left"/>
      </w:pPr>
      <w:r>
        <w:rPr/>
        <w:t>（</w:t>
      </w:r>
      <w:r>
        <w:rPr>
          <w:rFonts w:ascii="Times New Roman" w:hAnsi="Times New Roman" w:cs="Times New Roman" w:eastAsia="Times New Roman" w:hint="default"/>
        </w:rPr>
        <w:t>4</w:t>
      </w:r>
      <w:r>
        <w:rPr/>
        <w:t>）神州易桥（北京）财税科技有限公司在报告期内完成对宁波神州开元会计服务有限公司的股权收购，于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月与隆化县优创企业管理咨询中心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、霍尔果斯神州易桥股权投资合伙企业（有限合伙）、霍尔果斯硕佳股权投资 </w:t>
      </w:r>
      <w:r>
        <w:rPr>
          <w:spacing w:val="-2"/>
        </w:rPr>
        <w:t>有限公司、西藏天元方创创业投资有限公司签订了《宁波神州开元会计服务有限公司股权转让协议之盈利补偿协议书》，补</w:t>
      </w:r>
      <w:r>
        <w:rPr>
          <w:spacing w:val="-65"/>
        </w:rPr>
        <w:t> </w:t>
      </w:r>
      <w:r>
        <w:rPr>
          <w:spacing w:val="-65"/>
        </w:rPr>
      </w:r>
      <w:r>
        <w:rPr/>
        <w:t>偿义务人承诺：宁波神州开元会计服务有限公司</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年度以及</w:t>
      </w:r>
      <w:r>
        <w:rPr>
          <w:rFonts w:ascii="Times New Roman" w:hAnsi="Times New Roman" w:cs="Times New Roman" w:eastAsia="Times New Roman" w:hint="default"/>
        </w:rPr>
        <w:t>2019</w:t>
      </w:r>
      <w:r>
        <w:rPr/>
        <w:t>年度承诺扣非净利润分别不低于</w:t>
      </w:r>
      <w:r>
        <w:rPr>
          <w:rFonts w:ascii="Times New Roman" w:hAnsi="Times New Roman" w:cs="Times New Roman" w:eastAsia="Times New Roman" w:hint="default"/>
        </w:rPr>
        <w:t>3,000</w:t>
      </w:r>
      <w:r>
        <w:rPr/>
        <w:t>万元、</w:t>
      </w:r>
      <w:r>
        <w:rPr>
          <w:spacing w:val="-54"/>
        </w:rPr>
        <w:t> </w:t>
      </w:r>
      <w:r>
        <w:rPr>
          <w:spacing w:val="-54"/>
        </w:rPr>
      </w:r>
      <w:r>
        <w:rPr>
          <w:rFonts w:ascii="Times New Roman" w:hAnsi="Times New Roman" w:cs="Times New Roman" w:eastAsia="Times New Roman" w:hint="default"/>
          <w:spacing w:val="-2"/>
        </w:rPr>
        <w:t>3,600</w:t>
      </w:r>
      <w:r>
        <w:rPr>
          <w:spacing w:val="-2"/>
        </w:rPr>
        <w:t>万元和</w:t>
      </w:r>
      <w:r>
        <w:rPr>
          <w:rFonts w:ascii="Times New Roman" w:hAnsi="Times New Roman" w:cs="Times New Roman" w:eastAsia="Times New Roman" w:hint="default"/>
          <w:spacing w:val="-2"/>
        </w:rPr>
        <w:t>4,320</w:t>
      </w:r>
      <w:r>
        <w:rPr>
          <w:spacing w:val="-2"/>
        </w:rPr>
        <w:t>万元。补偿义务人对上述承诺的扣非净利润的实现承担保证责任。根据瑞华会计师事务所（特殊普通合伙）</w:t>
      </w:r>
      <w:r>
        <w:rPr>
          <w:spacing w:val="-57"/>
        </w:rPr>
        <w:t> </w:t>
      </w:r>
      <w:r>
        <w:rPr>
          <w:spacing w:val="-57"/>
        </w:rPr>
      </w:r>
      <w:r>
        <w:rPr/>
        <w:t>审计后的报表，补偿义务人未完成</w:t>
      </w:r>
      <w:r>
        <w:rPr>
          <w:rFonts w:ascii="Times New Roman" w:hAnsi="Times New Roman" w:cs="Times New Roman" w:eastAsia="Times New Roman" w:hint="default"/>
        </w:rPr>
        <w:t>2017</w:t>
      </w:r>
      <w:r>
        <w:rPr/>
        <w:t>年度承诺的业绩。</w:t>
      </w:r>
    </w:p>
    <w:p>
      <w:pPr>
        <w:pStyle w:val="BodyText"/>
        <w:spacing w:line="225" w:lineRule="auto"/>
        <w:ind w:right="94" w:firstLine="480"/>
        <w:jc w:val="left"/>
      </w:pPr>
      <w:r>
        <w:rPr/>
        <w:t>（</w:t>
      </w:r>
      <w:r>
        <w:rPr>
          <w:rFonts w:ascii="Times New Roman" w:hAnsi="Times New Roman" w:cs="Times New Roman" w:eastAsia="Times New Roman" w:hint="default"/>
        </w:rPr>
        <w:t>5</w:t>
      </w:r>
      <w:r>
        <w:rPr/>
        <w:t>）本公司在报告期以</w:t>
      </w:r>
      <w:r>
        <w:rPr>
          <w:rFonts w:ascii="Times New Roman" w:hAnsi="Times New Roman" w:cs="Times New Roman" w:eastAsia="Times New Roman" w:hint="default"/>
        </w:rPr>
        <w:t>4,872.00</w:t>
      </w:r>
      <w:r>
        <w:rPr/>
        <w:t>万元收购陈颖、陈勇及谢鹏所持广州网融信息技术有限公司</w:t>
      </w:r>
      <w:r>
        <w:rPr>
          <w:rFonts w:ascii="Times New Roman" w:hAnsi="Times New Roman" w:cs="Times New Roman" w:eastAsia="Times New Roman" w:hint="default"/>
        </w:rPr>
        <w:t>25%</w:t>
      </w:r>
      <w:r>
        <w:rPr/>
        <w:t>股权。并于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 </w:t>
      </w:r>
      <w:r>
        <w:rPr/>
        <w:t>月与上述三名自然人签署了《股权转让协议之盈利补偿协议书》，补偿义务人承诺：广州网融信息技术有限公司</w:t>
      </w:r>
      <w:r>
        <w:rPr>
          <w:rFonts w:ascii="Times New Roman" w:hAnsi="Times New Roman" w:cs="Times New Roman" w:eastAsia="Times New Roman" w:hint="default"/>
        </w:rPr>
        <w:t>2017</w:t>
      </w:r>
      <w:r>
        <w:rPr/>
        <w:t>年度、 </w:t>
      </w:r>
      <w:r>
        <w:rPr>
          <w:rFonts w:ascii="Times New Roman" w:hAnsi="Times New Roman" w:cs="Times New Roman" w:eastAsia="Times New Roman" w:hint="default"/>
        </w:rPr>
        <w:t>2018</w:t>
      </w:r>
      <w:r>
        <w:rPr/>
        <w:t>年度以及</w:t>
      </w:r>
      <w:r>
        <w:rPr>
          <w:rFonts w:ascii="Times New Roman" w:hAnsi="Times New Roman" w:cs="Times New Roman" w:eastAsia="Times New Roman" w:hint="default"/>
        </w:rPr>
        <w:t>2019</w:t>
      </w:r>
      <w:r>
        <w:rPr/>
        <w:t>年度承诺扣非净利润分别不低</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1,800</w:t>
      </w:r>
      <w:r>
        <w:rPr/>
        <w:t>万元和</w:t>
      </w:r>
      <w:r>
        <w:rPr>
          <w:rFonts w:ascii="Times New Roman" w:hAnsi="Times New Roman" w:cs="Times New Roman" w:eastAsia="Times New Roman" w:hint="default"/>
        </w:rPr>
        <w:t>2,160</w:t>
      </w:r>
      <w:r>
        <w:rPr/>
        <w:t>万元。补偿义务人对上述承诺的扣非净利润的 </w:t>
      </w:r>
      <w:r>
        <w:rPr>
          <w:spacing w:val="-2"/>
        </w:rPr>
        <w:t>实现承担保证责任。根据天职国际会计师事务所（特殊普通合伙）出具的天职业字【</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6368</w:t>
      </w:r>
      <w:r>
        <w:rPr>
          <w:spacing w:val="-2"/>
        </w:rPr>
        <w:t>号审计报告，补偿义务人完</w:t>
      </w:r>
      <w:r>
        <w:rPr>
          <w:spacing w:val="-62"/>
        </w:rPr>
        <w:t> </w:t>
      </w:r>
      <w:r>
        <w:rPr>
          <w:spacing w:val="-62"/>
        </w:rPr>
      </w:r>
      <w:r>
        <w:rPr/>
        <w:t>成了</w:t>
      </w:r>
      <w:r>
        <w:rPr>
          <w:rFonts w:ascii="Times New Roman" w:hAnsi="Times New Roman" w:cs="Times New Roman" w:eastAsia="Times New Roman" w:hint="default"/>
        </w:rPr>
        <w:t>2017</w:t>
      </w:r>
      <w:r>
        <w:rPr/>
        <w:t>年度承诺的业绩。</w:t>
      </w:r>
    </w:p>
    <w:p>
      <w:pPr>
        <w:pStyle w:val="BodyText"/>
        <w:spacing w:line="225" w:lineRule="auto"/>
        <w:ind w:right="94" w:firstLine="480"/>
        <w:jc w:val="left"/>
      </w:pPr>
      <w:r>
        <w:rPr/>
        <w:t>（</w:t>
      </w:r>
      <w:r>
        <w:rPr>
          <w:rFonts w:ascii="Times New Roman" w:hAnsi="Times New Roman" w:cs="Times New Roman" w:eastAsia="Times New Roman" w:hint="default"/>
        </w:rPr>
        <w:t>6</w:t>
      </w:r>
      <w:r>
        <w:rPr/>
        <w:t>）本公司之子公司企业管家（北京）科技服务有限公司旗下</w:t>
      </w:r>
      <w:r>
        <w:rPr>
          <w:rFonts w:ascii="Times New Roman" w:hAnsi="Times New Roman" w:cs="Times New Roman" w:eastAsia="Times New Roman" w:hint="default"/>
        </w:rPr>
        <w:t>77</w:t>
      </w:r>
      <w:r>
        <w:rPr/>
        <w:t>家公司的补偿义务人承诺</w:t>
      </w:r>
      <w:r>
        <w:rPr>
          <w:rFonts w:ascii="Times New Roman" w:hAnsi="Times New Roman" w:cs="Times New Roman" w:eastAsia="Times New Roman" w:hint="default"/>
        </w:rPr>
        <w:t>2017</w:t>
      </w:r>
      <w:r>
        <w:rPr/>
        <w:t>年度扣非净利润不低 </w:t>
      </w:r>
      <w:r>
        <w:rPr>
          <w:spacing w:val="-2"/>
        </w:rPr>
        <w:t>于</w:t>
      </w:r>
      <w:r>
        <w:rPr>
          <w:rFonts w:ascii="Times New Roman" w:hAnsi="Times New Roman" w:cs="Times New Roman" w:eastAsia="Times New Roman" w:hint="default"/>
          <w:spacing w:val="-2"/>
        </w:rPr>
        <w:t>8364</w:t>
      </w:r>
      <w:r>
        <w:rPr>
          <w:spacing w:val="-2"/>
        </w:rPr>
        <w:t>万元。补偿义务人对上述承诺的扣非净利润的实现承担保证责任。根据瑞华会计师事务所（特殊普通合伙）审计后的</w:t>
      </w:r>
      <w:r>
        <w:rPr>
          <w:spacing w:val="-64"/>
        </w:rPr>
        <w:t> </w:t>
      </w:r>
      <w:r>
        <w:rPr>
          <w:spacing w:val="-64"/>
        </w:rPr>
      </w:r>
      <w:r>
        <w:rPr/>
        <w:t>报表，补偿义务人均已完成</w:t>
      </w:r>
      <w:r>
        <w:rPr>
          <w:rFonts w:ascii="Times New Roman" w:hAnsi="Times New Roman" w:cs="Times New Roman" w:eastAsia="Times New Roman" w:hint="default"/>
        </w:rPr>
        <w:t>2017</w:t>
      </w:r>
      <w:r>
        <w:rPr/>
        <w:t>年度承诺的业绩。</w:t>
      </w:r>
    </w:p>
    <w:p>
      <w:pPr>
        <w:pStyle w:val="BodyText"/>
        <w:spacing w:line="235" w:lineRule="exact"/>
        <w:ind w:left="592" w:right="94"/>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日，除上述事项外，本公司无需要披露的重大承诺事项。</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
        <w:rPr>
          <w:rFonts w:ascii="宋体" w:hAnsi="宋体" w:cs="宋体" w:eastAsia="宋体" w:hint="default"/>
          <w:b/>
          <w:bCs/>
          <w:sz w:val="23"/>
          <w:szCs w:val="23"/>
        </w:rPr>
      </w:pPr>
    </w:p>
    <w:p>
      <w:pPr>
        <w:pStyle w:val="BodyText"/>
        <w:spacing w:line="225" w:lineRule="auto"/>
        <w:ind w:right="94" w:firstLine="480"/>
        <w:jc w:val="left"/>
      </w:pP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日召开第七届董事会</w:t>
      </w:r>
      <w:r>
        <w:rPr>
          <w:rFonts w:ascii="Times New Roman" w:hAnsi="Times New Roman" w:cs="Times New Roman" w:eastAsia="Times New Roman" w:hint="default"/>
          <w:spacing w:val="-1"/>
        </w:rPr>
        <w:t>2017</w:t>
      </w:r>
      <w:r>
        <w:rPr>
          <w:spacing w:val="-1"/>
        </w:rPr>
        <w:t>年第十二次临时会议，审议通过了《关于公司对外提供担保的议案》，</w:t>
      </w:r>
      <w:r>
        <w:rPr/>
        <w:t> 为洛阳蓝宝氟业有限公司提供不超过</w:t>
      </w:r>
      <w:r>
        <w:rPr>
          <w:rFonts w:ascii="Times New Roman" w:hAnsi="Times New Roman" w:cs="Times New Roman" w:eastAsia="Times New Roman" w:hint="default"/>
        </w:rPr>
        <w:t>5,000</w:t>
      </w:r>
      <w:r>
        <w:rPr/>
        <w:t>万元的连带责任保证担保，担保期限为一年，从借款实际发生之日起到清偿完毕</w:t>
      </w:r>
      <w:r>
        <w:rPr>
          <w:spacing w:val="-49"/>
        </w:rPr>
        <w:t> </w:t>
      </w:r>
      <w:r>
        <w:rPr>
          <w:spacing w:val="-49"/>
        </w:rPr>
      </w:r>
      <w:r>
        <w:rPr/>
        <w:t>止（具体以借款合同为准），在有效期间与银行签订担保合同。</w:t>
      </w:r>
    </w:p>
    <w:p>
      <w:pPr>
        <w:pStyle w:val="BodyText"/>
        <w:spacing w:line="248" w:lineRule="exact"/>
        <w:ind w:left="472" w:right="94"/>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日止，除上述事项外，本公司无需要披露的重大或有事项。</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4"/>
        <w:jc w:val="left"/>
      </w:pPr>
      <w:r>
        <w:rPr/>
        <w:t>公司不存在需要披露的重要或有事项。</w:t>
      </w:r>
    </w:p>
    <w:p>
      <w:pPr>
        <w:spacing w:line="240" w:lineRule="auto" w:before="3"/>
        <w:rPr>
          <w:rFonts w:ascii="宋体" w:hAnsi="宋体" w:cs="宋体" w:eastAsia="宋体" w:hint="default"/>
          <w:sz w:val="22"/>
          <w:szCs w:val="22"/>
        </w:rPr>
      </w:pPr>
    </w:p>
    <w:p>
      <w:pPr>
        <w:spacing w:line="470" w:lineRule="auto" w:before="0"/>
        <w:ind w:left="112" w:right="69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66"/>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55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9"/>
        <w:rPr>
          <w:rFonts w:ascii="宋体" w:hAnsi="宋体" w:cs="宋体" w:eastAsia="宋体" w:hint="default"/>
          <w:sz w:val="17"/>
          <w:szCs w:val="17"/>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after="0" w:line="240" w:lineRule="auto"/>
        <w:jc w:val="right"/>
        <w:sectPr>
          <w:pgSz w:w="11910" w:h="16840"/>
          <w:pgMar w:header="878" w:footer="978" w:top="1100" w:bottom="1160" w:left="1020" w:right="94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92" w:firstLine="480"/>
        <w:jc w:val="both"/>
      </w:pPr>
      <w:r>
        <w:rPr>
          <w:rFonts w:ascii="Times New Roman" w:hAnsi="Times New Roman" w:cs="Times New Roman" w:eastAsia="Times New Roman" w:hint="default"/>
        </w:rPr>
        <w:t>1</w:t>
      </w:r>
      <w:r>
        <w:rPr/>
        <w:t>、本公司第七届董事会</w:t>
      </w:r>
      <w:r>
        <w:rPr>
          <w:rFonts w:ascii="Times New Roman" w:hAnsi="Times New Roman" w:cs="Times New Roman" w:eastAsia="Times New Roman" w:hint="default"/>
        </w:rPr>
        <w:t>2017</w:t>
      </w:r>
      <w:r>
        <w:rPr/>
        <w:t>年第十六次临时会议、第七届监事会</w:t>
      </w:r>
      <w:r>
        <w:rPr>
          <w:rFonts w:ascii="Times New Roman" w:hAnsi="Times New Roman" w:cs="Times New Roman" w:eastAsia="Times New Roman" w:hint="default"/>
        </w:rPr>
        <w:t>2017</w:t>
      </w:r>
      <w:r>
        <w:rPr/>
        <w:t>年第十五次会议审议，同意全资子公司神州易 桥（北京）财税科技有限公司以人民币</w:t>
      </w:r>
      <w:r>
        <w:rPr>
          <w:rFonts w:ascii="Times New Roman" w:hAnsi="Times New Roman" w:cs="Times New Roman" w:eastAsia="Times New Roman" w:hint="default"/>
        </w:rPr>
        <w:t>1.5</w:t>
      </w:r>
      <w:r>
        <w:rPr/>
        <w:t>亿元对霍尔果斯快马财税管理服务有限公司增资，增资完成后易桥财税科技占其</w:t>
      </w:r>
      <w:r>
        <w:rPr>
          <w:spacing w:val="-47"/>
        </w:rPr>
        <w:t> </w:t>
      </w:r>
      <w:r>
        <w:rPr>
          <w:spacing w:val="-47"/>
        </w:rPr>
      </w:r>
      <w:r>
        <w:rPr/>
        <w:t>注册资本的</w:t>
      </w:r>
      <w:r>
        <w:rPr>
          <w:rFonts w:ascii="Times New Roman" w:hAnsi="Times New Roman" w:cs="Times New Roman" w:eastAsia="Times New Roman" w:hint="default"/>
        </w:rPr>
        <w:t>40%</w:t>
      </w:r>
      <w:r>
        <w:rPr/>
        <w:t>。上述股权变更事项已于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日完成。</w:t>
      </w:r>
    </w:p>
    <w:p>
      <w:pPr>
        <w:pStyle w:val="BodyText"/>
        <w:spacing w:line="225" w:lineRule="auto"/>
        <w:ind w:right="91" w:firstLine="480"/>
        <w:jc w:val="left"/>
      </w:pPr>
      <w:r>
        <w:rPr>
          <w:rFonts w:ascii="Times New Roman" w:hAnsi="Times New Roman" w:cs="Times New Roman" w:eastAsia="Times New Roman" w:hint="default"/>
          <w:spacing w:val="-1"/>
        </w:rPr>
        <w:t>2</w:t>
      </w:r>
      <w:r>
        <w:rPr>
          <w:spacing w:val="-1"/>
        </w:rPr>
        <w:t>、本公司</w:t>
      </w:r>
      <w:r>
        <w:rPr>
          <w:rFonts w:ascii="Times New Roman" w:hAnsi="Times New Roman" w:cs="Times New Roman" w:eastAsia="Times New Roman" w:hint="default"/>
          <w:spacing w:val="-1"/>
        </w:rPr>
        <w:t>[2018]001</w:t>
      </w:r>
      <w:r>
        <w:rPr>
          <w:spacing w:val="-1"/>
        </w:rPr>
        <w:t>号总裁办公会会议纪要审议通过，同意公司收购霍尔果斯神州易桥股权投资合伙企业（有限合伙）</w:t>
      </w:r>
      <w:r>
        <w:rPr/>
        <w:t> 所持有霍尔果斯易桥快马企业管理咨询有限公司的</w:t>
      </w:r>
      <w:r>
        <w:rPr>
          <w:rFonts w:ascii="Times New Roman" w:hAnsi="Times New Roman" w:cs="Times New Roman" w:eastAsia="Times New Roman" w:hint="default"/>
        </w:rPr>
        <w:t>25%</w:t>
      </w:r>
      <w:r>
        <w:rPr/>
        <w:t>股权，收购完成后子公司企业管家（北京）科技服务有限公司持有霍 尔果斯易桥快马企业管理咨询有限公司</w:t>
      </w:r>
      <w:r>
        <w:rPr>
          <w:rFonts w:ascii="Times New Roman" w:hAnsi="Times New Roman" w:cs="Times New Roman" w:eastAsia="Times New Roman" w:hint="default"/>
        </w:rPr>
        <w:t>75%</w:t>
      </w:r>
      <w:r>
        <w:rPr/>
        <w:t>股权，股份公司持有霍尔果斯易桥快马企业管理咨询有限公司</w:t>
      </w:r>
      <w:r>
        <w:rPr>
          <w:rFonts w:ascii="Times New Roman" w:hAnsi="Times New Roman" w:cs="Times New Roman" w:eastAsia="Times New Roman" w:hint="default"/>
        </w:rPr>
        <w:t>25%</w:t>
      </w:r>
      <w:r>
        <w:rPr/>
        <w:t>股权。上述股 权变更事项已于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日完成。</w:t>
      </w:r>
    </w:p>
    <w:p>
      <w:pPr>
        <w:pStyle w:val="BodyText"/>
        <w:spacing w:line="230" w:lineRule="auto"/>
        <w:ind w:right="189" w:firstLine="480"/>
        <w:jc w:val="both"/>
      </w:pPr>
      <w:r>
        <w:rPr>
          <w:rFonts w:ascii="Times New Roman" w:hAnsi="Times New Roman" w:cs="Times New Roman" w:eastAsia="Times New Roman" w:hint="default"/>
        </w:rPr>
        <w:t>3</w:t>
      </w:r>
      <w:r>
        <w:rPr/>
        <w:t>、本公司</w:t>
      </w:r>
      <w:r>
        <w:rPr>
          <w:rFonts w:ascii="Times New Roman" w:hAnsi="Times New Roman" w:cs="Times New Roman" w:eastAsia="Times New Roman" w:hint="default"/>
        </w:rPr>
        <w:t>[2018]002</w:t>
      </w:r>
      <w:r>
        <w:rPr/>
        <w:t>号总裁办公会会议纪要审议通过，同意公司拟以现金方式收购霍尔果斯神州易桥股权投资合伙企 </w:t>
      </w:r>
      <w:r>
        <w:rPr>
          <w:spacing w:val="-1"/>
        </w:rPr>
        <w:t>业（有限合伙）所持有霍尔果斯快马财税管理服务有限公司（以下简称</w:t>
      </w:r>
      <w:r>
        <w:rPr>
          <w:rFonts w:ascii="Times New Roman" w:hAnsi="Times New Roman" w:cs="Times New Roman" w:eastAsia="Times New Roman" w:hint="default"/>
          <w:spacing w:val="-1"/>
        </w:rPr>
        <w:t>“</w:t>
      </w:r>
      <w:r>
        <w:rPr>
          <w:spacing w:val="-1"/>
        </w:rPr>
        <w:t>快马财税</w:t>
      </w:r>
      <w:r>
        <w:rPr>
          <w:rFonts w:ascii="Times New Roman" w:hAnsi="Times New Roman" w:cs="Times New Roman" w:eastAsia="Times New Roman" w:hint="default"/>
          <w:spacing w:val="-1"/>
        </w:rPr>
        <w:t>”</w:t>
      </w:r>
      <w:r>
        <w:rPr>
          <w:spacing w:val="-1"/>
        </w:rPr>
        <w:t>）的</w:t>
      </w:r>
      <w:r>
        <w:rPr>
          <w:rFonts w:ascii="Times New Roman" w:hAnsi="Times New Roman" w:cs="Times New Roman" w:eastAsia="Times New Roman" w:hint="default"/>
          <w:spacing w:val="-1"/>
        </w:rPr>
        <w:t>60%</w:t>
      </w:r>
      <w:r>
        <w:rPr>
          <w:spacing w:val="-1"/>
        </w:rPr>
        <w:t>股权，收购价格以霍尔果斯神州</w:t>
      </w:r>
      <w:r>
        <w:rPr>
          <w:spacing w:val="-67"/>
        </w:rPr>
        <w:t> </w:t>
      </w:r>
      <w:r>
        <w:rPr>
          <w:spacing w:val="-67"/>
        </w:rPr>
      </w:r>
      <w:r>
        <w:rPr>
          <w:spacing w:val="-2"/>
        </w:rPr>
        <w:t>易桥股权投资合伙企业（有限合伙）对快马财税实际出资额以及经审计、评估的净资产额为准，收购完成公司及关联方将持</w:t>
      </w:r>
      <w:r>
        <w:rPr>
          <w:spacing w:val="-64"/>
        </w:rPr>
        <w:t> </w:t>
      </w:r>
      <w:r>
        <w:rPr>
          <w:spacing w:val="-64"/>
        </w:rPr>
      </w:r>
      <w:r>
        <w:rPr/>
        <w:t>有快马财税</w:t>
      </w:r>
      <w:r>
        <w:rPr>
          <w:rFonts w:ascii="Times New Roman" w:hAnsi="Times New Roman" w:cs="Times New Roman" w:eastAsia="Times New Roman" w:hint="default"/>
        </w:rPr>
        <w:t>100%</w:t>
      </w:r>
      <w:r>
        <w:rPr/>
        <w:t>股权。截止年报披露日上述事项尚未完成。</w:t>
      </w:r>
    </w:p>
    <w:p>
      <w:pPr>
        <w:pStyle w:val="BodyText"/>
        <w:spacing w:line="221" w:lineRule="exact"/>
        <w:ind w:left="592" w:right="94"/>
        <w:jc w:val="left"/>
      </w:pPr>
      <w:r>
        <w:rPr/>
        <w:t>截至年报披露日止，本公司无需要披露的其他资产负债表日后事项。</w:t>
      </w:r>
    </w:p>
    <w:p>
      <w:pPr>
        <w:spacing w:line="240" w:lineRule="auto" w:before="12"/>
        <w:rPr>
          <w:rFonts w:ascii="宋体" w:hAnsi="宋体" w:cs="宋体" w:eastAsia="宋体" w:hint="default"/>
          <w:sz w:val="21"/>
          <w:szCs w:val="21"/>
        </w:rPr>
      </w:pPr>
    </w:p>
    <w:p>
      <w:pPr>
        <w:pStyle w:val="Heading2"/>
        <w:spacing w:line="240" w:lineRule="auto"/>
        <w:ind w:right="94"/>
        <w:jc w:val="left"/>
        <w:rPr>
          <w:b w:val="0"/>
          <w:bCs w:val="0"/>
        </w:rPr>
      </w:pPr>
      <w:r>
        <w:rPr/>
        <w:t>十六、其他重要事项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55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0"/>
        <w:rPr>
          <w:rFonts w:ascii="宋体" w:hAnsi="宋体" w:cs="宋体" w:eastAsia="宋体" w:hint="default"/>
          <w:sz w:val="17"/>
          <w:szCs w:val="17"/>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宋体" w:hAnsi="宋体" w:cs="宋体" w:eastAsia="宋体" w:hint="default"/>
          <w:b/>
          <w:bCs/>
          <w:sz w:val="17"/>
          <w:szCs w:val="17"/>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585" w:right="94"/>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日止，本公司无需要说明的债务重组事项。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585" w:right="94"/>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日止，本公司无需要说明的非货币性资产交换事项。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585" w:right="94"/>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日止，本公司无需要说明的其他资产置换事项。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585" w:right="94"/>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日止，本公司无需要说明的年金计划事项。</w:t>
      </w:r>
    </w:p>
    <w:p>
      <w:pPr>
        <w:spacing w:after="0" w:line="240" w:lineRule="auto"/>
        <w:jc w:val="left"/>
        <w:sectPr>
          <w:footerReference w:type="default" r:id="rId43"/>
          <w:pgSz w:w="11910" w:h="16840"/>
          <w:pgMar w:footer="978" w:header="878" w:top="1100" w:bottom="1160" w:left="1020" w:right="940"/>
          <w:pgNumType w:start="150"/>
        </w:sectPr>
      </w:pP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9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48"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0" w:right="0"/>
              <w:jc w:val="left"/>
              <w:rPr>
                <w:rFonts w:ascii="Times New Roman" w:hAnsi="Times New Roman" w:cs="Times New Roman" w:eastAsia="Times New Roman" w:hint="default"/>
                <w:sz w:val="18"/>
                <w:szCs w:val="18"/>
              </w:rPr>
            </w:pPr>
            <w:r>
              <w:rPr>
                <w:rFonts w:ascii="Times New Roman"/>
                <w:sz w:val="18"/>
              </w:rPr>
              <w:t>197,274,590.39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8" w:right="0"/>
              <w:jc w:val="left"/>
              <w:rPr>
                <w:rFonts w:ascii="Times New Roman" w:hAnsi="Times New Roman" w:cs="Times New Roman" w:eastAsia="Times New Roman" w:hint="default"/>
                <w:sz w:val="18"/>
                <w:szCs w:val="18"/>
              </w:rPr>
            </w:pPr>
            <w:r>
              <w:rPr>
                <w:rFonts w:ascii="Times New Roman"/>
                <w:sz w:val="18"/>
              </w:rPr>
              <w:t>40,758,620.76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left"/>
              <w:rPr>
                <w:rFonts w:ascii="Times New Roman" w:hAnsi="Times New Roman" w:cs="Times New Roman" w:eastAsia="Times New Roman" w:hint="default"/>
                <w:sz w:val="18"/>
                <w:szCs w:val="18"/>
              </w:rPr>
            </w:pPr>
            <w:r>
              <w:rPr>
                <w:rFonts w:ascii="Times New Roman"/>
                <w:sz w:val="18"/>
              </w:rPr>
              <w:t>-39,602,782.88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left"/>
              <w:rPr>
                <w:rFonts w:ascii="Times New Roman" w:hAnsi="Times New Roman" w:cs="Times New Roman" w:eastAsia="Times New Roman" w:hint="default"/>
                <w:sz w:val="18"/>
                <w:szCs w:val="18"/>
              </w:rPr>
            </w:pPr>
            <w:r>
              <w:rPr>
                <w:rFonts w:ascii="Times New Roman"/>
                <w:sz w:val="18"/>
              </w:rPr>
              <w:t>-39,602,782.88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9" w:right="0"/>
              <w:jc w:val="left"/>
              <w:rPr>
                <w:rFonts w:ascii="Times New Roman" w:hAnsi="Times New Roman" w:cs="Times New Roman" w:eastAsia="Times New Roman" w:hint="default"/>
                <w:sz w:val="18"/>
                <w:szCs w:val="18"/>
              </w:rPr>
            </w:pPr>
            <w:r>
              <w:rPr>
                <w:rFonts w:ascii="Times New Roman"/>
                <w:sz w:val="18"/>
              </w:rPr>
              <w:t>-7,941,633.33</w:t>
            </w:r>
          </w:p>
        </w:tc>
      </w:tr>
    </w:tbl>
    <w:p>
      <w:pPr>
        <w:pStyle w:val="BodyText"/>
        <w:spacing w:line="240" w:lineRule="auto" w:before="11"/>
        <w:ind w:right="0"/>
        <w:jc w:val="left"/>
      </w:pPr>
      <w:r>
        <w:rPr/>
        <w:t>其他说明</w:t>
      </w:r>
    </w:p>
    <w:p>
      <w:pPr>
        <w:pStyle w:val="BodyText"/>
        <w:spacing w:line="240" w:lineRule="auto" w:before="38"/>
        <w:ind w:left="585"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日止，本公司已剥离传统制造业板块，对生产制造业终止了经营。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94"/>
        <w:jc w:val="left"/>
      </w:pPr>
      <w:r>
        <w:rPr/>
        <w:t>报告分部的确定依据 本公司以内部组织结构、管理要求、内部报告制度等为依据确定经营分部。经营分部是指同时满足下列条件的组成部分：</w:t>
      </w:r>
    </w:p>
    <w:p>
      <w:pPr>
        <w:pStyle w:val="BodyText"/>
        <w:spacing w:line="213" w:lineRule="exact"/>
        <w:ind w:right="0"/>
        <w:jc w:val="left"/>
      </w:pPr>
      <w:r>
        <w:rPr/>
        <w:t>①该组成部分能够在日常活动中产生收入、发生费用；</w:t>
      </w:r>
    </w:p>
    <w:p>
      <w:pPr>
        <w:pStyle w:val="BodyText"/>
        <w:spacing w:line="233" w:lineRule="exact"/>
        <w:ind w:right="0"/>
        <w:jc w:val="left"/>
      </w:pPr>
      <w:r>
        <w:rPr/>
        <w:t>②管理层能够定期评价该组成部分的经营成果，以决定向其配置资源、评价其业绩；</w:t>
      </w:r>
    </w:p>
    <w:p>
      <w:pPr>
        <w:pStyle w:val="BodyText"/>
        <w:spacing w:line="237" w:lineRule="auto"/>
        <w:ind w:right="1454"/>
        <w:jc w:val="left"/>
      </w:pPr>
      <w:r>
        <w:rPr/>
        <w:t>③能够通过分析取得该组成部分的财务状况、经营成果和现金流量等有关会计信息。 如果两个或多个经营分部具有相似的经济特征，并且满足一定条件的，本公司将其合并为一个经营分部。 报告分部会计政策</w:t>
      </w:r>
    </w:p>
    <w:p>
      <w:pPr>
        <w:pStyle w:val="BodyText"/>
        <w:spacing w:line="247" w:lineRule="exact"/>
        <w:ind w:right="0"/>
        <w:jc w:val="left"/>
      </w:pPr>
      <w:r>
        <w:rPr/>
        <w:t>每个经营分部会计政策与附注中的</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所述会计政策一致。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企业服务业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318,087,963.00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183,944,708.72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502,032,671.72</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130,588,305.55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171,296,988.95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301,885,294.50</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3,838,043,648.14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3,838,043,648.14</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909,342,345.10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909,342,345.10</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
        <w:rPr>
          <w:rFonts w:ascii="宋体" w:hAnsi="宋体" w:cs="宋体" w:eastAsia="宋体" w:hint="default"/>
          <w:b/>
          <w:bCs/>
          <w:sz w:val="23"/>
          <w:szCs w:val="23"/>
        </w:rPr>
      </w:pPr>
    </w:p>
    <w:p>
      <w:pPr>
        <w:pStyle w:val="BodyText"/>
        <w:spacing w:line="225" w:lineRule="auto"/>
        <w:ind w:right="104" w:firstLine="480"/>
        <w:jc w:val="both"/>
      </w:pPr>
      <w:r>
        <w:rPr>
          <w:spacing w:val="-2"/>
        </w:rPr>
        <w:t>（</w:t>
      </w:r>
      <w:r>
        <w:rPr>
          <w:rFonts w:ascii="Times New Roman" w:hAnsi="Times New Roman" w:cs="Times New Roman" w:eastAsia="Times New Roman" w:hint="default"/>
          <w:spacing w:val="-2"/>
        </w:rPr>
        <w:t>1</w:t>
      </w:r>
      <w:r>
        <w:rPr>
          <w:spacing w:val="-2"/>
        </w:rPr>
        <w:t>）本公司召开第七届董事会</w:t>
      </w:r>
      <w:r>
        <w:rPr>
          <w:rFonts w:ascii="Times New Roman" w:hAnsi="Times New Roman" w:cs="Times New Roman" w:eastAsia="Times New Roman" w:hint="default"/>
          <w:spacing w:val="-2"/>
        </w:rPr>
        <w:t>2017</w:t>
      </w:r>
      <w:r>
        <w:rPr>
          <w:spacing w:val="-2"/>
        </w:rPr>
        <w:t>年第八次临时会议审议通过了《关于公司收购广州网融信息技术有限公司</w:t>
      </w:r>
      <w:r>
        <w:rPr>
          <w:rFonts w:ascii="Times New Roman" w:hAnsi="Times New Roman" w:cs="Times New Roman" w:eastAsia="Times New Roman" w:hint="default"/>
          <w:spacing w:val="-2"/>
        </w:rPr>
        <w:t>25%</w:t>
      </w:r>
      <w:r>
        <w:rPr>
          <w:spacing w:val="-2"/>
        </w:rPr>
        <w:t>股权</w:t>
      </w:r>
      <w:r>
        <w:rPr/>
        <w:t> 的议案》，本公司以</w:t>
      </w:r>
      <w:r>
        <w:rPr>
          <w:rFonts w:ascii="Times New Roman" w:hAnsi="Times New Roman" w:cs="Times New Roman" w:eastAsia="Times New Roman" w:hint="default"/>
        </w:rPr>
        <w:t>4,872.00</w:t>
      </w:r>
      <w:r>
        <w:rPr/>
        <w:t>万元取得广州网融信息技术有限公司</w:t>
      </w:r>
      <w:r>
        <w:rPr>
          <w:rFonts w:ascii="Times New Roman" w:hAnsi="Times New Roman" w:cs="Times New Roman" w:eastAsia="Times New Roman" w:hint="default"/>
        </w:rPr>
        <w:t>25%</w:t>
      </w:r>
      <w:r>
        <w:rPr/>
        <w:t>股权，收购陈颖、陈勇及谢鹏所持广州网融信息技术</w:t>
      </w:r>
      <w:r>
        <w:rPr>
          <w:spacing w:val="-64"/>
        </w:rPr>
        <w:t> </w:t>
      </w:r>
      <w:r>
        <w:rPr>
          <w:spacing w:val="-64"/>
        </w:rPr>
      </w:r>
      <w:r>
        <w:rPr>
          <w:spacing w:val="-3"/>
        </w:rPr>
        <w:t>有限公司（以下简称</w:t>
      </w:r>
      <w:r>
        <w:rPr>
          <w:rFonts w:ascii="Times New Roman" w:hAnsi="Times New Roman" w:cs="Times New Roman" w:eastAsia="Times New Roman" w:hint="default"/>
          <w:spacing w:val="-3"/>
        </w:rPr>
        <w:t>“</w:t>
      </w:r>
      <w:r>
        <w:rPr>
          <w:spacing w:val="-3"/>
        </w:rPr>
        <w:t>广州网融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25%</w:t>
      </w:r>
      <w:r>
        <w:rPr>
          <w:spacing w:val="-3"/>
        </w:rPr>
        <w:t>股权。截止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15</w:t>
      </w:r>
      <w:r>
        <w:rPr>
          <w:spacing w:val="-3"/>
        </w:rPr>
        <w:t>日，股东变更的工商登记手续已完成，公司持有广州网融</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股权。</w:t>
      </w:r>
    </w:p>
    <w:p>
      <w:pPr>
        <w:pStyle w:val="BodyText"/>
        <w:spacing w:line="225" w:lineRule="auto" w:before="11"/>
        <w:ind w:right="109" w:firstLine="480"/>
        <w:jc w:val="both"/>
      </w:pPr>
      <w:r>
        <w:rPr>
          <w:spacing w:val="-1"/>
        </w:rPr>
        <w:t>（</w:t>
      </w:r>
      <w:r>
        <w:rPr>
          <w:rFonts w:ascii="Times New Roman" w:hAnsi="Times New Roman" w:cs="Times New Roman" w:eastAsia="Times New Roman" w:hint="default"/>
          <w:spacing w:val="-1"/>
        </w:rPr>
        <w:t>2</w:t>
      </w:r>
      <w:r>
        <w:rPr>
          <w:spacing w:val="-1"/>
        </w:rPr>
        <w:t>）本公司第七届董事会</w:t>
      </w:r>
      <w:r>
        <w:rPr>
          <w:rFonts w:ascii="Times New Roman" w:hAnsi="Times New Roman" w:cs="Times New Roman" w:eastAsia="Times New Roman" w:hint="default"/>
          <w:spacing w:val="-1"/>
        </w:rPr>
        <w:t>2017</w:t>
      </w:r>
      <w:r>
        <w:rPr>
          <w:spacing w:val="-1"/>
        </w:rPr>
        <w:t>年第十三次临时会议、第七届监事会第十二次临时会议，审议通过了《关于</w:t>
      </w:r>
      <w:r>
        <w:rPr>
          <w:rFonts w:ascii="Times New Roman" w:hAnsi="Times New Roman" w:cs="Times New Roman" w:eastAsia="Times New Roman" w:hint="default"/>
          <w:spacing w:val="-1"/>
        </w:rPr>
        <w:t>&lt;</w:t>
      </w:r>
      <w:r>
        <w:rPr>
          <w:spacing w:val="-1"/>
        </w:rPr>
        <w:t>神州易桥</w:t>
      </w:r>
      <w:r>
        <w:rPr/>
        <w:t> 信息服务股份有限公司重大资产出售暨关联交易报告书（草案）</w:t>
      </w:r>
      <w:r>
        <w:rPr>
          <w:rFonts w:ascii="Times New Roman" w:hAnsi="Times New Roman" w:cs="Times New Roman" w:eastAsia="Times New Roman" w:hint="default"/>
        </w:rPr>
        <w:t>&gt;</w:t>
      </w:r>
      <w:r>
        <w:rPr/>
        <w:t>及其摘要的议案》等与本次重组相关的议案，拟出售子公 </w:t>
      </w:r>
      <w:r>
        <w:rPr>
          <w:spacing w:val="-2"/>
        </w:rPr>
        <w:t>司青海明胶有限责任公司</w:t>
      </w:r>
      <w:r>
        <w:rPr>
          <w:rFonts w:ascii="Times New Roman" w:hAnsi="Times New Roman" w:cs="Times New Roman" w:eastAsia="Times New Roman" w:hint="default"/>
          <w:spacing w:val="-2"/>
        </w:rPr>
        <w:t>100%</w:t>
      </w:r>
      <w:r>
        <w:rPr>
          <w:spacing w:val="-2"/>
        </w:rPr>
        <w:t>股权、青海明诺胶囊有限公司</w:t>
      </w:r>
      <w:r>
        <w:rPr>
          <w:rFonts w:ascii="Times New Roman" w:hAnsi="Times New Roman" w:cs="Times New Roman" w:eastAsia="Times New Roman" w:hint="default"/>
          <w:spacing w:val="-2"/>
        </w:rPr>
        <w:t>100%</w:t>
      </w:r>
      <w:r>
        <w:rPr>
          <w:spacing w:val="-2"/>
        </w:rPr>
        <w:t>股权、柳州市宏升胶原蛋白肠衣有限公司</w:t>
      </w:r>
      <w:r>
        <w:rPr>
          <w:rFonts w:ascii="Times New Roman" w:hAnsi="Times New Roman" w:cs="Times New Roman" w:eastAsia="Times New Roman" w:hint="default"/>
          <w:spacing w:val="-2"/>
        </w:rPr>
        <w:t>100%</w:t>
      </w:r>
      <w:r>
        <w:rPr>
          <w:spacing w:val="-2"/>
        </w:rPr>
        <w:t>股权、广东</w:t>
      </w:r>
      <w:r>
        <w:rPr>
          <w:spacing w:val="-58"/>
        </w:rPr>
        <w:t> </w:t>
      </w:r>
      <w:r>
        <w:rPr>
          <w:spacing w:val="-58"/>
        </w:rPr>
      </w:r>
      <w:r>
        <w:rPr>
          <w:spacing w:val="-1"/>
        </w:rPr>
        <w:t>明洋明胶有限责任公司</w:t>
      </w:r>
      <w:r>
        <w:rPr>
          <w:rFonts w:ascii="Times New Roman" w:hAnsi="Times New Roman" w:cs="Times New Roman" w:eastAsia="Times New Roman" w:hint="default"/>
          <w:spacing w:val="-1"/>
        </w:rPr>
        <w:t>67.03%</w:t>
      </w:r>
      <w:r>
        <w:rPr>
          <w:spacing w:val="-1"/>
        </w:rPr>
        <w:t>股权。交易对手方为公司控股股东天津泰达科技投资股份有限公司的</w:t>
      </w:r>
      <w:r>
        <w:rPr>
          <w:rFonts w:ascii="Times New Roman" w:hAnsi="Times New Roman" w:cs="Times New Roman" w:eastAsia="Times New Roman" w:hint="default"/>
          <w:spacing w:val="-1"/>
        </w:rPr>
        <w:t>4</w:t>
      </w:r>
      <w:r>
        <w:rPr>
          <w:spacing w:val="-1"/>
        </w:rPr>
        <w:t>家全资子公司。截止本</w:t>
      </w:r>
      <w:r>
        <w:rPr>
          <w:spacing w:val="-42"/>
        </w:rPr>
        <w:t> </w:t>
      </w:r>
      <w:r>
        <w:rPr>
          <w:spacing w:val="-42"/>
        </w:rPr>
      </w:r>
      <w:r>
        <w:rPr/>
        <w:t>报告期末，相关转让事宜已处理完毕，不再纳入合并范围。</w:t>
      </w:r>
    </w:p>
    <w:p>
      <w:pPr>
        <w:pStyle w:val="BodyText"/>
        <w:spacing w:line="228" w:lineRule="auto" w:before="9"/>
        <w:ind w:right="110" w:firstLine="480"/>
        <w:jc w:val="both"/>
      </w:pPr>
      <w:r>
        <w:rPr/>
        <w:t>（</w:t>
      </w:r>
      <w:r>
        <w:rPr>
          <w:rFonts w:ascii="Times New Roman" w:hAnsi="Times New Roman" w:cs="Times New Roman" w:eastAsia="Times New Roman" w:hint="default"/>
        </w:rPr>
        <w:t>3</w:t>
      </w:r>
      <w:r>
        <w:rPr/>
        <w:t>）本公司第七届董事会</w:t>
      </w:r>
      <w:r>
        <w:rPr>
          <w:rFonts w:ascii="Times New Roman" w:hAnsi="Times New Roman" w:cs="Times New Roman" w:eastAsia="Times New Roman" w:hint="default"/>
        </w:rPr>
        <w:t>2017</w:t>
      </w:r>
      <w:r>
        <w:rPr/>
        <w:t>年第五次临时会议、第七届监事会</w:t>
      </w:r>
      <w:r>
        <w:rPr>
          <w:rFonts w:ascii="Times New Roman" w:hAnsi="Times New Roman" w:cs="Times New Roman" w:eastAsia="Times New Roman" w:hint="default"/>
        </w:rPr>
        <w:t>2017</w:t>
      </w:r>
      <w:r>
        <w:rPr/>
        <w:t>年第五次临时会议审议通过了《关于变更部分 </w:t>
      </w:r>
      <w:r>
        <w:rPr>
          <w:spacing w:val="-2"/>
        </w:rPr>
        <w:t>募集资金投资项目实施方式的议案》，同意公司将在保持</w:t>
      </w:r>
      <w:r>
        <w:rPr>
          <w:rFonts w:ascii="Times New Roman" w:hAnsi="Times New Roman" w:cs="Times New Roman" w:eastAsia="Times New Roman" w:hint="default"/>
          <w:spacing w:val="-2"/>
        </w:rPr>
        <w:t>“</w:t>
      </w:r>
      <w:r>
        <w:rPr>
          <w:spacing w:val="-2"/>
        </w:rPr>
        <w:t>智慧企业孵化云平台</w:t>
      </w:r>
      <w:r>
        <w:rPr>
          <w:rFonts w:ascii="Times New Roman" w:hAnsi="Times New Roman" w:cs="Times New Roman" w:eastAsia="Times New Roman" w:hint="default"/>
          <w:spacing w:val="-2"/>
        </w:rPr>
        <w:t>”</w:t>
      </w:r>
      <w:r>
        <w:rPr>
          <w:spacing w:val="-2"/>
        </w:rPr>
        <w:t>项目投资额不变的情况下，变更该项目线下</w:t>
      </w:r>
      <w:r>
        <w:rPr>
          <w:spacing w:val="-43"/>
        </w:rPr>
        <w:t> </w:t>
      </w:r>
      <w:r>
        <w:rPr>
          <w:spacing w:val="-43"/>
        </w:rPr>
      </w:r>
      <w:r>
        <w:rPr>
          <w:spacing w:val="-2"/>
        </w:rPr>
        <w:t>服务体系的实施方式。由自建方式变更为由企业管家根据项目建设进度，通过增资或收购标的企业以控股的形式建设线下服</w:t>
      </w:r>
      <w:r>
        <w:rPr>
          <w:spacing w:val="-64"/>
        </w:rPr>
        <w:t> </w:t>
      </w:r>
      <w:r>
        <w:rPr>
          <w:spacing w:val="-64"/>
        </w:rPr>
      </w:r>
      <w:r>
        <w:rPr>
          <w:spacing w:val="-2"/>
        </w:rPr>
        <w:t>务网点，进一步保障企业互联网服务线上线下有效结合。对霍尔果斯易桥快马企业管理咨询有限公司增资</w:t>
      </w:r>
      <w:r>
        <w:rPr>
          <w:rFonts w:ascii="Times New Roman" w:hAnsi="Times New Roman" w:cs="Times New Roman" w:eastAsia="Times New Roman" w:hint="default"/>
          <w:spacing w:val="-2"/>
        </w:rPr>
        <w:t>30,000.00</w:t>
      </w:r>
      <w:r>
        <w:rPr>
          <w:spacing w:val="-2"/>
        </w:rPr>
        <w:t>万元进行</w:t>
      </w:r>
      <w:r>
        <w:rPr>
          <w:spacing w:val="-58"/>
        </w:rPr>
        <w:t> </w:t>
      </w:r>
      <w:r>
        <w:rPr/>
        <w:t>股权并购，上述股权变更的工商登记已于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日完成。</w:t>
      </w:r>
    </w:p>
    <w:p>
      <w:pPr>
        <w:spacing w:after="0" w:line="228" w:lineRule="auto"/>
        <w:jc w:val="both"/>
        <w:sectPr>
          <w:pgSz w:w="11910" w:h="16840"/>
          <w:pgMar w:header="878" w:footer="978" w:top="1100" w:bottom="1160" w:left="1020" w:right="1020"/>
        </w:sectPr>
      </w:pPr>
    </w:p>
    <w:p>
      <w:pPr>
        <w:spacing w:line="240" w:lineRule="auto" w:before="12"/>
        <w:rPr>
          <w:rFonts w:ascii="宋体" w:hAnsi="宋体" w:cs="宋体" w:eastAsia="宋体" w:hint="default"/>
          <w:sz w:val="18"/>
          <w:szCs w:val="18"/>
        </w:rPr>
      </w:pPr>
    </w:p>
    <w:p>
      <w:pPr>
        <w:pStyle w:val="BodyText"/>
        <w:spacing w:line="225" w:lineRule="auto" w:before="57"/>
        <w:ind w:right="112" w:firstLine="48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日中国证券登记结算有限责任公司出具了《证券过户登记确认书》</w:t>
      </w:r>
      <w:r>
        <w:rPr>
          <w:rFonts w:ascii="Times New Roman" w:hAnsi="Times New Roman" w:cs="Times New Roman" w:eastAsia="Times New Roman" w:hint="default"/>
        </w:rPr>
        <w:t>(</w:t>
      </w:r>
      <w:r>
        <w:rPr/>
        <w:t>业务编号：</w:t>
      </w:r>
      <w:r>
        <w:rPr>
          <w:rFonts w:ascii="Times New Roman" w:hAnsi="Times New Roman" w:cs="Times New Roman" w:eastAsia="Times New Roman" w:hint="default"/>
        </w:rPr>
        <w:t>443000000058)</w:t>
      </w:r>
      <w:r>
        <w:rPr/>
        <w:t>，天 津泰达科技投资股份有限公司将其所持公司股份</w:t>
      </w:r>
      <w:r>
        <w:rPr>
          <w:rFonts w:ascii="Times New Roman" w:hAnsi="Times New Roman" w:cs="Times New Roman" w:eastAsia="Times New Roman" w:hint="default"/>
        </w:rPr>
        <w:t>38,000,000</w:t>
      </w:r>
      <w:r>
        <w:rPr/>
        <w:t>股协议转让给西藏华毓创业投资管理有限公司的过户工作已经完 成，该部分股份已经登记在西藏华毓创业投资管理有限公司名下，股份性质为无限售流通股，过户日期为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p>
    <w:p>
      <w:pPr>
        <w:pStyle w:val="BodyText"/>
        <w:spacing w:line="225" w:lineRule="auto"/>
        <w:ind w:right="109" w:firstLine="360"/>
        <w:jc w:val="both"/>
      </w:pPr>
      <w:r>
        <w:rPr/>
        <w:t>（</w:t>
      </w:r>
      <w:r>
        <w:rPr>
          <w:rFonts w:ascii="Times New Roman" w:hAnsi="Times New Roman" w:cs="Times New Roman" w:eastAsia="Times New Roman" w:hint="default"/>
        </w:rPr>
        <w:t>5</w:t>
      </w:r>
      <w:r>
        <w:rPr/>
        <w:t>）本公司第七届董事会</w:t>
      </w:r>
      <w:r>
        <w:rPr>
          <w:rFonts w:ascii="Times New Roman" w:hAnsi="Times New Roman" w:cs="Times New Roman" w:eastAsia="Times New Roman" w:hint="default"/>
        </w:rPr>
        <w:t>2017</w:t>
      </w:r>
      <w:r>
        <w:rPr/>
        <w:t>年第三次临时会议、第七届监事会</w:t>
      </w:r>
      <w:r>
        <w:rPr>
          <w:rFonts w:ascii="Times New Roman" w:hAnsi="Times New Roman" w:cs="Times New Roman" w:eastAsia="Times New Roman" w:hint="default"/>
        </w:rPr>
        <w:t>2017</w:t>
      </w:r>
      <w:r>
        <w:rPr/>
        <w:t>年第三次临时会议，审议通过了《关于转让控股 </w:t>
      </w:r>
      <w:r>
        <w:rPr>
          <w:spacing w:val="-1"/>
        </w:rPr>
        <w:t>子公司河南省焦作金箭明胶有限责任公司</w:t>
      </w:r>
      <w:r>
        <w:rPr>
          <w:rFonts w:ascii="Times New Roman" w:hAnsi="Times New Roman" w:cs="Times New Roman" w:eastAsia="Times New Roman" w:hint="default"/>
          <w:spacing w:val="-1"/>
        </w:rPr>
        <w:t>51%</w:t>
      </w:r>
      <w:r>
        <w:rPr>
          <w:spacing w:val="-1"/>
        </w:rPr>
        <w:t>股权的议案》。同意公司将控股子公司河南省焦作金箭明胶有限责任公司</w:t>
      </w:r>
      <w:r>
        <w:rPr>
          <w:rFonts w:ascii="Times New Roman" w:hAnsi="Times New Roman" w:cs="Times New Roman" w:eastAsia="Times New Roman" w:hint="default"/>
          <w:spacing w:val="-1"/>
        </w:rPr>
        <w:t>51%</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转让给河南省焦作金箭实业总公司，本次交易价格依据评估结果以名义价格</w:t>
      </w:r>
      <w:r>
        <w:rPr>
          <w:rFonts w:ascii="Times New Roman" w:hAnsi="Times New Roman" w:cs="Times New Roman" w:eastAsia="Times New Roman" w:hint="default"/>
        </w:rPr>
        <w:t>1</w:t>
      </w:r>
      <w:r>
        <w:rPr/>
        <w:t>元转让。截止本报告期末，相关转让事宜已处</w:t>
      </w:r>
      <w:r>
        <w:rPr>
          <w:spacing w:val="-84"/>
        </w:rPr>
        <w:t> </w:t>
      </w:r>
      <w:r>
        <w:rPr>
          <w:spacing w:val="-84"/>
        </w:rPr>
      </w:r>
      <w:r>
        <w:rPr/>
        <w:t>理完毕，不再纳入合并范围。</w:t>
      </w:r>
    </w:p>
    <w:p>
      <w:pPr>
        <w:pStyle w:val="BodyText"/>
        <w:spacing w:line="232" w:lineRule="exact" w:before="23"/>
        <w:ind w:right="111" w:firstLine="480"/>
        <w:jc w:val="both"/>
      </w:pPr>
      <w:r>
        <w:rPr>
          <w:spacing w:val="-3"/>
        </w:rPr>
        <w:t>（</w:t>
      </w:r>
      <w:r>
        <w:rPr>
          <w:rFonts w:ascii="Times New Roman" w:hAnsi="Times New Roman" w:cs="Times New Roman" w:eastAsia="Times New Roman" w:hint="default"/>
          <w:spacing w:val="-3"/>
        </w:rPr>
        <w:t>6</w:t>
      </w:r>
      <w:r>
        <w:rPr>
          <w:spacing w:val="-3"/>
        </w:rPr>
        <w:t>）本公司第七届董事会</w:t>
      </w:r>
      <w:r>
        <w:rPr>
          <w:rFonts w:ascii="Times New Roman" w:hAnsi="Times New Roman" w:cs="Times New Roman" w:eastAsia="Times New Roman" w:hint="default"/>
          <w:spacing w:val="-3"/>
        </w:rPr>
        <w:t>2017</w:t>
      </w:r>
      <w:r>
        <w:rPr>
          <w:spacing w:val="-3"/>
        </w:rPr>
        <w:t>年第七次临时会议审议通过了《关于公司参与投资设立产业并购基金的议案》，于</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日成立了霍尔果斯中企易桥股权投资合伙企业（有限合伙）。</w:t>
      </w:r>
    </w:p>
    <w:p>
      <w:pPr>
        <w:pStyle w:val="BodyText"/>
        <w:spacing w:line="218" w:lineRule="exact"/>
        <w:ind w:right="0" w:firstLine="480"/>
        <w:jc w:val="both"/>
      </w:pPr>
      <w:r>
        <w:rPr/>
        <w:t>（</w:t>
      </w:r>
      <w:r>
        <w:rPr>
          <w:rFonts w:ascii="Times New Roman" w:hAnsi="Times New Roman" w:cs="Times New Roman" w:eastAsia="Times New Roman" w:hint="default"/>
        </w:rPr>
        <w:t>7</w:t>
      </w:r>
      <w:r>
        <w:rPr/>
        <w:t>）第七届董事会</w:t>
      </w:r>
      <w:r>
        <w:rPr>
          <w:rFonts w:ascii="Times New Roman" w:hAnsi="Times New Roman" w:cs="Times New Roman" w:eastAsia="Times New Roman" w:hint="default"/>
        </w:rPr>
        <w:t>2017</w:t>
      </w:r>
      <w:r>
        <w:rPr/>
        <w:t>年第九次临时会议、第七届监事会</w:t>
      </w:r>
      <w:r>
        <w:rPr>
          <w:rFonts w:ascii="Times New Roman" w:hAnsi="Times New Roman" w:cs="Times New Roman" w:eastAsia="Times New Roman" w:hint="default"/>
        </w:rPr>
        <w:t>2017</w:t>
      </w:r>
      <w:r>
        <w:rPr/>
        <w:t>年第八次临时会议审议通过了《关于公司继续使用部</w:t>
      </w:r>
    </w:p>
    <w:p>
      <w:pPr>
        <w:pStyle w:val="BodyText"/>
        <w:spacing w:line="232" w:lineRule="exact" w:before="17"/>
        <w:ind w:right="0"/>
        <w:jc w:val="left"/>
      </w:pPr>
      <w:r>
        <w:rPr>
          <w:spacing w:val="-1"/>
        </w:rPr>
        <w:t>分闲置募集资金暂时补充流动资金的议案》，公司拟继续使用部分闲置募集资金人民币</w:t>
      </w:r>
      <w:r>
        <w:rPr>
          <w:rFonts w:ascii="Times New Roman" w:hAnsi="Times New Roman" w:cs="Times New Roman" w:eastAsia="Times New Roman" w:hint="default"/>
          <w:spacing w:val="-1"/>
        </w:rPr>
        <w:t>12,000</w:t>
      </w:r>
      <w:r>
        <w:rPr>
          <w:spacing w:val="-1"/>
        </w:rPr>
        <w:t>万元暂时补充流动资金，使用</w:t>
      </w:r>
      <w:r>
        <w:rPr>
          <w:spacing w:val="-70"/>
        </w:rPr>
        <w:t> </w:t>
      </w:r>
      <w:r>
        <w:rPr>
          <w:spacing w:val="-70"/>
        </w:rPr>
      </w:r>
      <w:r>
        <w:rPr/>
        <w:t>期限为自董事会审议通过之日起</w:t>
      </w:r>
      <w:r>
        <w:rPr>
          <w:rFonts w:ascii="Times New Roman" w:hAnsi="Times New Roman" w:cs="Times New Roman" w:eastAsia="Times New Roman" w:hint="default"/>
        </w:rPr>
        <w:t>12</w:t>
      </w:r>
      <w:r>
        <w:rPr/>
        <w:t>个月。</w:t>
      </w:r>
    </w:p>
    <w:p>
      <w:pPr>
        <w:pStyle w:val="BodyText"/>
        <w:spacing w:line="218" w:lineRule="exact"/>
        <w:ind w:right="0" w:firstLine="480"/>
        <w:jc w:val="both"/>
      </w:pPr>
      <w:r>
        <w:rPr/>
        <w:t>（</w:t>
      </w:r>
      <w:r>
        <w:rPr>
          <w:rFonts w:ascii="Times New Roman" w:hAnsi="Times New Roman" w:cs="Times New Roman" w:eastAsia="Times New Roman" w:hint="default"/>
        </w:rPr>
        <w:t>8</w:t>
      </w:r>
      <w:r>
        <w:rPr/>
        <w:t>）本公司第七届董事会</w:t>
      </w:r>
      <w:r>
        <w:rPr>
          <w:rFonts w:ascii="Times New Roman" w:hAnsi="Times New Roman" w:cs="Times New Roman" w:eastAsia="Times New Roman" w:hint="default"/>
        </w:rPr>
        <w:t>2017</w:t>
      </w:r>
      <w:r>
        <w:rPr/>
        <w:t>年第八次临时会议、第七届监事会</w:t>
      </w:r>
      <w:r>
        <w:rPr>
          <w:rFonts w:ascii="Times New Roman" w:hAnsi="Times New Roman" w:cs="Times New Roman" w:eastAsia="Times New Roman" w:hint="default"/>
        </w:rPr>
        <w:t>2017</w:t>
      </w:r>
      <w:r>
        <w:rPr/>
        <w:t>年第七次临时会议审议通过了《关于公司使用</w:t>
      </w:r>
    </w:p>
    <w:p>
      <w:pPr>
        <w:pStyle w:val="BodyText"/>
        <w:spacing w:line="234" w:lineRule="exact"/>
        <w:ind w:right="0"/>
        <w:jc w:val="left"/>
      </w:pPr>
      <w:r>
        <w:rPr>
          <w:spacing w:val="-2"/>
        </w:rPr>
        <w:t>部分募集资金对子公司企业管家增资的议案》，向企业管家（北京）科技服务有限公司增资</w:t>
      </w:r>
      <w:r>
        <w:rPr>
          <w:rFonts w:ascii="Times New Roman" w:hAnsi="Times New Roman" w:cs="Times New Roman" w:eastAsia="Times New Roman" w:hint="default"/>
          <w:spacing w:val="-2"/>
        </w:rPr>
        <w:t>15,000.00</w:t>
      </w:r>
      <w:r>
        <w:rPr>
          <w:spacing w:val="-2"/>
        </w:rPr>
        <w:t>万元，增资后企业管家</w:t>
      </w:r>
    </w:p>
    <w:p>
      <w:pPr>
        <w:pStyle w:val="BodyText"/>
        <w:spacing w:line="233" w:lineRule="exact"/>
        <w:ind w:right="0"/>
        <w:jc w:val="left"/>
      </w:pPr>
      <w:r>
        <w:rPr/>
        <w:t>（北京）科技服务有限公司注册资本金由</w:t>
      </w:r>
      <w:r>
        <w:rPr>
          <w:rFonts w:ascii="Times New Roman" w:hAnsi="Times New Roman" w:cs="Times New Roman" w:eastAsia="Times New Roman" w:hint="default"/>
        </w:rPr>
        <w:t>50,000.00</w:t>
      </w:r>
      <w:r>
        <w:rPr/>
        <w:t>万元增至</w:t>
      </w:r>
      <w:r>
        <w:rPr>
          <w:rFonts w:ascii="Times New Roman" w:hAnsi="Times New Roman" w:cs="Times New Roman" w:eastAsia="Times New Roman" w:hint="default"/>
        </w:rPr>
        <w:t>65,000.00</w:t>
      </w:r>
      <w:r>
        <w:rPr/>
        <w:t>万元。</w:t>
      </w:r>
    </w:p>
    <w:p>
      <w:pPr>
        <w:pStyle w:val="BodyText"/>
        <w:spacing w:line="225" w:lineRule="auto" w:before="4"/>
        <w:ind w:right="110" w:firstLine="480"/>
        <w:jc w:val="both"/>
      </w:pPr>
      <w:r>
        <w:rPr/>
        <w:t>（</w:t>
      </w:r>
      <w:r>
        <w:rPr>
          <w:rFonts w:ascii="Times New Roman" w:hAnsi="Times New Roman" w:cs="Times New Roman" w:eastAsia="Times New Roman" w:hint="default"/>
        </w:rPr>
        <w:t>9</w:t>
      </w:r>
      <w:r>
        <w:rPr/>
        <w:t>）本公司第七届董事会</w:t>
      </w:r>
      <w:r>
        <w:rPr>
          <w:rFonts w:ascii="Times New Roman" w:hAnsi="Times New Roman" w:cs="Times New Roman" w:eastAsia="Times New Roman" w:hint="default"/>
        </w:rPr>
        <w:t>2017</w:t>
      </w:r>
      <w:r>
        <w:rPr/>
        <w:t>年第六次临时会议审议同意子公司企业管家（北京）科技服务有限公司募集资金专项 </w:t>
      </w:r>
      <w:r>
        <w:rPr>
          <w:spacing w:val="-1"/>
        </w:rPr>
        <w:t>账户变更为招商银行股份有限公司西宁分行营业部</w:t>
      </w:r>
      <w:r>
        <w:rPr>
          <w:rFonts w:ascii="Times New Roman" w:hAnsi="Times New Roman" w:cs="Times New Roman" w:eastAsia="Times New Roman" w:hint="default"/>
          <w:spacing w:val="-1"/>
        </w:rPr>
        <w:t>,</w:t>
      </w:r>
      <w:r>
        <w:rPr>
          <w:spacing w:val="-1"/>
        </w:rPr>
        <w:t>专项账号为</w:t>
      </w:r>
      <w:r>
        <w:rPr>
          <w:rFonts w:ascii="Times New Roman" w:hAnsi="Times New Roman" w:cs="Times New Roman" w:eastAsia="Times New Roman" w:hint="default"/>
          <w:spacing w:val="-1"/>
        </w:rPr>
        <w:t>110921707710401</w:t>
      </w:r>
      <w:r>
        <w:rPr>
          <w:spacing w:val="-1"/>
        </w:rPr>
        <w:t>。同时，公司、企业管家（北京）科技服务</w:t>
      </w:r>
      <w:r>
        <w:rPr>
          <w:spacing w:val="-75"/>
        </w:rPr>
        <w:t> </w:t>
      </w:r>
      <w:r>
        <w:rPr>
          <w:spacing w:val="-75"/>
        </w:rPr>
      </w:r>
      <w:r>
        <w:rPr/>
        <w:t>有限公司与招商银行股份有限公司西宁分行营业部、华泰联合证券有限责任公司签订募集资金专户存储四方监管协议。</w:t>
      </w:r>
    </w:p>
    <w:p>
      <w:pPr>
        <w:pStyle w:val="BodyText"/>
        <w:spacing w:line="230" w:lineRule="auto" w:before="7"/>
        <w:ind w:right="110" w:firstLine="480"/>
        <w:jc w:val="both"/>
      </w:pPr>
      <w:r>
        <w:rPr>
          <w:spacing w:val="-1"/>
        </w:rPr>
        <w:t>（</w:t>
      </w:r>
      <w:r>
        <w:rPr>
          <w:rFonts w:ascii="Times New Roman" w:hAnsi="Times New Roman" w:cs="Times New Roman" w:eastAsia="Times New Roman" w:hint="default"/>
          <w:spacing w:val="-1"/>
        </w:rPr>
        <w:t>10</w:t>
      </w:r>
      <w:r>
        <w:rPr>
          <w:spacing w:val="-1"/>
        </w:rPr>
        <w:t>）经公司总裁办公会审议，同意公司将所持有的北京九彩矿业投资有限公司</w:t>
      </w:r>
      <w:r>
        <w:rPr>
          <w:rFonts w:ascii="Times New Roman" w:hAnsi="Times New Roman" w:cs="Times New Roman" w:eastAsia="Times New Roman" w:hint="default"/>
          <w:spacing w:val="-1"/>
        </w:rPr>
        <w:t>27.11%</w:t>
      </w:r>
      <w:r>
        <w:rPr>
          <w:spacing w:val="-1"/>
        </w:rPr>
        <w:t>股权与北京九彩矿业投资有限</w:t>
      </w:r>
      <w:r>
        <w:rPr/>
        <w:t> 公司所持有的洛阳蓝宝氟业有限公司</w:t>
      </w:r>
      <w:r>
        <w:rPr>
          <w:rFonts w:ascii="Times New Roman" w:hAnsi="Times New Roman" w:cs="Times New Roman" w:eastAsia="Times New Roman" w:hint="default"/>
        </w:rPr>
        <w:t>23.08%</w:t>
      </w:r>
      <w:r>
        <w:rPr/>
        <w:t>的股权进行置换，置换价格以万隆（上海）资产评估有限公司出具的《评估报</w:t>
      </w:r>
      <w:r>
        <w:rPr>
          <w:spacing w:val="-24"/>
        </w:rPr>
        <w:t> </w:t>
      </w:r>
      <w:r>
        <w:rPr>
          <w:spacing w:val="-24"/>
        </w:rPr>
      </w:r>
      <w:r>
        <w:rPr>
          <w:spacing w:val="-2"/>
        </w:rPr>
        <w:t>告》载明的评估值为依据。置换完成后，公司不再持有北京九彩矿业投资有限公司的股权，北京九彩矿业投资有限公司也不</w:t>
      </w:r>
      <w:r>
        <w:rPr>
          <w:spacing w:val="-64"/>
        </w:rPr>
        <w:t> </w:t>
      </w:r>
      <w:r>
        <w:rPr>
          <w:spacing w:val="-64"/>
        </w:rPr>
      </w:r>
      <w:r>
        <w:rPr/>
        <w:t>再持有洛阳蓝宝氟业有限公司股权，公司持有洛阳蓝宝氟业有限公司</w:t>
      </w:r>
      <w:r>
        <w:rPr>
          <w:rFonts w:ascii="Times New Roman" w:hAnsi="Times New Roman" w:cs="Times New Roman" w:eastAsia="Times New Roman" w:hint="default"/>
        </w:rPr>
        <w:t>23.08%</w:t>
      </w:r>
      <w:r>
        <w:rPr/>
        <w:t>的股权。</w:t>
      </w:r>
    </w:p>
    <w:p>
      <w:pPr>
        <w:pStyle w:val="BodyText"/>
        <w:spacing w:line="225" w:lineRule="auto"/>
        <w:ind w:right="110" w:firstLine="480"/>
        <w:jc w:val="both"/>
      </w:pPr>
      <w:r>
        <w:rPr>
          <w:spacing w:val="-1"/>
        </w:rPr>
        <w:t>（</w:t>
      </w:r>
      <w:r>
        <w:rPr>
          <w:rFonts w:ascii="Times New Roman" w:hAnsi="Times New Roman" w:cs="Times New Roman" w:eastAsia="Times New Roman" w:hint="default"/>
          <w:spacing w:val="-1"/>
        </w:rPr>
        <w:t>11</w:t>
      </w:r>
      <w:r>
        <w:rPr>
          <w:spacing w:val="-1"/>
        </w:rPr>
        <w:t>）本公司第七届董事会</w:t>
      </w:r>
      <w:r>
        <w:rPr>
          <w:rFonts w:ascii="Times New Roman" w:hAnsi="Times New Roman" w:cs="Times New Roman" w:eastAsia="Times New Roman" w:hint="default"/>
          <w:spacing w:val="-1"/>
        </w:rPr>
        <w:t>2017</w:t>
      </w:r>
      <w:r>
        <w:rPr>
          <w:spacing w:val="-1"/>
        </w:rPr>
        <w:t>年第十六次临时会议审议通过了《关于择机处置公司可供出售金融资产的议案》同意</w:t>
      </w:r>
      <w:r>
        <w:rPr/>
        <w:t> 公司依据市场情况减持所持凯莱英医药集团</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股份有限公司股票，截止本报告期末，公司出售上述股票</w:t>
      </w:r>
      <w:r>
        <w:rPr>
          <w:rFonts w:ascii="Times New Roman" w:hAnsi="Times New Roman" w:cs="Times New Roman" w:eastAsia="Times New Roman" w:hint="default"/>
        </w:rPr>
        <w:t>228.82</w:t>
      </w:r>
      <w:r>
        <w:rPr/>
        <w:t>万股，取</w:t>
      </w:r>
      <w:r>
        <w:rPr>
          <w:spacing w:val="-72"/>
        </w:rPr>
        <w:t> </w:t>
      </w:r>
      <w:r>
        <w:rPr>
          <w:spacing w:val="-72"/>
        </w:rPr>
      </w:r>
      <w:r>
        <w:rPr/>
        <w:t>得投资收益</w:t>
      </w:r>
      <w:r>
        <w:rPr>
          <w:rFonts w:ascii="Times New Roman" w:hAnsi="Times New Roman" w:cs="Times New Roman" w:eastAsia="Times New Roman" w:hint="default"/>
        </w:rPr>
        <w:t>11,027.26</w:t>
      </w:r>
      <w:r>
        <w:rPr/>
        <w:t>万元。</w:t>
      </w:r>
    </w:p>
    <w:p>
      <w:pPr>
        <w:pStyle w:val="BodyText"/>
        <w:spacing w:line="230" w:lineRule="auto"/>
        <w:ind w:right="110" w:firstLine="480"/>
        <w:jc w:val="both"/>
      </w:pPr>
      <w:r>
        <w:rPr>
          <w:spacing w:val="-4"/>
        </w:rPr>
        <w:t>（</w:t>
      </w:r>
      <w:r>
        <w:rPr>
          <w:rFonts w:ascii="Times New Roman" w:hAnsi="Times New Roman" w:cs="Times New Roman" w:eastAsia="Times New Roman" w:hint="default"/>
          <w:spacing w:val="-4"/>
        </w:rPr>
        <w:t>12</w:t>
      </w:r>
      <w:r>
        <w:rPr>
          <w:spacing w:val="-4"/>
        </w:rPr>
        <w:t>）本公司第七届董事会</w:t>
      </w:r>
      <w:r>
        <w:rPr>
          <w:rFonts w:ascii="Times New Roman" w:hAnsi="Times New Roman" w:cs="Times New Roman" w:eastAsia="Times New Roman" w:hint="default"/>
          <w:spacing w:val="-4"/>
        </w:rPr>
        <w:t>2017</w:t>
      </w:r>
      <w:r>
        <w:rPr>
          <w:spacing w:val="-4"/>
        </w:rPr>
        <w:t>年第十六次临时会议、第七届监事会</w:t>
      </w:r>
      <w:r>
        <w:rPr>
          <w:rFonts w:ascii="Times New Roman" w:hAnsi="Times New Roman" w:cs="Times New Roman" w:eastAsia="Times New Roman" w:hint="default"/>
          <w:spacing w:val="-4"/>
        </w:rPr>
        <w:t>2017</w:t>
      </w:r>
      <w:r>
        <w:rPr>
          <w:spacing w:val="-4"/>
        </w:rPr>
        <w:t>年监事会第十五次临时会议，审议通过了《关</w:t>
      </w:r>
      <w:r>
        <w:rPr/>
        <w:t> </w:t>
      </w:r>
      <w:r>
        <w:rPr>
          <w:spacing w:val="-2"/>
        </w:rPr>
        <w:t>于公司全资子公司对霍尔果斯快马财税管理服务有限公司增资的议案》，本公司之全资子公司神州易桥（北京）财税科技有</w:t>
      </w:r>
      <w:r>
        <w:rPr>
          <w:spacing w:val="-64"/>
        </w:rPr>
        <w:t> </w:t>
      </w:r>
      <w:r>
        <w:rPr>
          <w:spacing w:val="-64"/>
        </w:rPr>
      </w:r>
      <w:r>
        <w:rPr/>
        <w:t>限公司对霍尔果斯快马财税管理服务有限公司增资</w:t>
      </w:r>
      <w:r>
        <w:rPr>
          <w:rFonts w:ascii="Times New Roman" w:hAnsi="Times New Roman" w:cs="Times New Roman" w:eastAsia="Times New Roman" w:hint="default"/>
        </w:rPr>
        <w:t>15,000.00</w:t>
      </w:r>
      <w:r>
        <w:rPr/>
        <w:t>万元，持有该公司</w:t>
      </w:r>
      <w:r>
        <w:rPr>
          <w:rFonts w:ascii="Times New Roman" w:hAnsi="Times New Roman" w:cs="Times New Roman" w:eastAsia="Times New Roman" w:hint="default"/>
        </w:rPr>
        <w:t>40%</w:t>
      </w:r>
      <w:r>
        <w:rPr/>
        <w:t>股权，截止报告期末实际出资</w:t>
      </w:r>
      <w:r>
        <w:rPr>
          <w:rFonts w:ascii="Times New Roman" w:hAnsi="Times New Roman" w:cs="Times New Roman" w:eastAsia="Times New Roman" w:hint="default"/>
        </w:rPr>
        <w:t>10,000.00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w:t>
      </w:r>
    </w:p>
    <w:p>
      <w:pPr>
        <w:spacing w:line="240" w:lineRule="auto" w:before="4"/>
        <w:rPr>
          <w:rFonts w:ascii="宋体" w:hAnsi="宋体" w:cs="宋体" w:eastAsia="宋体" w:hint="default"/>
          <w:sz w:val="22"/>
          <w:szCs w:val="22"/>
        </w:rPr>
      </w:pPr>
    </w:p>
    <w:p>
      <w:pPr>
        <w:spacing w:line="470" w:lineRule="auto" w:before="0"/>
        <w:ind w:left="112" w:right="5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59"/>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0"/>
        <w:ind w:right="0"/>
        <w:jc w:val="left"/>
      </w:pPr>
      <w:r>
        <w:rPr/>
        <w:t>期末单项金额重大并单项计提坏账准备的应收账款：</w:t>
      </w:r>
    </w:p>
    <w:p>
      <w:pPr>
        <w:pStyle w:val="BodyText"/>
        <w:spacing w:line="264" w:lineRule="auto" w:before="38"/>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64" w:lineRule="auto" w:before="20"/>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组合中，采用余额百分比法计提坏账准备的应收账款：</w:t>
      </w:r>
    </w:p>
    <w:p>
      <w:pPr>
        <w:pStyle w:val="BodyText"/>
        <w:spacing w:line="264" w:lineRule="auto" w:before="20"/>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本期计提坏账准备金额元；本期收回或转回坏账准备金额元。</w:t>
      </w:r>
    </w:p>
    <w:p>
      <w:pPr>
        <w:spacing w:after="0" w:line="240" w:lineRule="auto"/>
        <w:jc w:val="left"/>
        <w:sectPr>
          <w:footerReference w:type="default" r:id="rId44"/>
          <w:pgSz w:w="11910" w:h="16840"/>
          <w:pgMar w:footer="978" w:header="878" w:top="1100" w:bottom="1160" w:left="1020" w:right="1020"/>
          <w:pgNumType w:start="152"/>
        </w:sectPr>
      </w:pPr>
    </w:p>
    <w:p>
      <w:pPr>
        <w:spacing w:line="240" w:lineRule="auto" w:before="12"/>
        <w:rPr>
          <w:rFonts w:ascii="宋体" w:hAnsi="宋体" w:cs="宋体" w:eastAsia="宋体" w:hint="default"/>
          <w:sz w:val="18"/>
          <w:szCs w:val="18"/>
        </w:rPr>
      </w:pPr>
    </w:p>
    <w:p>
      <w:pPr>
        <w:pStyle w:val="BodyText"/>
        <w:spacing w:line="240" w:lineRule="auto" w:before="44"/>
        <w:ind w:right="0"/>
        <w:jc w:val="left"/>
      </w:pPr>
      <w:r>
        <w:rPr/>
        <w:t>其中本期坏账准备收回或转回金额重要的：</w:t>
      </w:r>
    </w:p>
    <w:p>
      <w:pPr>
        <w:pStyle w:val="BodyText"/>
        <w:spacing w:line="240" w:lineRule="auto" w:before="38"/>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4"/>
          <w:szCs w:val="4"/>
        </w:rPr>
      </w:pPr>
    </w:p>
    <w:p>
      <w:pPr>
        <w:spacing w:line="338"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5pt;mso-position-horizontal-relative:char;mso-position-vertical-relative:line" coordorigin="0,0" coordsize="9588,339">
            <v:group style="position:absolute;left:13;top:13;width:4978;height:318" coordorigin="13,13" coordsize="4978,318">
              <v:shape style="position:absolute;left:13;top:13;width:4978;height:318" coordorigin="13,13" coordsize="4978,318" path="m13,13l4991,13,4991,331,13,331,13,13xe" filled="true" fillcolor="#d2d2d2" stroked="false">
                <v:path arrowok="t"/>
                <v:fill type="solid"/>
              </v:shape>
            </v:group>
            <v:group style="position:absolute;left:4996;top:13;width:4580;height:318" coordorigin="4996,13" coordsize="4580,318">
              <v:shape style="position:absolute;left:4996;top:13;width:4580;height:318" coordorigin="4996,13" coordsize="4580,318" path="m4996,13l9576,13,9576,331,4996,331,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4;width:9578;height:2" coordorigin="5,334" coordsize="9578,2">
              <v:shape style="position:absolute;left:5;top:334;width:9578;height:2" coordorigin="5,334" coordsize="9578,0" path="m5,334l9582,334e" filled="false" stroked="true" strokeweight=".48pt" strokecolor="#000000">
                <v:path arrowok="t"/>
              </v:shape>
            </v:group>
            <v:group style="position:absolute;left:10;top:5;width:2;height:324" coordorigin="10,5" coordsize="2,324">
              <v:shape style="position:absolute;left:10;top:5;width:2;height:324" coordorigin="10,5" coordsize="0,324" path="m10,5l10,329e" filled="false" stroked="true" strokeweight=".48pt" strokecolor="#000000">
                <v:path arrowok="t"/>
              </v:shape>
            </v:group>
            <v:group style="position:absolute;left:4993;top:5;width:2;height:324" coordorigin="4993,5" coordsize="2,324">
              <v:shape style="position:absolute;left:4993;top:5;width:2;height:324" coordorigin="4993,5" coordsize="0,324" path="m4993,5l4993,329e" filled="false" stroked="true" strokeweight=".48pt" strokecolor="#000000">
                <v:path arrowok="t"/>
              </v:shape>
            </v:group>
            <v:group style="position:absolute;left:9578;top:5;width:2;height:324" coordorigin="9578,5" coordsize="2,324">
              <v:shape style="position:absolute;left:9578;top:5;width:2;height:324" coordorigin="9578,5" coordsize="0,324" path="m9578,5l9578,329e" filled="false" stroked="true" strokeweight=".48pt" strokecolor="#000000">
                <v:path arrowok="t"/>
              </v:shape>
              <v:shape style="position:absolute;left:2320;top: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324" type="#_x0000_t202" filled="false" stroked="false">
                <v:textbox inset="0,0,0,0">
                  <w:txbxContent>
                    <w:p>
                      <w:pPr>
                        <w:spacing w:before="17"/>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0"/>
        <w:ind w:right="0"/>
        <w:jc w:val="left"/>
      </w:pPr>
      <w:r>
        <w:rPr/>
        <w:t>其中重要的应收账款核销情况：</w:t>
      </w:r>
    </w:p>
    <w:p>
      <w:pPr>
        <w:pStyle w:val="BodyText"/>
        <w:spacing w:line="240" w:lineRule="auto" w:before="40"/>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55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1"/>
        <w:ind w:right="0"/>
        <w:jc w:val="left"/>
      </w:pPr>
      <w:r>
        <w:rPr/>
        <w:t>应收账款核销说明：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2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107"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07" w:lineRule="exact"/>
              <w:ind w:left="414" w:right="0"/>
              <w:jc w:val="left"/>
              <w:rPr>
                <w:rFonts w:ascii="Times New Roman" w:hAnsi="Times New Roman" w:cs="Times New Roman" w:eastAsia="Times New Roman" w:hint="default"/>
                <w:sz w:val="18"/>
                <w:szCs w:val="18"/>
              </w:rPr>
            </w:pPr>
            <w:r>
              <w:rPr>
                <w:rFonts w:ascii="Times New Roman"/>
                <w:sz w:val="18"/>
              </w:rPr>
              <w:t>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106"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07" w:lineRule="exact"/>
              <w:ind w:left="413" w:right="0"/>
              <w:jc w:val="left"/>
              <w:rPr>
                <w:rFonts w:ascii="Times New Roman" w:hAnsi="Times New Roman" w:cs="Times New Roman" w:eastAsia="Times New Roman" w:hint="default"/>
                <w:sz w:val="18"/>
                <w:szCs w:val="18"/>
              </w:rPr>
            </w:pPr>
            <w:r>
              <w:rPr>
                <w:rFonts w:ascii="Times New Roman"/>
                <w:sz w:val="18"/>
              </w:rPr>
              <w:t>4.07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67" w:right="0"/>
              <w:jc w:val="center"/>
              <w:rPr>
                <w:rFonts w:ascii="Times New Roman" w:hAnsi="Times New Roman" w:cs="Times New Roman" w:eastAsia="Times New Roman" w:hint="default"/>
                <w:sz w:val="18"/>
                <w:szCs w:val="18"/>
              </w:rPr>
            </w:pPr>
            <w:r>
              <w:rPr>
                <w:rFonts w:ascii="Times New Roman"/>
                <w:sz w:val="18"/>
              </w:rPr>
              <w:t>8,114,2</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2"/>
                <w:sz w:val="18"/>
              </w:rPr>
              <w:t>8,114,294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99" w:right="0"/>
              <w:jc w:val="left"/>
              <w:rPr>
                <w:rFonts w:ascii="Times New Roman" w:hAnsi="Times New Roman" w:cs="Times New Roman" w:eastAsia="Times New Roman" w:hint="default"/>
                <w:sz w:val="18"/>
                <w:szCs w:val="18"/>
              </w:rPr>
            </w:pPr>
            <w:r>
              <w:rPr>
                <w:rFonts w:ascii="Times New Roman"/>
                <w:sz w:val="18"/>
              </w:rPr>
              <w:t>26,832,6</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74.28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6,147,95</w:t>
            </w:r>
          </w:p>
          <w:p>
            <w:pPr>
              <w:pStyle w:val="TableParagraph"/>
              <w:spacing w:line="207" w:lineRule="exact"/>
              <w:ind w:left="413" w:right="0"/>
              <w:jc w:val="left"/>
              <w:rPr>
                <w:rFonts w:ascii="Times New Roman" w:hAnsi="Times New Roman" w:cs="Times New Roman" w:eastAsia="Times New Roman" w:hint="default"/>
                <w:sz w:val="18"/>
                <w:szCs w:val="18"/>
              </w:rPr>
            </w:pPr>
            <w:r>
              <w:rPr>
                <w:rFonts w:ascii="Times New Roman"/>
                <w:sz w:val="18"/>
              </w:rPr>
              <w:t>5.21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22.91%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20,684,71</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9.07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36" w:right="0"/>
              <w:jc w:val="left"/>
              <w:rPr>
                <w:rFonts w:ascii="Times New Roman" w:hAnsi="Times New Roman" w:cs="Times New Roman" w:eastAsia="Times New Roman" w:hint="default"/>
                <w:sz w:val="18"/>
                <w:szCs w:val="18"/>
              </w:rPr>
            </w:pPr>
            <w:r>
              <w:rPr>
                <w:rFonts w:ascii="Times New Roman"/>
                <w:sz w:val="18"/>
              </w:rPr>
              <w:t>161,520</w:t>
            </w:r>
          </w:p>
          <w:p>
            <w:pPr>
              <w:pStyle w:val="TableParagraph"/>
              <w:spacing w:line="207" w:lineRule="exact"/>
              <w:ind w:left="81" w:right="0"/>
              <w:jc w:val="left"/>
              <w:rPr>
                <w:rFonts w:ascii="Times New Roman" w:hAnsi="Times New Roman" w:cs="Times New Roman" w:eastAsia="Times New Roman" w:hint="default"/>
                <w:sz w:val="18"/>
                <w:szCs w:val="18"/>
              </w:rPr>
            </w:pPr>
            <w:r>
              <w:rPr>
                <w:rFonts w:ascii="Times New Roman"/>
                <w:sz w:val="18"/>
              </w:rPr>
              <w:t>,763.54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60" w:right="0"/>
              <w:jc w:val="left"/>
              <w:rPr>
                <w:rFonts w:ascii="Times New Roman" w:hAnsi="Times New Roman" w:cs="Times New Roman" w:eastAsia="Times New Roman" w:hint="default"/>
                <w:sz w:val="18"/>
                <w:szCs w:val="18"/>
              </w:rPr>
            </w:pPr>
            <w:r>
              <w:rPr>
                <w:rFonts w:ascii="Times New Roman"/>
                <w:sz w:val="18"/>
              </w:rPr>
              <w:t>33,636,94</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127,883,81</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9.61</w:t>
            </w:r>
          </w:p>
        </w:tc>
      </w:tr>
      <w:tr>
        <w:trPr>
          <w:trHeight w:val="79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544,575.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544,575.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36" w:right="0"/>
              <w:jc w:val="left"/>
              <w:rPr>
                <w:rFonts w:ascii="Times New Roman" w:hAnsi="Times New Roman" w:cs="Times New Roman" w:eastAsia="Times New Roman" w:hint="default"/>
                <w:sz w:val="18"/>
                <w:szCs w:val="18"/>
              </w:rPr>
            </w:pPr>
            <w:r>
              <w:rPr>
                <w:rFonts w:ascii="Times New Roman"/>
                <w:sz w:val="18"/>
              </w:rPr>
              <w:t>544,575</w:t>
            </w:r>
          </w:p>
          <w:p>
            <w:pPr>
              <w:pStyle w:val="TableParagraph"/>
              <w:spacing w:line="207" w:lineRule="exact"/>
              <w:ind w:left="396"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544,575.0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99" w:right="0"/>
              <w:jc w:val="left"/>
              <w:rPr>
                <w:rFonts w:ascii="Times New Roman" w:hAnsi="Times New Roman" w:cs="Times New Roman" w:eastAsia="Times New Roman" w:hint="default"/>
                <w:sz w:val="18"/>
                <w:szCs w:val="18"/>
              </w:rPr>
            </w:pPr>
            <w:r>
              <w:rPr>
                <w:rFonts w:ascii="Times New Roman"/>
                <w:sz w:val="18"/>
              </w:rPr>
              <w:t>35,491,5</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43.39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98" w:right="0"/>
              <w:jc w:val="left"/>
              <w:rPr>
                <w:rFonts w:ascii="Times New Roman" w:hAnsi="Times New Roman" w:cs="Times New Roman" w:eastAsia="Times New Roman" w:hint="default"/>
                <w:sz w:val="18"/>
                <w:szCs w:val="18"/>
              </w:rPr>
            </w:pPr>
            <w:r>
              <w:rPr>
                <w:rFonts w:ascii="Times New Roman"/>
                <w:sz w:val="18"/>
              </w:rPr>
              <w:t>14,806,8</w:t>
            </w:r>
          </w:p>
          <w:p>
            <w:pPr>
              <w:pStyle w:val="TableParagraph"/>
              <w:spacing w:line="207" w:lineRule="exact"/>
              <w:ind w:left="324" w:right="0"/>
              <w:jc w:val="left"/>
              <w:rPr>
                <w:rFonts w:ascii="Times New Roman" w:hAnsi="Times New Roman" w:cs="Times New Roman" w:eastAsia="Times New Roman" w:hint="default"/>
                <w:sz w:val="18"/>
                <w:szCs w:val="18"/>
              </w:rPr>
            </w:pPr>
            <w:r>
              <w:rPr>
                <w:rFonts w:ascii="Times New Roman"/>
                <w:sz w:val="18"/>
              </w:rPr>
              <w:t>24.32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6" w:right="0"/>
              <w:jc w:val="center"/>
              <w:rPr>
                <w:rFonts w:ascii="Times New Roman" w:hAnsi="Times New Roman" w:cs="Times New Roman" w:eastAsia="Times New Roman" w:hint="default"/>
                <w:sz w:val="18"/>
                <w:szCs w:val="18"/>
              </w:rPr>
            </w:pPr>
            <w:r>
              <w:rPr>
                <w:rFonts w:ascii="Times New Roman"/>
                <w:sz w:val="18"/>
              </w:rPr>
              <w:t>41.72%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35" w:right="0"/>
              <w:jc w:val="left"/>
              <w:rPr>
                <w:rFonts w:ascii="Times New Roman" w:hAnsi="Times New Roman" w:cs="Times New Roman" w:eastAsia="Times New Roman" w:hint="default"/>
                <w:sz w:val="18"/>
                <w:szCs w:val="18"/>
              </w:rPr>
            </w:pPr>
            <w:r>
              <w:rPr>
                <w:rFonts w:ascii="Times New Roman"/>
                <w:sz w:val="18"/>
              </w:rPr>
              <w:t>20,684,71</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9.07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36" w:right="0"/>
              <w:jc w:val="left"/>
              <w:rPr>
                <w:rFonts w:ascii="Times New Roman" w:hAnsi="Times New Roman" w:cs="Times New Roman" w:eastAsia="Times New Roman" w:hint="default"/>
                <w:sz w:val="18"/>
                <w:szCs w:val="18"/>
              </w:rPr>
            </w:pPr>
            <w:r>
              <w:rPr>
                <w:rFonts w:ascii="Times New Roman"/>
                <w:sz w:val="18"/>
              </w:rPr>
              <w:t>170,179</w:t>
            </w:r>
          </w:p>
          <w:p>
            <w:pPr>
              <w:pStyle w:val="TableParagraph"/>
              <w:spacing w:line="207" w:lineRule="exact"/>
              <w:ind w:left="81" w:right="0"/>
              <w:jc w:val="left"/>
              <w:rPr>
                <w:rFonts w:ascii="Times New Roman" w:hAnsi="Times New Roman" w:cs="Times New Roman" w:eastAsia="Times New Roman" w:hint="default"/>
                <w:sz w:val="18"/>
                <w:szCs w:val="18"/>
              </w:rPr>
            </w:pPr>
            <w:r>
              <w:rPr>
                <w:rFonts w:ascii="Times New Roman"/>
                <w:sz w:val="18"/>
              </w:rPr>
              <w:t>,632.65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60" w:right="0"/>
              <w:jc w:val="left"/>
              <w:rPr>
                <w:rFonts w:ascii="Times New Roman" w:hAnsi="Times New Roman" w:cs="Times New Roman" w:eastAsia="Times New Roman" w:hint="default"/>
                <w:sz w:val="18"/>
                <w:szCs w:val="18"/>
              </w:rPr>
            </w:pPr>
            <w:r>
              <w:rPr>
                <w:rFonts w:ascii="Times New Roman"/>
                <w:sz w:val="18"/>
              </w:rPr>
              <w:t>42,295,81</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24.85%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8" w:right="0"/>
              <w:jc w:val="left"/>
              <w:rPr>
                <w:rFonts w:ascii="Times New Roman" w:hAnsi="Times New Roman" w:cs="Times New Roman" w:eastAsia="Times New Roman" w:hint="default"/>
                <w:sz w:val="18"/>
                <w:szCs w:val="18"/>
              </w:rPr>
            </w:pPr>
            <w:r>
              <w:rPr>
                <w:rFonts w:ascii="Times New Roman"/>
                <w:sz w:val="18"/>
              </w:rPr>
              <w:t>127,883,81</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9.61</w:t>
            </w:r>
          </w:p>
        </w:tc>
      </w:tr>
    </w:tbl>
    <w:p>
      <w:pPr>
        <w:spacing w:after="0" w:line="207" w:lineRule="exact"/>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pStyle w:val="BodyText"/>
        <w:spacing w:line="240" w:lineRule="auto" w:before="12"/>
        <w:ind w:right="-20"/>
        <w:jc w:val="left"/>
      </w:pPr>
      <w:r>
        <w:rPr/>
        <w:t>期末单项金额重大并单项计提坏账准备的其他应收款：</w:t>
      </w:r>
    </w:p>
    <w:p>
      <w:pPr>
        <w:pStyle w:val="BodyText"/>
        <w:spacing w:line="240" w:lineRule="auto" w:before="3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433" w:space="4396"/>
            <w:col w:w="1041"/>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24"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59"/>
              <w:jc w:val="left"/>
              <w:rPr>
                <w:rFonts w:ascii="宋体" w:hAnsi="宋体" w:cs="宋体" w:eastAsia="宋体" w:hint="default"/>
                <w:sz w:val="18"/>
                <w:szCs w:val="18"/>
              </w:rPr>
            </w:pPr>
            <w:r>
              <w:rPr>
                <w:rFonts w:ascii="宋体" w:hAnsi="宋体" w:cs="宋体" w:eastAsia="宋体" w:hint="default"/>
                <w:sz w:val="18"/>
                <w:szCs w:val="18"/>
              </w:rPr>
              <w:t>西藏泰达厚生医药有限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5"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4"/>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5"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41"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1020"/>
        </w:sectPr>
      </w:pPr>
    </w:p>
    <w:p>
      <w:pPr>
        <w:pStyle w:val="BodyText"/>
        <w:spacing w:line="240" w:lineRule="auto" w:before="12"/>
        <w:ind w:right="-20"/>
        <w:jc w:val="left"/>
      </w:pPr>
      <w:r>
        <w:rPr/>
        <w:t>组合中，按账龄分析法计提坏账准备的其他应收款：</w:t>
      </w:r>
    </w:p>
    <w:p>
      <w:pPr>
        <w:pStyle w:val="BodyText"/>
        <w:spacing w:line="240" w:lineRule="auto" w:before="3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2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13,100,327.14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655,016.36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13,732,347.14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5,492,938.85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26,832,674.28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6,147,955.21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22.91%</w:t>
            </w:r>
          </w:p>
        </w:tc>
      </w:tr>
    </w:tbl>
    <w:p>
      <w:pPr>
        <w:pStyle w:val="BodyText"/>
        <w:spacing w:line="276" w:lineRule="auto" w:before="13"/>
        <w:ind w:right="5234"/>
        <w:jc w:val="left"/>
      </w:pPr>
      <w:r>
        <w:rPr/>
        <w:t>确定该组合依据的说明： 组合中，采用余额百分比法计提坏账准备的其他应收款：</w:t>
      </w:r>
    </w:p>
    <w:p>
      <w:pPr>
        <w:pStyle w:val="BodyText"/>
        <w:spacing w:line="261" w:lineRule="auto" w:before="13"/>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1020"/>
        </w:sectPr>
      </w:pPr>
    </w:p>
    <w:p>
      <w:pPr>
        <w:pStyle w:val="BodyText"/>
        <w:spacing w:line="264" w:lineRule="auto" w:before="44"/>
        <w:ind w:right="-11"/>
        <w:jc w:val="left"/>
      </w:pPr>
      <w:r>
        <w:rPr/>
        <w:t>本期计提坏账准备金额</w:t>
      </w:r>
      <w:r>
        <w:rPr>
          <w:rFonts w:ascii="Times New Roman" w:hAnsi="Times New Roman" w:cs="Times New Roman" w:eastAsia="Times New Roman" w:hint="default"/>
        </w:rPr>
        <w:t>-27,488,988.72</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519" w:space="2311"/>
            <w:col w:w="1040"/>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4"/>
          <w:szCs w:val="4"/>
        </w:rPr>
      </w:pPr>
    </w:p>
    <w:p>
      <w:pPr>
        <w:spacing w:line="337"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978;height:318" coordorigin="13,12" coordsize="4978,318">
              <v:shape style="position:absolute;left:13;top:12;width:4978;height:318" coordorigin="13,12" coordsize="4978,318" path="m13,12l4991,12,4991,330,13,330,13,12xe" filled="true" fillcolor="#d2d2d2" stroked="false">
                <v:path arrowok="t"/>
                <v:fill type="solid"/>
              </v:shape>
            </v:group>
            <v:group style="position:absolute;left:4996;top:12;width:4580;height:318" coordorigin="4996,12" coordsize="4580,318">
              <v:shape style="position:absolute;left:4996;top:12;width:4580;height:318" coordorigin="4996,12" coordsize="4580,318" path="m4996,12l9576,12,9576,330,4996,330,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993;top:5;width:2;height:323" coordorigin="4993,5" coordsize="2,323">
              <v:shape style="position:absolute;left:4993;top:5;width:2;height:323" coordorigin="4993,5" coordsize="0,323" path="m4993,5l4993,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2320;top:8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323" type="#_x0000_t202" filled="false" stroked="false">
                <v:textbox inset="0,0,0,0">
                  <w:txbxContent>
                    <w:p>
                      <w:pPr>
                        <w:spacing w:before="1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6"/>
          <w:sz w:val="20"/>
          <w:szCs w:val="20"/>
        </w:rPr>
      </w:r>
    </w:p>
    <w:p>
      <w:pPr>
        <w:pStyle w:val="BodyText"/>
        <w:spacing w:line="240" w:lineRule="auto" w:before="12"/>
        <w:ind w:right="0"/>
        <w:jc w:val="left"/>
      </w:pPr>
      <w:r>
        <w:rPr/>
        <w:t>其中重要的其他应收款核销情况：</w:t>
      </w:r>
    </w:p>
    <w:p>
      <w:pPr>
        <w:pStyle w:val="BodyText"/>
        <w:spacing w:line="240" w:lineRule="auto" w:before="38"/>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10"/>
        <w:ind w:right="0"/>
        <w:jc w:val="left"/>
      </w:pPr>
      <w:r>
        <w:rPr/>
        <w:t>其他应收款核销说明：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13,207,269.33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160,658,114.46</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垫付货款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1,429,235.15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1,370,131.75</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42,538.42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25,395.27</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14,100.00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欠款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12,670,000.00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14,106.42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11,697.10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33" w:right="0"/>
              <w:jc w:val="left"/>
              <w:rPr>
                <w:rFonts w:ascii="Times New Roman" w:hAnsi="Times New Roman" w:cs="Times New Roman" w:eastAsia="Times New Roman" w:hint="default"/>
                <w:sz w:val="18"/>
                <w:szCs w:val="18"/>
              </w:rPr>
            </w:pPr>
            <w:r>
              <w:rPr>
                <w:rFonts w:ascii="Times New Roman"/>
                <w:sz w:val="18"/>
              </w:rPr>
              <w:t>35,491,543.39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42" w:right="0"/>
              <w:jc w:val="left"/>
              <w:rPr>
                <w:rFonts w:ascii="Times New Roman" w:hAnsi="Times New Roman" w:cs="Times New Roman" w:eastAsia="Times New Roman" w:hint="default"/>
                <w:sz w:val="18"/>
                <w:szCs w:val="18"/>
              </w:rPr>
            </w:pPr>
            <w:r>
              <w:rPr>
                <w:rFonts w:ascii="Times New Roman"/>
                <w:sz w:val="18"/>
              </w:rPr>
              <w:t>170,179,632.65</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55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13,036,969.33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36.73%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651,848.47</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股权置换款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12,670,000.00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5,068,000.00</w:t>
            </w:r>
          </w:p>
        </w:tc>
      </w:tr>
      <w:tr>
        <w:trPr>
          <w:trHeight w:val="32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8,114,294.07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613,832.85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245,533.14</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544,575.04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544,575.04</w:t>
            </w:r>
          </w:p>
        </w:tc>
      </w:tr>
      <w:tr>
        <w:trPr>
          <w:trHeight w:val="32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34,979,671.29</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98.55%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14,624,250.72</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557"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9"/>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1,679,033,900.00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1,679,033,900.00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2,096,386,836.00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9" w:right="0"/>
              <w:jc w:val="left"/>
              <w:rPr>
                <w:rFonts w:ascii="Times New Roman" w:hAnsi="Times New Roman" w:cs="Times New Roman" w:eastAsia="Times New Roman" w:hint="default"/>
                <w:sz w:val="18"/>
                <w:szCs w:val="18"/>
              </w:rPr>
            </w:pPr>
            <w:r>
              <w:rPr>
                <w:rFonts w:ascii="Times New Roman"/>
                <w:sz w:val="18"/>
              </w:rPr>
              <w:t>16,630,000.00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2,079,756,836.00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142,834,276.38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142,834,276.38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101,437,131.00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101,437,131.00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1,821,868,176.38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1,821,868,176.38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2,197,823,967.00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9" w:right="0"/>
              <w:jc w:val="left"/>
              <w:rPr>
                <w:rFonts w:ascii="Times New Roman" w:hAnsi="Times New Roman" w:cs="Times New Roman" w:eastAsia="Times New Roman" w:hint="default"/>
                <w:sz w:val="18"/>
                <w:szCs w:val="18"/>
              </w:rPr>
            </w:pPr>
            <w:r>
              <w:rPr>
                <w:rFonts w:ascii="Times New Roman"/>
                <w:sz w:val="18"/>
              </w:rPr>
              <w:t>16,630,000.00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2,181,193,967.00</w:t>
            </w: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557"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152"/>
              <w:jc w:val="left"/>
              <w:rPr>
                <w:rFonts w:ascii="宋体" w:hAnsi="宋体" w:cs="宋体" w:eastAsia="宋体" w:hint="default"/>
                <w:sz w:val="18"/>
                <w:szCs w:val="18"/>
              </w:rPr>
            </w:pPr>
            <w:r>
              <w:rPr>
                <w:rFonts w:ascii="宋体" w:hAnsi="宋体" w:cs="宋体" w:eastAsia="宋体" w:hint="default"/>
                <w:sz w:val="18"/>
                <w:szCs w:val="18"/>
              </w:rPr>
              <w:t>青海明诺胶囊有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98,919,136.00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98,919,136.00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52"/>
              <w:jc w:val="left"/>
              <w:rPr>
                <w:rFonts w:ascii="宋体" w:hAnsi="宋体" w:cs="宋体" w:eastAsia="宋体" w:hint="default"/>
                <w:sz w:val="18"/>
                <w:szCs w:val="18"/>
              </w:rPr>
            </w:pPr>
            <w:r>
              <w:rPr>
                <w:rFonts w:ascii="宋体" w:hAnsi="宋体" w:cs="宋体" w:eastAsia="宋体" w:hint="default"/>
                <w:sz w:val="18"/>
                <w:szCs w:val="18"/>
              </w:rPr>
              <w:t>青海明胶有限责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172,738,800.00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172,738,800.00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52"/>
              <w:jc w:val="left"/>
              <w:rPr>
                <w:rFonts w:ascii="宋体" w:hAnsi="宋体" w:cs="宋体" w:eastAsia="宋体" w:hint="default"/>
                <w:sz w:val="18"/>
                <w:szCs w:val="18"/>
              </w:rPr>
            </w:pPr>
            <w:r>
              <w:rPr>
                <w:rFonts w:ascii="宋体" w:hAnsi="宋体" w:cs="宋体" w:eastAsia="宋体" w:hint="default"/>
                <w:sz w:val="18"/>
                <w:szCs w:val="18"/>
              </w:rPr>
              <w:t>河南省焦作金箭 明胶有限责任公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16,630,000.00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16,630,000.00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52"/>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30,033,900.00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152"/>
              <w:jc w:val="both"/>
              <w:rPr>
                <w:rFonts w:ascii="宋体" w:hAnsi="宋体" w:cs="宋体" w:eastAsia="宋体" w:hint="default"/>
                <w:sz w:val="18"/>
                <w:szCs w:val="18"/>
              </w:rPr>
            </w:pPr>
            <w:r>
              <w:rPr>
                <w:rFonts w:ascii="宋体" w:hAnsi="宋体" w:cs="宋体" w:eastAsia="宋体" w:hint="default"/>
                <w:sz w:val="18"/>
                <w:szCs w:val="18"/>
              </w:rPr>
              <w:t>柳州市宏升胶原 蛋白肠衣有限公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52"/>
              <w:jc w:val="left"/>
              <w:rPr>
                <w:rFonts w:ascii="宋体" w:hAnsi="宋体" w:cs="宋体" w:eastAsia="宋体" w:hint="default"/>
                <w:sz w:val="18"/>
                <w:szCs w:val="18"/>
              </w:rPr>
            </w:pPr>
            <w:r>
              <w:rPr>
                <w:rFonts w:ascii="宋体" w:hAnsi="宋体" w:cs="宋体" w:eastAsia="宋体" w:hint="default"/>
                <w:sz w:val="18"/>
                <w:szCs w:val="18"/>
              </w:rPr>
              <w:t>广东明洋明胶有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49,065,000.00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神州易桥（北京） 财税科技有限公</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26"/>
              <w:jc w:val="left"/>
              <w:rPr>
                <w:rFonts w:ascii="宋体" w:hAnsi="宋体" w:cs="宋体" w:eastAsia="宋体" w:hint="default"/>
                <w:sz w:val="18"/>
                <w:szCs w:val="18"/>
              </w:rPr>
            </w:pPr>
            <w:r>
              <w:rPr>
                <w:rFonts w:ascii="宋体" w:hAnsi="宋体" w:cs="宋体" w:eastAsia="宋体" w:hint="default"/>
                <w:sz w:val="18"/>
                <w:szCs w:val="18"/>
              </w:rPr>
              <w:t>企业管家（北京） 科技服务有限公</w:t>
            </w:r>
          </w:p>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2,096,386,836.00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567,352,936.00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1,679,033,900.00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24"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41"/>
              <w:jc w:val="both"/>
              <w:rPr>
                <w:rFonts w:ascii="宋体" w:hAnsi="宋体" w:cs="宋体" w:eastAsia="宋体" w:hint="default"/>
                <w:sz w:val="18"/>
                <w:szCs w:val="18"/>
              </w:rPr>
            </w:pPr>
            <w:r>
              <w:rPr>
                <w:rFonts w:ascii="宋体" w:hAnsi="宋体" w:cs="宋体" w:eastAsia="宋体" w:hint="default"/>
                <w:sz w:val="18"/>
                <w:szCs w:val="18"/>
              </w:rPr>
              <w:t>北京九彩 矿业投资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39,211,48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51"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41"/>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9,990,227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7" w:lineRule="exact"/>
              <w:ind w:left="77" w:right="0"/>
              <w:jc w:val="left"/>
              <w:rPr>
                <w:rFonts w:ascii="Times New Roman" w:hAnsi="Times New Roman" w:cs="Times New Roman" w:eastAsia="Times New Roman" w:hint="default"/>
                <w:sz w:val="18"/>
                <w:szCs w:val="18"/>
              </w:rPr>
            </w:pPr>
            <w:r>
              <w:rPr>
                <w:rFonts w:ascii="Times New Roman"/>
                <w:sz w:val="18"/>
              </w:rPr>
              <w:t>-2,053,54</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4.76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7,936,682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4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32,245,91</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7.71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378,792.2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6" w:right="0"/>
              <w:jc w:val="left"/>
              <w:rPr>
                <w:rFonts w:ascii="Times New Roman" w:hAnsi="Times New Roman" w:cs="Times New Roman" w:eastAsia="Times New Roman" w:hint="default"/>
                <w:sz w:val="18"/>
                <w:szCs w:val="18"/>
              </w:rPr>
            </w:pPr>
            <w:r>
              <w:rPr>
                <w:rFonts w:ascii="Times New Roman"/>
                <w:sz w:val="18"/>
              </w:rPr>
              <w:t>32,624,71</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2" w:right="41"/>
              <w:jc w:val="both"/>
              <w:rPr>
                <w:rFonts w:ascii="宋体" w:hAnsi="宋体" w:cs="宋体" w:eastAsia="宋体" w:hint="default"/>
                <w:sz w:val="18"/>
                <w:szCs w:val="18"/>
              </w:rPr>
            </w:pPr>
            <w:r>
              <w:rPr>
                <w:rFonts w:ascii="宋体" w:hAnsi="宋体" w:cs="宋体" w:eastAsia="宋体" w:hint="default"/>
                <w:sz w:val="18"/>
                <w:szCs w:val="18"/>
              </w:rPr>
              <w:t>广西海东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19,989,50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2.26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953,097.0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6" w:right="0"/>
              <w:jc w:val="left"/>
              <w:rPr>
                <w:rFonts w:ascii="Times New Roman" w:hAnsi="Times New Roman" w:cs="Times New Roman" w:eastAsia="Times New Roman" w:hint="default"/>
                <w:sz w:val="18"/>
                <w:szCs w:val="18"/>
              </w:rPr>
            </w:pPr>
            <w:r>
              <w:rPr>
                <w:rFonts w:ascii="Times New Roman"/>
                <w:sz w:val="18"/>
              </w:rPr>
              <w:t>20,942,59</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41"/>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48,720,00</w:t>
            </w:r>
          </w:p>
          <w:p>
            <w:pPr>
              <w:pStyle w:val="TableParagraph"/>
              <w:spacing w:line="205"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2,280,284</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05" w:lineRule="exact"/>
              <w:ind w:left="46" w:right="0"/>
              <w:jc w:val="left"/>
              <w:rPr>
                <w:rFonts w:ascii="Times New Roman" w:hAnsi="Times New Roman" w:cs="Times New Roman" w:eastAsia="Times New Roman" w:hint="default"/>
                <w:sz w:val="18"/>
                <w:szCs w:val="18"/>
              </w:rPr>
            </w:pPr>
            <w:r>
              <w:rPr>
                <w:rFonts w:ascii="Times New Roman"/>
                <w:sz w:val="18"/>
              </w:rPr>
              <w:t>51,000,28</w:t>
            </w:r>
          </w:p>
          <w:p>
            <w:pPr>
              <w:pStyle w:val="TableParagraph"/>
              <w:spacing w:line="205" w:lineRule="exact"/>
              <w:ind w:left="449" w:right="0"/>
              <w:jc w:val="left"/>
              <w:rPr>
                <w:rFonts w:ascii="Times New Roman" w:hAnsi="Times New Roman" w:cs="Times New Roman" w:eastAsia="Times New Roman" w:hint="default"/>
                <w:sz w:val="18"/>
                <w:szCs w:val="18"/>
              </w:rPr>
            </w:pPr>
            <w:r>
              <w:rPr>
                <w:rFonts w:ascii="Times New Roman"/>
                <w:sz w:val="18"/>
              </w:rPr>
              <w:t>4.64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22" w:right="41"/>
              <w:jc w:val="both"/>
              <w:rPr>
                <w:rFonts w:ascii="宋体" w:hAnsi="宋体" w:cs="宋体" w:eastAsia="宋体" w:hint="default"/>
                <w:sz w:val="18"/>
                <w:szCs w:val="18"/>
              </w:rPr>
            </w:pPr>
            <w:r>
              <w:rPr>
                <w:rFonts w:ascii="宋体" w:hAnsi="宋体" w:cs="宋体" w:eastAsia="宋体" w:hint="default"/>
                <w:sz w:val="18"/>
                <w:szCs w:val="18"/>
              </w:rPr>
              <w:t>洛阳蓝宝 氟业有限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30,330,00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6" w:right="0"/>
              <w:jc w:val="left"/>
              <w:rPr>
                <w:rFonts w:ascii="Times New Roman" w:hAnsi="Times New Roman" w:cs="Times New Roman" w:eastAsia="Times New Roman" w:hint="default"/>
                <w:sz w:val="18"/>
                <w:szCs w:val="18"/>
              </w:rPr>
            </w:pPr>
            <w:r>
              <w:rPr>
                <w:rFonts w:ascii="Times New Roman"/>
                <w:sz w:val="18"/>
              </w:rPr>
              <w:t>30,330,00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5" w:right="0"/>
              <w:jc w:val="left"/>
              <w:rPr>
                <w:rFonts w:ascii="Times New Roman" w:hAnsi="Times New Roman" w:cs="Times New Roman" w:eastAsia="Times New Roman" w:hint="default"/>
                <w:sz w:val="18"/>
                <w:szCs w:val="18"/>
              </w:rPr>
            </w:pPr>
            <w:r>
              <w:rPr>
                <w:rFonts w:ascii="Times New Roman"/>
                <w:sz w:val="18"/>
              </w:rPr>
              <w:t>101,437,1</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5" w:right="0"/>
              <w:jc w:val="left"/>
              <w:rPr>
                <w:rFonts w:ascii="Times New Roman" w:hAnsi="Times New Roman" w:cs="Times New Roman" w:eastAsia="Times New Roman" w:hint="default"/>
                <w:sz w:val="18"/>
                <w:szCs w:val="18"/>
              </w:rPr>
            </w:pPr>
            <w:r>
              <w:rPr>
                <w:rFonts w:ascii="Times New Roman"/>
                <w:sz w:val="18"/>
              </w:rPr>
              <w:t>79,050,00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51"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right="19"/>
              <w:jc w:val="right"/>
              <w:rPr>
                <w:rFonts w:ascii="Times New Roman" w:hAnsi="Times New Roman" w:cs="Times New Roman" w:eastAsia="Times New Roman" w:hint="default"/>
                <w:sz w:val="18"/>
                <w:szCs w:val="18"/>
              </w:rPr>
            </w:pPr>
            <w:r>
              <w:rPr>
                <w:rFonts w:ascii="Times New Roman"/>
                <w:spacing w:val="-1"/>
                <w:sz w:val="18"/>
              </w:rPr>
              <w:t>1,558,529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6" w:right="0"/>
              <w:jc w:val="left"/>
              <w:rPr>
                <w:rFonts w:ascii="Times New Roman" w:hAnsi="Times New Roman" w:cs="Times New Roman" w:eastAsia="Times New Roman" w:hint="default"/>
                <w:sz w:val="18"/>
                <w:szCs w:val="18"/>
              </w:rPr>
            </w:pPr>
            <w:r>
              <w:rPr>
                <w:rFonts w:ascii="Times New Roman"/>
                <w:sz w:val="18"/>
              </w:rPr>
              <w:t>142,834,2</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76.38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5" w:right="0"/>
              <w:jc w:val="left"/>
              <w:rPr>
                <w:rFonts w:ascii="Times New Roman" w:hAnsi="Times New Roman" w:cs="Times New Roman" w:eastAsia="Times New Roman" w:hint="default"/>
                <w:sz w:val="18"/>
                <w:szCs w:val="18"/>
              </w:rPr>
            </w:pPr>
            <w:r>
              <w:rPr>
                <w:rFonts w:ascii="Times New Roman"/>
                <w:sz w:val="18"/>
              </w:rPr>
              <w:t>101,437,1</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5" w:right="0"/>
              <w:jc w:val="left"/>
              <w:rPr>
                <w:rFonts w:ascii="Times New Roman" w:hAnsi="Times New Roman" w:cs="Times New Roman" w:eastAsia="Times New Roman" w:hint="default"/>
                <w:sz w:val="18"/>
                <w:szCs w:val="18"/>
              </w:rPr>
            </w:pPr>
            <w:r>
              <w:rPr>
                <w:rFonts w:ascii="Times New Roman"/>
                <w:sz w:val="18"/>
              </w:rPr>
              <w:t>79,050,00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51" w:right="0"/>
              <w:jc w:val="left"/>
              <w:rPr>
                <w:rFonts w:ascii="Times New Roman" w:hAnsi="Times New Roman" w:cs="Times New Roman" w:eastAsia="Times New Roman" w:hint="default"/>
                <w:sz w:val="18"/>
                <w:szCs w:val="18"/>
              </w:rPr>
            </w:pPr>
            <w:r>
              <w:rPr>
                <w:rFonts w:ascii="Times New Roman"/>
                <w:sz w:val="18"/>
              </w:rPr>
              <w:t>39,211,38</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right="19"/>
              <w:jc w:val="right"/>
              <w:rPr>
                <w:rFonts w:ascii="Times New Roman" w:hAnsi="Times New Roman" w:cs="Times New Roman" w:eastAsia="Times New Roman" w:hint="default"/>
                <w:sz w:val="18"/>
                <w:szCs w:val="18"/>
              </w:rPr>
            </w:pPr>
            <w:r>
              <w:rPr>
                <w:rFonts w:ascii="Times New Roman"/>
                <w:spacing w:val="-1"/>
                <w:sz w:val="18"/>
              </w:rPr>
              <w:t>1,558,529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1"/>
              <w:ind w:left="46" w:right="0"/>
              <w:jc w:val="left"/>
              <w:rPr>
                <w:rFonts w:ascii="Times New Roman" w:hAnsi="Times New Roman" w:cs="Times New Roman" w:eastAsia="Times New Roman" w:hint="default"/>
                <w:sz w:val="18"/>
                <w:szCs w:val="18"/>
              </w:rPr>
            </w:pPr>
            <w:r>
              <w:rPr>
                <w:rFonts w:ascii="Times New Roman"/>
                <w:sz w:val="18"/>
              </w:rPr>
              <w:t>142,834,2</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76.38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24"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376,297.30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376,297.30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2"/>
        <w:ind w:right="94"/>
        <w:jc w:val="left"/>
      </w:pPr>
      <w:r>
        <w:rPr/>
        <w:t>其他说明：</w:t>
      </w:r>
    </w:p>
    <w:p>
      <w:pPr>
        <w:spacing w:line="240" w:lineRule="auto" w:before="3"/>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8,462,764.17</w:t>
            </w: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1,558,529.19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-1,544,400.22</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-165,874,318.81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-26,396,154.49</w:t>
            </w: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620,689.50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423,477.17</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110,272,632.38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3,414,302.79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-50,008,164.95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-19,054,313.37</w:t>
            </w:r>
          </w:p>
        </w:tc>
      </w:tr>
    </w:tbl>
    <w:p>
      <w:pPr>
        <w:spacing w:line="240" w:lineRule="auto" w:before="8"/>
        <w:rPr>
          <w:rFonts w:ascii="宋体" w:hAnsi="宋体" w:cs="宋体" w:eastAsia="宋体" w:hint="default"/>
          <w:sz w:val="17"/>
          <w:szCs w:val="17"/>
        </w:rPr>
      </w:pPr>
    </w:p>
    <w:p>
      <w:pPr>
        <w:pStyle w:val="Heading3"/>
        <w:spacing w:line="240" w:lineRule="auto" w:before="34"/>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1"/>
          <w:szCs w:val="21"/>
        </w:rPr>
      </w:pPr>
    </w:p>
    <w:p>
      <w:pPr>
        <w:pStyle w:val="Heading2"/>
        <w:spacing w:line="240" w:lineRule="auto"/>
        <w:ind w:right="94"/>
        <w:jc w:val="left"/>
        <w:rPr>
          <w:b w:val="0"/>
          <w:bCs w:val="0"/>
        </w:rPr>
      </w:pPr>
      <w:r>
        <w:rPr/>
        <w:t>十八、补充资料</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24"/>
        <w:ind w:left="0" w:right="19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670"/>
        <w:gridCol w:w="2205"/>
        <w:gridCol w:w="1839"/>
      </w:tblGrid>
      <w:tr>
        <w:trPr>
          <w:trHeight w:val="324"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31,020,911.35</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5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 额或定量享受的政府补助除外）</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3,515,119.40</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5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 有被投资单位可辨认净资产公允价值产生的收益</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37,075,053.74</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4,973,960.26</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22" w:right="5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110,272,632.38</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-10,026,448.05</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190,096.48</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267,008.41</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176,374,124.19</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right="94"/>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878" w:footer="978" w:top="1100" w:bottom="1160" w:left="1020" w:right="940"/>
        </w:sectPr>
      </w:pPr>
    </w:p>
    <w:p>
      <w:pPr>
        <w:spacing w:line="240" w:lineRule="auto" w:before="12"/>
        <w:rPr>
          <w:rFonts w:ascii="宋体" w:hAnsi="宋体" w:cs="宋体" w:eastAsia="宋体" w:hint="default"/>
          <w:sz w:val="18"/>
          <w:szCs w:val="18"/>
        </w:rPr>
      </w:pPr>
    </w:p>
    <w:p>
      <w:pPr>
        <w:pStyle w:val="BodyText"/>
        <w:spacing w:line="232" w:lineRule="exact" w:before="69"/>
        <w:ind w:right="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323"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4"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0.0839</w:t>
            </w:r>
          </w:p>
        </w:tc>
      </w:tr>
      <w:tr>
        <w:trPr>
          <w:trHeight w:val="55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-0.1465</w:t>
            </w:r>
          </w:p>
        </w:tc>
      </w:tr>
    </w:tbl>
    <w:p>
      <w:pPr>
        <w:spacing w:line="240" w:lineRule="auto" w:before="8"/>
        <w:rPr>
          <w:rFonts w:ascii="宋体" w:hAnsi="宋体" w:cs="宋体" w:eastAsia="宋体" w:hint="default"/>
          <w:b/>
          <w:bCs/>
          <w:sz w:val="17"/>
          <w:szCs w:val="17"/>
        </w:rPr>
      </w:pPr>
    </w:p>
    <w:p>
      <w:pPr>
        <w:pStyle w:val="Heading3"/>
        <w:spacing w:line="240" w:lineRule="auto" w:before="34"/>
        <w:ind w:right="94"/>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3"/>
          <w:szCs w:val="23"/>
        </w:rPr>
      </w:pPr>
    </w:p>
    <w:p>
      <w:pPr>
        <w:pStyle w:val="Heading3"/>
        <w:spacing w:line="272" w:lineRule="exact"/>
        <w:ind w:right="94"/>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8" w:footer="978" w:top="1100" w:bottom="1160" w:left="1020" w:right="1000"/>
        </w:sectPr>
      </w:pPr>
    </w:p>
    <w:p>
      <w:pPr>
        <w:spacing w:line="240" w:lineRule="auto" w:before="10"/>
        <w:rPr>
          <w:rFonts w:ascii="宋体" w:hAnsi="宋体" w:cs="宋体" w:eastAsia="宋体" w:hint="default"/>
          <w:b/>
          <w:bCs/>
          <w:sz w:val="23"/>
          <w:szCs w:val="23"/>
        </w:rPr>
      </w:pPr>
    </w:p>
    <w:p>
      <w:pPr>
        <w:pStyle w:val="Heading1"/>
        <w:spacing w:line="240" w:lineRule="auto"/>
        <w:ind w:left="3247" w:right="0"/>
        <w:jc w:val="left"/>
        <w:rPr>
          <w:b w:val="0"/>
          <w:bCs w:val="0"/>
        </w:rPr>
      </w:pPr>
      <w:bookmarkStart w:name="_bookmark11" w:id="13"/>
      <w:bookmarkEnd w:id="13"/>
      <w:r>
        <w:rPr>
          <w:b w:val="0"/>
          <w:bCs w:val="0"/>
        </w:rPr>
      </w:r>
      <w:r>
        <w:rPr/>
        <w:t>第十二节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8"/>
          <w:szCs w:val="38"/>
        </w:rPr>
      </w:pPr>
    </w:p>
    <w:p>
      <w:pPr>
        <w:pStyle w:val="Heading4"/>
        <w:spacing w:line="343" w:lineRule="auto"/>
        <w:ind w:right="0"/>
        <w:jc w:val="left"/>
      </w:pPr>
      <w:r>
        <w:rPr/>
        <w:t>一、载有公司法定代表人亲笔签署的年度报告正本；</w:t>
      </w:r>
      <w:r>
        <w:rPr>
          <w:w w:val="99"/>
        </w:rPr>
        <w:t> </w:t>
      </w:r>
      <w:r>
        <w:rPr/>
        <w:t>二、载有公司负责人、主管会计工作负责人、会计机构负责人签名并盖章的会计报表；</w:t>
      </w:r>
      <w:r>
        <w:rPr>
          <w:w w:val="99"/>
        </w:rPr>
        <w:t> </w:t>
      </w:r>
      <w:r>
        <w:rPr/>
        <w:t>三、载有会计师事务所盖章、注册会计师亲笔签名并盖章的审计报告正本；</w:t>
      </w:r>
    </w:p>
    <w:p>
      <w:pPr>
        <w:pStyle w:val="Heading4"/>
        <w:spacing w:line="240" w:lineRule="auto" w:before="26"/>
        <w:ind w:right="0"/>
        <w:jc w:val="left"/>
      </w:pPr>
      <w:r>
        <w:rPr>
          <w:w w:val="95"/>
        </w:rPr>
        <w:t>四、报告期内在《证券时报》、《证券日报》、巨潮资讯网上公开披露过的所有公司文件的正本及公告的  </w:t>
      </w:r>
      <w:r>
        <w:rPr>
          <w:spacing w:val="38"/>
          <w:w w:val="95"/>
        </w:rPr>
        <w:t> </w:t>
      </w:r>
      <w:r>
        <w:rPr>
          <w:spacing w:val="38"/>
          <w:w w:val="95"/>
        </w:rPr>
      </w:r>
      <w:r>
        <w:rPr/>
        <w:t>原稿。</w:t>
      </w:r>
    </w:p>
    <w:sectPr>
      <w:pgSz w:w="11910" w:h="16840"/>
      <w:pgMar w:header="878" w:footer="978" w:top="110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988pt;width:6.5pt;height:11pt;mso-position-horizontal-relative:page;mso-position-vertical-relative:page;z-index:-1014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013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013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013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1014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1013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013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2pt;height:11pt;mso-position-horizontal-relative:page;mso-position-vertical-relative:page;z-index:-1014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4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014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014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01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15651pt;width:213.45pt;height:11.5pt;mso-position-horizontal-relative:page;mso-position-vertical-relative:page;z-index:-1014184"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359009pt;margin-top:42.915611pt;width:213.6pt;height:11.5pt;mso-position-horizontal-relative:page;mso-position-vertical-relative:page;z-index:-1014064"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13992"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26.119995pt;margin-top:42.915649pt;width:213.45pt;height:11.5pt;mso-position-horizontal-relative:page;mso-position-vertical-relative:page;z-index:-1013968"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359009pt;margin-top:42.915611pt;width:213.6pt;height:11.5pt;mso-position-horizontal-relative:page;mso-position-vertical-relative:page;z-index:-1013896"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13848"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26.119995pt;margin-top:42.915649pt;width:213.45pt;height:11.5pt;mso-position-horizontal-relative:page;mso-position-vertical-relative:page;z-index:-1013824"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359009pt;margin-top:42.915611pt;width:213.6pt;height:11.5pt;mso-position-horizontal-relative:page;mso-position-vertical-relative:page;z-index:-1013704"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13632"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26.119995pt;margin-top:42.915649pt;width:213.45pt;height:11.5pt;mso-position-horizontal-relative:page;mso-position-vertical-relative:page;z-index:-1013608" type="#_x0000_t202" filled="false" stroked="false">
          <v:textbox inset="0,0,0,0">
            <w:txbxContent>
              <w:p>
                <w:pPr>
                  <w:pStyle w:val="BodyText"/>
                  <w:spacing w:line="214" w:lineRule="exact"/>
                  <w:ind w:left="20" w:right="0"/>
                  <w:jc w:val="left"/>
                </w:pPr>
                <w:r>
                  <w:rPr/>
                  <w:t>神州易桥信息服务股份有限公司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382"/>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112"/>
      <w:outlineLvl w:val="4"/>
    </w:pPr>
    <w:rPr>
      <w:rFonts w:ascii="宋体" w:hAnsi="宋体" w:eastAsia="宋体"/>
      <w:sz w:val="21"/>
      <w:szCs w:val="21"/>
    </w:rPr>
  </w:style>
  <w:style w:styleId="Heading5" w:type="paragraph">
    <w:name w:val="Heading 5"/>
    <w:basedOn w:val="Normal"/>
    <w:uiPriority w:val="1"/>
    <w:qFormat/>
    <w:pPr>
      <w:ind w:left="1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eqiao.com.cn/" TargetMode="External"/><Relationship Id="rId9" Type="http://schemas.openxmlformats.org/officeDocument/2006/relationships/hyperlink" Target="mailto:zhengq@my0606.com.cn" TargetMode="External"/><Relationship Id="rId10" Type="http://schemas.openxmlformats.org/officeDocument/2006/relationships/hyperlink" Target="mailto:huaym@12366.com" TargetMode="External"/><Relationship Id="rId11" Type="http://schemas.openxmlformats.org/officeDocument/2006/relationships/hyperlink" Target="mailto:kouyc@my0606.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irm.cninfo.com.cn/" TargetMode="Externa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4.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image" Target="media/image1.jpeg"/><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7.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神州易桥信息服务股份有限公司</dc:creator>
  <dc:title>神州易桥信息服务股份有限公司2017年年度报告全文</dc:title>
  <dcterms:created xsi:type="dcterms:W3CDTF">2020-05-02T19:46:58Z</dcterms:created>
  <dcterms:modified xsi:type="dcterms:W3CDTF">2020-05-02T19:46:58Z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2018-04-14T00:00:00Z</vt:filetime>
  </property>
  <property fmtid="{D5CDD505-2E9C-101B-9397-08002B2CF9AE}" pid="3" name="Creator">
    <vt:lpwstr>WPS Office</vt:lpwstr>
  </property>
  <property fmtid="{D5CDD505-2E9C-101B-9397-08002B2CF9AE}" pid="4" name="LastSaved">
    <vt:filetime>2020-05-02T00:00:00Z</vt:filetime>
  </property>
</Properties>
</file>