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605" w:right="358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顺利办信息服务股份有限公司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604" w:right="35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605" w:right="35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公司负责人彭聪、主管会计工作负责人黄海勇及会计机构负责人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任峰声明：保证年度报告中财务报告的真实、准确、完整。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本报告中所涉及的未来计划、发展战略等前瞻性描述不构成公司对投资者</w:t>
      </w:r>
      <w:r>
        <w:rPr>
          <w:rFonts w:ascii="宋体" w:hAnsi="宋体" w:cs="宋体" w:eastAsia="宋体" w:hint="default"/>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公司已在本报告中详细描述可能存在的风险，具体内容详见本报告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第四节</w:t>
      </w:r>
      <w:r>
        <w:rPr>
          <w:rFonts w:ascii="宋体" w:hAnsi="宋体" w:cs="宋体" w:eastAsia="宋体" w:hint="default"/>
          <w:sz w:val="28"/>
          <w:szCs w:val="28"/>
        </w:rPr>
      </w:r>
    </w:p>
    <w:p>
      <w:pPr>
        <w:spacing w:line="321" w:lineRule="exact"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经营情</w:t>
      </w:r>
      <w:r>
        <w:rPr>
          <w:rFonts w:ascii="宋体" w:hAnsi="宋体" w:cs="宋体" w:eastAsia="宋体" w:hint="default"/>
          <w:b/>
          <w:bCs/>
          <w:spacing w:val="2"/>
          <w:w w:val="99"/>
          <w:sz w:val="28"/>
          <w:szCs w:val="28"/>
        </w:rPr>
        <w:t>况</w:t>
      </w:r>
      <w:r>
        <w:rPr>
          <w:rFonts w:ascii="宋体" w:hAnsi="宋体" w:cs="宋体" w:eastAsia="宋体" w:hint="default"/>
          <w:b/>
          <w:bCs/>
          <w:w w:val="99"/>
          <w:sz w:val="28"/>
          <w:szCs w:val="28"/>
        </w:rPr>
        <w:t>讨论与</w:t>
      </w:r>
      <w:r>
        <w:rPr>
          <w:rFonts w:ascii="宋体" w:hAnsi="宋体" w:cs="宋体" w:eastAsia="宋体" w:hint="default"/>
          <w:b/>
          <w:bCs/>
          <w:spacing w:val="2"/>
          <w:w w:val="99"/>
          <w:sz w:val="28"/>
          <w:szCs w:val="28"/>
        </w:rPr>
        <w:t>分</w:t>
      </w:r>
      <w:r>
        <w:rPr>
          <w:rFonts w:ascii="宋体" w:hAnsi="宋体" w:cs="宋体" w:eastAsia="宋体" w:hint="default"/>
          <w:b/>
          <w:bCs/>
          <w:spacing w:val="4"/>
          <w:w w:val="99"/>
          <w:sz w:val="28"/>
          <w:szCs w:val="28"/>
        </w:rPr>
        <w:t>析</w:t>
      </w:r>
      <w:r>
        <w:rPr>
          <w:rFonts w:ascii="Times New Roman" w:hAnsi="Times New Roman" w:cs="Times New Roman" w:eastAsia="Times New Roman" w:hint="default"/>
          <w:b/>
          <w:bCs/>
          <w:w w:val="99"/>
          <w:sz w:val="28"/>
          <w:szCs w:val="28"/>
        </w:rPr>
        <w:t>”</w:t>
      </w:r>
      <w:r>
        <w:rPr>
          <w:rFonts w:ascii="宋体" w:hAnsi="宋体" w:cs="宋体" w:eastAsia="宋体" w:hint="default"/>
          <w:b/>
          <w:bCs/>
          <w:spacing w:val="1"/>
          <w:w w:val="99"/>
          <w:sz w:val="28"/>
          <w:szCs w:val="28"/>
        </w:rPr>
        <w:t>之</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九</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（四</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可能面</w:t>
      </w:r>
      <w:r>
        <w:rPr>
          <w:rFonts w:ascii="宋体" w:hAnsi="宋体" w:cs="宋体" w:eastAsia="宋体" w:hint="default"/>
          <w:b/>
          <w:bCs/>
          <w:spacing w:val="2"/>
          <w:w w:val="99"/>
          <w:sz w:val="28"/>
          <w:szCs w:val="28"/>
        </w:rPr>
        <w:t>对</w:t>
      </w:r>
      <w:r>
        <w:rPr>
          <w:rFonts w:ascii="宋体" w:hAnsi="宋体" w:cs="宋体" w:eastAsia="宋体" w:hint="default"/>
          <w:b/>
          <w:bCs/>
          <w:w w:val="99"/>
          <w:sz w:val="28"/>
          <w:szCs w:val="28"/>
        </w:rPr>
        <w:t>的风</w:t>
      </w:r>
      <w:r>
        <w:rPr>
          <w:rFonts w:ascii="宋体" w:hAnsi="宋体" w:cs="宋体" w:eastAsia="宋体" w:hint="default"/>
          <w:b/>
          <w:bCs/>
          <w:spacing w:val="4"/>
          <w:w w:val="99"/>
          <w:sz w:val="28"/>
          <w:szCs w:val="28"/>
        </w:rPr>
        <w:t>险</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605" w:right="358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202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605" w:right="358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公司、本公司、顺利办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顺利办信息服务股份有限公司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易桥财税科技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企业管家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企业管家（北京）科技服务有限公司（公司子公司）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快马财税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易桥快马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霍尔果斯易桥快马企业管理咨询有限公司（公司子公司之子公司）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青海宁达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青海宁达创业投资有限公司（公司子公司）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北京办饭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北京办饭餐饮管理有限公司（公司子公司）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03979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顺利办</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000606</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顺利办信息服务股份有限公司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顺利办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Shunliban Information Service</w:t>
            </w:r>
            <w:r>
              <w:rPr>
                <w:rFonts w:ascii="Times New Roman"/>
                <w:spacing w:val="-7"/>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Shunliban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彭聪</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810008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810008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www.shunliban.com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zhengq@my0606.com.cn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寇永仓</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楼</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0971-8013495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0971-8013495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0971-5226338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0971-5226338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huanghy@12366.com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kouyc@12366.com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青海省西宁市城西区五四西路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BodyText"/>
        <w:spacing w:line="240" w:lineRule="auto" w:before="44"/>
        <w:ind w:left="0" w:right="1138"/>
        <w:jc w:val="right"/>
      </w:pPr>
      <w:r>
        <w:rPr/>
        <w:pict>
          <v:shape style="position:absolute;margin-left:56.459999pt;margin-top:-119.068298pt;width:479.2pt;height:185.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月，公司完成重大资产重组发行股份购买资产事项，形成</w:t>
                        </w:r>
                        <w:r>
                          <w:rPr>
                            <w:rFonts w:ascii="Times New Roman" w:hAnsi="Times New Roman" w:cs="Times New Roman" w:eastAsia="Times New Roman" w:hint="default"/>
                            <w:sz w:val="18"/>
                            <w:szCs w:val="18"/>
                          </w:rPr>
                          <w:t>“</w:t>
                        </w:r>
                        <w:r>
                          <w:rPr>
                            <w:rFonts w:ascii="宋体" w:hAnsi="宋体" w:cs="宋体" w:eastAsia="宋体" w:hint="default"/>
                            <w:sz w:val="18"/>
                            <w:szCs w:val="18"/>
                          </w:rPr>
                          <w:t>企业互联网 服务业务为主导，制造业务为支撑</w:t>
                        </w:r>
                        <w:r>
                          <w:rPr>
                            <w:rFonts w:ascii="Times New Roman" w:hAnsi="Times New Roman" w:cs="Times New Roman" w:eastAsia="Times New Roman" w:hint="default"/>
                            <w:sz w:val="18"/>
                            <w:szCs w:val="18"/>
                          </w:rPr>
                          <w:t>”</w:t>
                        </w:r>
                        <w:r>
                          <w:rPr>
                            <w:rFonts w:ascii="宋体" w:hAnsi="宋体" w:cs="宋体" w:eastAsia="宋体" w:hint="default"/>
                            <w:sz w:val="18"/>
                            <w:szCs w:val="18"/>
                          </w:rPr>
                          <w:t>的双主业发展模式。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月，公司完成 重大资产出售暨关联交易事项，公司主业变更为企业互联网服务业务为主的发展 模式。</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月，公司第一大股东变更为青海企业技术创新投资管理有限责任公司。</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年初，公司第一大股东变更为天津泰达科技风险投资股份有限公司（后更名</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天津泰达</w:t>
                        </w:r>
                        <w:r>
                          <w:rPr>
                            <w:rFonts w:ascii="宋体" w:hAnsi="宋体" w:cs="宋体" w:eastAsia="宋体" w:hint="default"/>
                            <w:spacing w:val="1"/>
                            <w:sz w:val="18"/>
                            <w:szCs w:val="18"/>
                          </w:rPr>
                          <w:t>科</w:t>
                        </w:r>
                        <w:r>
                          <w:rPr>
                            <w:rFonts w:ascii="宋体" w:hAnsi="宋体" w:cs="宋体" w:eastAsia="宋体" w:hint="default"/>
                            <w:sz w:val="18"/>
                            <w:szCs w:val="18"/>
                          </w:rPr>
                          <w:t>技投资股份有限公司</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日起变更为无实际控制人</w:t>
                        </w:r>
                      </w:p>
                      <w:p>
                        <w:pPr>
                          <w:pStyle w:val="TableParagraph"/>
                          <w:spacing w:line="309" w:lineRule="auto" w:before="63"/>
                          <w:ind w:left="23" w:right="43"/>
                          <w:jc w:val="both"/>
                          <w:rPr>
                            <w:rFonts w:ascii="宋体" w:hAnsi="宋体" w:cs="宋体" w:eastAsia="宋体" w:hint="default"/>
                            <w:sz w:val="18"/>
                            <w:szCs w:val="18"/>
                          </w:rPr>
                        </w:pPr>
                        <w:r>
                          <w:rPr>
                            <w:rFonts w:ascii="宋体" w:hAnsi="宋体" w:cs="宋体" w:eastAsia="宋体" w:hint="default"/>
                            <w:sz w:val="18"/>
                            <w:szCs w:val="18"/>
                          </w:rPr>
                          <w:t>天津泰达科技投资股份有限公司仍为第一大股东。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日第一大股东 变更为连良桂，由于与天津泰达科技投资股份有限公司为一致行动人，在无实际 控制人情况下，仍由天津泰达科技投资股份有限公司行使控股股东权利和义务。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樊灿宇、栾宏飞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735,139,995.00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515,934,484.75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411,857,725.46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93,282,489.53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64,215,586.67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45,818,308.29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102,036,069.55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-112,158,537.52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23,462,864.90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53,874,961.75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-30,910,947.64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22,037,147.38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0.0726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4,166,375,290.20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3,838,043,648.14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3,129,740,346.81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2,783,928,517.26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2,745,459,301.11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2,791,818,367.84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149,746,449.03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180,341,092.95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229,059,461.23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175,992,991.79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41,372,621.18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18,678,562.58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254,625,977.06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-221,394,671.29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26,113,989.50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18,614,421.03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78,903,658.99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-21,595,999.97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-46,678,266.04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-59,244,012.16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1,762,708.03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158,034,531.92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-82,585,044.79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31,020,911.35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-766,329.72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3,641,940.00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3,515,119.40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2,326,260.48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37,075,053.74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3,854,317.38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4,973,960.26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617,050.55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12,498,373.09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110,272,632.38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10,943,364.01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12,097,348.15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-10,026,448.05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-3,405,605.42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19,071,085.74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 计量产生的利得</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35,592,646.95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-6,769,654.18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190,096.48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1,973,733.45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622,814.98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267,008.41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4,456,648.80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-8,753,580.02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176,374,124.19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22,355,443.39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2" w:lineRule="auto" w:before="25"/>
        <w:ind w:right="1032"/>
        <w:jc w:val="left"/>
      </w:pPr>
      <w:r>
        <w:rPr/>
        <w:t>（一）公司从事的主要业务以及经营模式 公司从事企业互联网服务业务，提供企业注册、财税、知产、投融资等多项服务，是解决所有企业发展过程中面临的</w:t>
      </w:r>
      <w:r>
        <w:rPr>
          <w:rFonts w:ascii="Times New Roman" w:hAnsi="Times New Roman" w:cs="Times New Roman" w:eastAsia="Times New Roman" w:hint="default"/>
        </w:rPr>
        <w:t>“</w:t>
      </w:r>
      <w:r>
        <w:rPr/>
        <w:t>人、 财、物、税、事</w:t>
      </w:r>
      <w:r>
        <w:rPr>
          <w:rFonts w:ascii="Times New Roman" w:hAnsi="Times New Roman" w:cs="Times New Roman" w:eastAsia="Times New Roman" w:hint="default"/>
        </w:rPr>
        <w:t>”</w:t>
      </w:r>
      <w:r>
        <w:rPr/>
        <w:t>等方方面面的问题。公司多年深耕于企业服务领域，以线上互联网平台的</w:t>
      </w:r>
      <w:r>
        <w:rPr>
          <w:rFonts w:ascii="Times New Roman" w:hAnsi="Times New Roman" w:cs="Times New Roman" w:eastAsia="Times New Roman" w:hint="default"/>
        </w:rPr>
        <w:t>O2O</w:t>
      </w:r>
      <w:r>
        <w:rPr/>
        <w:t>经营模式，线下连锁门店协 同服务，实现了企业服务的互联网化和标准化。公司布局百城千店以工商代办、代理记账等全国通办基础业务为价值原点， 结合顾问咨询、人力资本、无形资产、金融保险等</w:t>
      </w:r>
      <w:r>
        <w:rPr>
          <w:rFonts w:ascii="Times New Roman" w:hAnsi="Times New Roman" w:cs="Times New Roman" w:eastAsia="Times New Roman" w:hint="default"/>
        </w:rPr>
        <w:t>“4S”</w:t>
      </w:r>
      <w:r>
        <w:rPr/>
        <w:t>业务体系，提供一站式全生命周期的企业服务。 </w:t>
      </w:r>
      <w:r>
        <w:rPr>
          <w:spacing w:val="-2"/>
        </w:rPr>
        <w:t>销售模式：公司线下连锁服务网点遍布于全国各主要城市，通过在各地设立的分支机构及加盟、合作机构，由各网点人员直</w:t>
      </w:r>
      <w:r>
        <w:rPr>
          <w:spacing w:val="-66"/>
        </w:rPr>
        <w:t> </w:t>
      </w:r>
      <w:r>
        <w:rPr>
          <w:spacing w:val="-66"/>
        </w:rPr>
      </w:r>
      <w:r>
        <w:rPr>
          <w:spacing w:val="-4"/>
        </w:rPr>
        <w:t>接对区域内客户进行服务推介及相关的市场推广工作。同时，公司通过线上平台，提供便捷的异地跨区服务，吸引大量客户，</w:t>
      </w:r>
      <w:r>
        <w:rPr>
          <w:spacing w:val="-46"/>
        </w:rPr>
        <w:t> </w:t>
      </w:r>
      <w:r>
        <w:rPr>
          <w:spacing w:val="-46"/>
        </w:rPr>
      </w:r>
      <w:r>
        <w:rPr/>
        <w:t>有效提升公司品牌影响力。 </w:t>
      </w:r>
      <w:r>
        <w:rPr>
          <w:spacing w:val="-2"/>
        </w:rPr>
        <w:t>服务模式：⑴顾问咨询业务是接受企业的委托，全方位、多角度、多渠道为客户提供筹划咨询、架构设计、交易设计、节税</w:t>
      </w:r>
      <w:r>
        <w:rPr>
          <w:spacing w:val="-72"/>
        </w:rPr>
        <w:t> </w:t>
      </w:r>
      <w:r>
        <w:rPr>
          <w:spacing w:val="-72"/>
        </w:rPr>
      </w:r>
      <w:r>
        <w:rPr>
          <w:spacing w:val="-2"/>
        </w:rPr>
        <w:t>落地全案服务，尽可能降低企业经营管理上的风险，以提高企业的经营能力。⑵人力资本业务基于灵活用工、人事外包、业</w:t>
      </w:r>
      <w:r>
        <w:rPr>
          <w:spacing w:val="-66"/>
        </w:rPr>
        <w:t> </w:t>
      </w:r>
      <w:r>
        <w:rPr>
          <w:spacing w:val="-66"/>
        </w:rPr>
      </w:r>
      <w:r>
        <w:rPr>
          <w:spacing w:val="-2"/>
        </w:rPr>
        <w:t>务流程外包等业务，解决企业多种用工需求，打造雇员经济圈。根据客户需求完成外包人员管理及工资发放、代报个税等业</w:t>
      </w:r>
      <w:r>
        <w:rPr>
          <w:spacing w:val="-66"/>
        </w:rPr>
        <w:t> </w:t>
      </w:r>
      <w:r>
        <w:rPr>
          <w:spacing w:val="-66"/>
        </w:rPr>
      </w:r>
      <w:r>
        <w:rPr>
          <w:spacing w:val="-2"/>
        </w:rPr>
        <w:t>务，让中小企业及雇员都能够享受与大型企业同样专业的人力资本服务。⑶无形资产业务是通过知识产权、资质审批、商标</w:t>
      </w:r>
      <w:r>
        <w:rPr>
          <w:spacing w:val="-65"/>
        </w:rPr>
        <w:t> </w:t>
      </w:r>
      <w:r>
        <w:rPr>
          <w:spacing w:val="-65"/>
        </w:rPr>
      </w:r>
      <w:r>
        <w:rPr>
          <w:spacing w:val="-2"/>
        </w:rPr>
        <w:t>注册等服务，帮助企业实现无形资产有效的经营、管理和维护，避免无形资产流失或受到损害。⑷全国通办业务包括工商代</w:t>
      </w:r>
      <w:r>
        <w:rPr>
          <w:spacing w:val="-66"/>
        </w:rPr>
        <w:t> </w:t>
      </w:r>
      <w:r>
        <w:rPr>
          <w:spacing w:val="-66"/>
        </w:rPr>
      </w:r>
      <w:r>
        <w:rPr>
          <w:spacing w:val="-2"/>
        </w:rPr>
        <w:t>办、变更年检、税务协助、代理记账、纳税申报、汇算清缴等服务，委派专业的顾问人员与客户进行沟通并完成客户的委托</w:t>
      </w:r>
      <w:r>
        <w:rPr>
          <w:spacing w:val="-67"/>
        </w:rPr>
        <w:t> </w:t>
      </w:r>
      <w:r>
        <w:rPr>
          <w:spacing w:val="-67"/>
        </w:rPr>
      </w:r>
      <w:r>
        <w:rPr>
          <w:spacing w:val="-2"/>
        </w:rPr>
        <w:t>事项。目前大部分分支机构已采用</w:t>
      </w:r>
      <w:r>
        <w:rPr>
          <w:rFonts w:ascii="Times New Roman" w:hAnsi="Times New Roman" w:cs="Times New Roman" w:eastAsia="Times New Roman" w:hint="default"/>
          <w:spacing w:val="-2"/>
        </w:rPr>
        <w:t>SaaS</w:t>
      </w:r>
      <w:r>
        <w:rPr>
          <w:spacing w:val="-2"/>
        </w:rPr>
        <w:t>软件为客户提供在线记账报税服务。通办业务的客户主要为全国中小微企业，为公司</w:t>
      </w:r>
      <w:r>
        <w:rPr>
          <w:spacing w:val="-63"/>
        </w:rPr>
        <w:t> </w:t>
      </w:r>
      <w:r>
        <w:rPr>
          <w:spacing w:val="-63"/>
        </w:rPr>
      </w:r>
      <w:r>
        <w:rPr/>
        <w:t>建立大数据中心提供了精准有效的信息源。 盈利模式：顾问咨询等</w:t>
      </w:r>
      <w:r>
        <w:rPr>
          <w:rFonts w:ascii="Times New Roman" w:hAnsi="Times New Roman" w:cs="Times New Roman" w:eastAsia="Times New Roman" w:hint="default"/>
        </w:rPr>
        <w:t>4S</w:t>
      </w:r>
      <w:r>
        <w:rPr/>
        <w:t>业务参照同行业同类业务并结合自身资源优势报价，以服务项目为单位进行计费；全国通办业务 </w:t>
      </w:r>
      <w:r>
        <w:rPr>
          <w:spacing w:val="-4"/>
        </w:rPr>
        <w:t>主要参考市场同类业务收费情况，结合公司产品优势和技术优势进行市场化定价，并根据客户规模按年、按季或者按月收费。</w:t>
      </w:r>
    </w:p>
    <w:p>
      <w:pPr>
        <w:pStyle w:val="BodyText"/>
        <w:spacing w:line="316" w:lineRule="auto" w:before="22"/>
        <w:ind w:right="7532"/>
        <w:jc w:val="left"/>
      </w:pPr>
      <w:r>
        <w:rPr/>
        <w:t>（二）行业发展情况说明 详见本报告</w:t>
      </w:r>
      <w:r>
        <w:rPr>
          <w:rFonts w:ascii="Times New Roman" w:hAnsi="Times New Roman" w:cs="Times New Roman" w:eastAsia="Times New Roman" w:hint="default"/>
        </w:rPr>
        <w:t>“</w:t>
      </w:r>
      <w:r>
        <w:rPr/>
        <w:t>公司未来发展的展望</w:t>
      </w:r>
      <w:r>
        <w:rPr>
          <w:rFonts w:ascii="Times New Roman" w:hAnsi="Times New Roman" w:cs="Times New Roman" w:eastAsia="Times New Roman" w:hint="default"/>
        </w:rPr>
        <w:t>”</w:t>
      </w:r>
      <w:r>
        <w:rPr/>
        <w:t>部分。</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本期较年初减少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44.64%</w:t>
            </w:r>
            <w:r>
              <w:rPr>
                <w:rFonts w:ascii="宋体" w:hAnsi="宋体" w:cs="宋体" w:eastAsia="宋体" w:hint="default"/>
                <w:sz w:val="18"/>
                <w:szCs w:val="18"/>
              </w:rPr>
              <w:t>，主要是公司本期处置部分持有的终端资产。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63.69%</w:t>
            </w:r>
            <w:r>
              <w:rPr>
                <w:rFonts w:ascii="宋体" w:hAnsi="宋体" w:cs="宋体" w:eastAsia="宋体" w:hint="default"/>
                <w:sz w:val="18"/>
                <w:szCs w:val="18"/>
              </w:rPr>
              <w:t>，主要是本期公司支付股权收购款。</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firstLine="90"/>
              <w:jc w:val="left"/>
              <w:rPr>
                <w:rFonts w:ascii="宋体" w:hAnsi="宋体" w:cs="宋体" w:eastAsia="宋体" w:hint="default"/>
                <w:sz w:val="18"/>
                <w:szCs w:val="18"/>
              </w:rPr>
            </w:pPr>
            <w:r>
              <w:rPr>
                <w:rFonts w:ascii="宋体" w:hAnsi="宋体" w:cs="宋体" w:eastAsia="宋体" w:hint="default"/>
                <w:sz w:val="18"/>
                <w:szCs w:val="18"/>
              </w:rPr>
              <w:t>本期较年初增加</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180.12%</w:t>
            </w:r>
            <w:r>
              <w:rPr>
                <w:rFonts w:ascii="宋体" w:hAnsi="宋体" w:cs="宋体" w:eastAsia="宋体" w:hint="default"/>
                <w:spacing w:val="-3"/>
                <w:sz w:val="18"/>
                <w:szCs w:val="18"/>
              </w:rPr>
              <w:t>，主要是公司合并范围增加及公司服务业销售增加导致应</w:t>
            </w:r>
            <w:r>
              <w:rPr>
                <w:rFonts w:ascii="宋体" w:hAnsi="宋体" w:cs="宋体" w:eastAsia="宋体" w:hint="default"/>
                <w:sz w:val="18"/>
                <w:szCs w:val="18"/>
              </w:rPr>
              <w:t> 收账款增加。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45.95%</w:t>
            </w:r>
            <w:r>
              <w:rPr>
                <w:rFonts w:ascii="宋体" w:hAnsi="宋体" w:cs="宋体" w:eastAsia="宋体" w:hint="default"/>
                <w:sz w:val="18"/>
                <w:szCs w:val="18"/>
              </w:rPr>
              <w:t>，主要是本期公司预付各项目服务费增加。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212.48%</w:t>
            </w:r>
            <w:r>
              <w:rPr>
                <w:rFonts w:ascii="宋体" w:hAnsi="宋体" w:cs="宋体" w:eastAsia="宋体" w:hint="default"/>
                <w:sz w:val="18"/>
                <w:szCs w:val="18"/>
              </w:rPr>
              <w:t>，主要是公司合并范围及应收股利增加所致。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89.01%</w:t>
            </w:r>
            <w:r>
              <w:rPr>
                <w:rFonts w:ascii="宋体" w:hAnsi="宋体" w:cs="宋体" w:eastAsia="宋体" w:hint="default"/>
                <w:sz w:val="18"/>
                <w:szCs w:val="18"/>
              </w:rPr>
              <w:t>，主要库存商品销售所致。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73.03%</w:t>
            </w:r>
            <w:r>
              <w:rPr>
                <w:rFonts w:ascii="宋体" w:hAnsi="宋体" w:cs="宋体" w:eastAsia="宋体" w:hint="default"/>
                <w:sz w:val="18"/>
                <w:szCs w:val="18"/>
              </w:rPr>
              <w:t>，主要是公司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亿理财到期收回。</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58.95%</w:t>
            </w:r>
            <w:r>
              <w:rPr>
                <w:rFonts w:ascii="宋体" w:hAnsi="宋体" w:cs="宋体" w:eastAsia="宋体" w:hint="default"/>
                <w:sz w:val="18"/>
                <w:szCs w:val="18"/>
              </w:rPr>
              <w:t>，主要是本期公司募投项目研发支出所致。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72.46%</w:t>
            </w:r>
            <w:r>
              <w:rPr>
                <w:rFonts w:ascii="宋体" w:hAnsi="宋体" w:cs="宋体" w:eastAsia="宋体" w:hint="default"/>
                <w:sz w:val="18"/>
                <w:szCs w:val="18"/>
              </w:rPr>
              <w:t>，主要是本期合并范围增加所致。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41.46%</w:t>
            </w:r>
            <w:r>
              <w:rPr>
                <w:rFonts w:ascii="宋体" w:hAnsi="宋体" w:cs="宋体" w:eastAsia="宋体" w:hint="default"/>
                <w:sz w:val="18"/>
                <w:szCs w:val="18"/>
              </w:rPr>
              <w:t>，主要是公司本期摊销确认费用所致。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0" w:lineRule="auto" w:before="25"/>
        <w:ind w:right="1152"/>
        <w:jc w:val="left"/>
      </w:pPr>
      <w:r>
        <w:rPr>
          <w:rFonts w:ascii="Times New Roman" w:hAnsi="Times New Roman" w:cs="Times New Roman" w:eastAsia="Times New Roman" w:hint="default"/>
        </w:rPr>
        <w:t>1</w:t>
      </w:r>
      <w:r>
        <w:rPr/>
        <w:t>、领先的经营模式 公司率先进行企业服务互联网化，旗下神州顺利办企业运营服务平台，通过</w:t>
      </w:r>
      <w:r>
        <w:rPr>
          <w:rFonts w:ascii="Times New Roman" w:hAnsi="Times New Roman" w:cs="Times New Roman" w:eastAsia="Times New Roman" w:hint="default"/>
        </w:rPr>
        <w:t>“</w:t>
      </w:r>
      <w:r>
        <w:rPr/>
        <w:t>百城千店</w:t>
      </w:r>
      <w:r>
        <w:rPr>
          <w:rFonts w:ascii="Times New Roman" w:hAnsi="Times New Roman" w:cs="Times New Roman" w:eastAsia="Times New Roman" w:hint="default"/>
        </w:rPr>
        <w:t>”</w:t>
      </w:r>
      <w:r>
        <w:rPr/>
        <w:t>在线下布局数千家面向企业</w:t>
      </w:r>
      <w:r>
        <w:rPr>
          <w:rFonts w:ascii="Times New Roman" w:hAnsi="Times New Roman" w:cs="Times New Roman" w:eastAsia="Times New Roman" w:hint="default"/>
        </w:rPr>
        <w:t>“</w:t>
      </w:r>
      <w:r>
        <w:rPr/>
        <w:t>最后一 公里</w:t>
      </w:r>
      <w:r>
        <w:rPr>
          <w:rFonts w:ascii="Times New Roman" w:hAnsi="Times New Roman" w:cs="Times New Roman" w:eastAsia="Times New Roman" w:hint="default"/>
        </w:rPr>
        <w:t>”</w:t>
      </w:r>
      <w:r>
        <w:rPr/>
        <w:t>的企业服务运营中心，将企业服务线上线下联动起来，形成企业服务的标准化与规模化。</w:t>
      </w:r>
    </w:p>
    <w:p>
      <w:pPr>
        <w:pStyle w:val="BodyText"/>
        <w:spacing w:line="312" w:lineRule="auto" w:before="13"/>
        <w:ind w:right="0"/>
        <w:jc w:val="left"/>
      </w:pPr>
      <w:r>
        <w:rPr>
          <w:rFonts w:ascii="Times New Roman" w:hAnsi="Times New Roman" w:cs="Times New Roman" w:eastAsia="Times New Roman" w:hint="default"/>
        </w:rPr>
        <w:t>2</w:t>
      </w:r>
      <w:r>
        <w:rPr/>
        <w:t>、丰富的产品经验 </w:t>
      </w:r>
      <w:r>
        <w:rPr>
          <w:spacing w:val="-2"/>
        </w:rPr>
        <w:t>公司深耕于企业服务多年，提供企业注册、代理记账、申请商标、人事社保、资质审批、空间服务、资本服务、金融服务等</w:t>
      </w:r>
      <w:r>
        <w:rPr>
          <w:spacing w:val="-67"/>
        </w:rPr>
        <w:t> </w:t>
      </w:r>
      <w:r>
        <w:rPr>
          <w:spacing w:val="-67"/>
        </w:rPr>
      </w:r>
      <w:r>
        <w:rPr>
          <w:spacing w:val="-4"/>
        </w:rPr>
        <w:t>全生命周期一站式服务，有着丰富的产品开发和服务等优势，并通过现代级企业服务平台使服务和产品更加规范化、多样化，</w:t>
      </w:r>
      <w:r>
        <w:rPr>
          <w:spacing w:val="-44"/>
        </w:rPr>
        <w:t> </w:t>
      </w:r>
      <w:r>
        <w:rPr>
          <w:spacing w:val="-44"/>
        </w:rPr>
      </w:r>
      <w:r>
        <w:rPr/>
        <w:t>满足企业发展过程中的标准化服务和定制化服务的全部需求。</w:t>
      </w:r>
    </w:p>
    <w:p>
      <w:pPr>
        <w:pStyle w:val="BodyText"/>
        <w:spacing w:line="304" w:lineRule="auto" w:before="23"/>
        <w:ind w:right="1118"/>
        <w:jc w:val="left"/>
      </w:pPr>
      <w:r>
        <w:rPr>
          <w:rFonts w:ascii="Times New Roman" w:hAnsi="Times New Roman" w:cs="Times New Roman" w:eastAsia="Times New Roman" w:hint="default"/>
        </w:rPr>
        <w:t>3</w:t>
      </w:r>
      <w:r>
        <w:rPr/>
        <w:t>、成熟的线下体系 </w:t>
      </w:r>
      <w:r>
        <w:rPr>
          <w:spacing w:val="-2"/>
        </w:rPr>
        <w:t>公司经过多年的行业积累、技术发展、服务经验，业务覆盖</w:t>
      </w:r>
      <w:r>
        <w:rPr>
          <w:rFonts w:ascii="Times New Roman" w:hAnsi="Times New Roman" w:cs="Times New Roman" w:eastAsia="Times New Roman" w:hint="default"/>
          <w:spacing w:val="-2"/>
        </w:rPr>
        <w:t>31</w:t>
      </w:r>
      <w:r>
        <w:rPr>
          <w:spacing w:val="-2"/>
        </w:rPr>
        <w:t>个省、市、自治区，进行全国布局。通过品牌、增值产品、技</w:t>
      </w:r>
      <w:r>
        <w:rPr>
          <w:spacing w:val="-67"/>
        </w:rPr>
        <w:t> </w:t>
      </w:r>
      <w:r>
        <w:rPr>
          <w:spacing w:val="-67"/>
        </w:rPr>
      </w:r>
      <w:r>
        <w:rPr/>
        <w:t>术支撑的升级，整合更多的资源进入公司的服务体系；通过品牌升级打开服务的广度和深度，增强公司的获客能力。 </w:t>
      </w:r>
      <w:r>
        <w:rPr>
          <w:rFonts w:ascii="Times New Roman" w:hAnsi="Times New Roman" w:cs="Times New Roman" w:eastAsia="Times New Roman" w:hint="default"/>
        </w:rPr>
        <w:t>4</w:t>
      </w:r>
      <w:r>
        <w:rPr/>
        <w:t>、广泛的用户基础 </w:t>
      </w:r>
      <w:r>
        <w:rPr>
          <w:spacing w:val="-2"/>
        </w:rPr>
        <w:t>公司发展至今，聚集了大量高粘度企业用户，而公司的线上线下协同一体化布局及配套的</w:t>
      </w:r>
      <w:r>
        <w:rPr>
          <w:rFonts w:ascii="Times New Roman" w:hAnsi="Times New Roman" w:cs="Times New Roman" w:eastAsia="Times New Roman" w:hint="default"/>
          <w:spacing w:val="-2"/>
        </w:rPr>
        <w:t>“4S”</w:t>
      </w:r>
      <w:r>
        <w:rPr>
          <w:spacing w:val="-2"/>
        </w:rPr>
        <w:t>服务体系进一步提高客户的忠</w:t>
      </w:r>
      <w:r>
        <w:rPr>
          <w:spacing w:val="-50"/>
        </w:rPr>
        <w:t> </w:t>
      </w:r>
      <w:r>
        <w:rPr>
          <w:spacing w:val="-50"/>
        </w:rPr>
      </w:r>
      <w:r>
        <w:rPr/>
        <w:t>诚度，并通过合伙人</w:t>
      </w:r>
      <w:r>
        <w:rPr>
          <w:rFonts w:ascii="Times New Roman" w:hAnsi="Times New Roman" w:cs="Times New Roman" w:eastAsia="Times New Roman" w:hint="default"/>
        </w:rPr>
        <w:t>+</w:t>
      </w:r>
      <w:r>
        <w:rPr/>
        <w:t>企业服务平台模式扩张服务网点，用户规模亦快速增长。</w:t>
      </w:r>
    </w:p>
    <w:p>
      <w:pPr>
        <w:pStyle w:val="BodyText"/>
        <w:spacing w:line="312" w:lineRule="auto" w:before="9"/>
        <w:ind w:right="0"/>
        <w:jc w:val="left"/>
      </w:pPr>
      <w:r>
        <w:rPr>
          <w:rFonts w:ascii="Times New Roman" w:hAnsi="Times New Roman" w:cs="Times New Roman" w:eastAsia="Times New Roman" w:hint="default"/>
        </w:rPr>
        <w:t>5</w:t>
      </w:r>
      <w:r>
        <w:rPr/>
        <w:t>、优质的人才团队 </w:t>
      </w:r>
      <w:r>
        <w:rPr>
          <w:spacing w:val="-2"/>
        </w:rPr>
        <w:t>公司为员工搭建了技术创新的良性互动平台，为公司的持续发展提供了强有力的人才保障。同时，通过内部培养和外部吸收</w:t>
      </w:r>
      <w:r>
        <w:rPr>
          <w:spacing w:val="-66"/>
        </w:rPr>
        <w:t> </w:t>
      </w:r>
      <w:r>
        <w:rPr>
          <w:spacing w:val="-66"/>
        </w:rPr>
      </w:r>
      <w:r>
        <w:rPr>
          <w:spacing w:val="-2"/>
        </w:rPr>
        <w:t>相结合的方式，储备大量的管理、技术及服务人才，具备丰富的行业经验和高度的策划实施能力，从而为业务的开展提供了</w:t>
      </w:r>
      <w:r>
        <w:rPr>
          <w:spacing w:val="-66"/>
        </w:rPr>
        <w:t> </w:t>
      </w:r>
      <w:r>
        <w:rPr>
          <w:spacing w:val="-66"/>
        </w:rPr>
      </w:r>
      <w:r>
        <w:rPr/>
        <w:t>强有力的支撑。</w:t>
      </w:r>
    </w:p>
    <w:p>
      <w:pPr>
        <w:pStyle w:val="BodyText"/>
        <w:spacing w:line="312" w:lineRule="auto" w:before="22"/>
        <w:ind w:right="0"/>
        <w:jc w:val="left"/>
      </w:pPr>
      <w:r>
        <w:rPr>
          <w:rFonts w:ascii="Times New Roman" w:hAnsi="Times New Roman" w:cs="Times New Roman" w:eastAsia="Times New Roman" w:hint="default"/>
        </w:rPr>
        <w:t>6</w:t>
      </w:r>
      <w:r>
        <w:rPr/>
        <w:t>、卓越的综合服务能力 </w:t>
      </w:r>
      <w:r>
        <w:rPr>
          <w:spacing w:val="-2"/>
        </w:rPr>
        <w:t>通过多年的财税服务，公司培养起一支强大的产品开发团队，在企业互联网服务业务的推进中，发挥着强大的作用。公司深</w:t>
      </w:r>
      <w:r>
        <w:rPr>
          <w:spacing w:val="-66"/>
        </w:rPr>
        <w:t> </w:t>
      </w:r>
      <w:r>
        <w:rPr>
          <w:spacing w:val="-66"/>
        </w:rPr>
      </w:r>
      <w:r>
        <w:rPr>
          <w:spacing w:val="-2"/>
        </w:rPr>
        <w:t>入了解企业发展过程中的痛点及需求，精准掌握企业客户的可标准化和个性化服务的各种需求，通过市场推广传播、政府支</w:t>
      </w:r>
      <w:r>
        <w:rPr>
          <w:spacing w:val="-66"/>
        </w:rPr>
        <w:t> </w:t>
      </w:r>
      <w:r>
        <w:rPr>
          <w:spacing w:val="-66"/>
        </w:rPr>
      </w:r>
      <w:r>
        <w:rPr/>
        <w:t>持、政策扶持等，形成与用户及资源良性互动的生态圈，具备了卓越的综合服务能力。</w:t>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2"/>
        <w:jc w:val="left"/>
      </w:pPr>
      <w:r>
        <w:rPr>
          <w:spacing w:val="-2"/>
        </w:rPr>
        <w:t>近年来，我国政府持续推进供给侧结构性改革，大力倡导大众创业、万众创新，中小微企业呈现快速发展的态势，庞大的企</w:t>
      </w:r>
      <w:r>
        <w:rPr>
          <w:spacing w:val="-66"/>
        </w:rPr>
        <w:t> </w:t>
      </w:r>
      <w:r>
        <w:rPr>
          <w:spacing w:val="-66"/>
        </w:rPr>
      </w:r>
      <w:r>
        <w:rPr>
          <w:spacing w:val="-5"/>
        </w:rPr>
        <w:t>业基数奠定了中国企业服务行业巨大的市场空间。政府相继出台了《关于加快推进中小企业服务体系建设的指导意见》、《关</w:t>
      </w:r>
      <w:r>
        <w:rPr>
          <w:spacing w:val="-80"/>
        </w:rPr>
        <w:t> </w:t>
      </w:r>
      <w:r>
        <w:rPr>
          <w:spacing w:val="-80"/>
        </w:rPr>
      </w:r>
      <w:r>
        <w:rPr>
          <w:spacing w:val="-2"/>
        </w:rPr>
        <w:t>于加强和改进基层会计管理工作的指导意见》等一系列鼓励、支持代理记账行业加速发展的政策法规，从制度层面提供了保</w:t>
      </w:r>
      <w:r>
        <w:rPr>
          <w:spacing w:val="-66"/>
        </w:rPr>
        <w:t> </w:t>
      </w:r>
      <w:r>
        <w:rPr>
          <w:spacing w:val="-66"/>
        </w:rPr>
      </w:r>
      <w:r>
        <w:rPr/>
        <w:t>障行业蓬勃发展的良好环境，也推动了行业规模、企业质量和盈利能力的提升。 </w:t>
      </w:r>
      <w:r>
        <w:rPr>
          <w:spacing w:val="-4"/>
        </w:rPr>
        <w:t>公司面向中小微企业提供全周期一站式孵化服务，满足其财税、运营、资源整合等多层次需求，帮助其降低成本、提高效率。</w:t>
      </w:r>
      <w:r>
        <w:rPr>
          <w:spacing w:val="-44"/>
        </w:rPr>
        <w:t> </w:t>
      </w:r>
      <w:r>
        <w:rPr>
          <w:spacing w:val="-44"/>
        </w:rPr>
      </w:r>
      <w:r>
        <w:rPr/>
        <w:t>同时，不断积累大量用户，并在此基础上有效整合社会资源，实施支撑中小微企业发展的</w:t>
      </w:r>
      <w:r>
        <w:rPr>
          <w:rFonts w:ascii="Times New Roman" w:hAnsi="Times New Roman" w:cs="Times New Roman" w:eastAsia="Times New Roman" w:hint="default"/>
        </w:rPr>
        <w:t>“</w:t>
      </w:r>
      <w:r>
        <w:rPr/>
        <w:t>品牌</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战略，进一步提升公 司竞争力。</w:t>
      </w:r>
    </w:p>
    <w:p>
      <w:pPr>
        <w:pStyle w:val="BodyText"/>
        <w:spacing w:line="302" w:lineRule="auto" w:before="20"/>
        <w:ind w:right="1041"/>
        <w:jc w:val="left"/>
      </w:pPr>
      <w:r>
        <w:rPr/>
        <w:t>（一）</w:t>
      </w:r>
      <w:r>
        <w:rPr>
          <w:rFonts w:ascii="Times New Roman" w:hAnsi="Times New Roman" w:cs="Times New Roman" w:eastAsia="Times New Roman" w:hint="default"/>
        </w:rPr>
        <w:t>2018</w:t>
      </w:r>
      <w:r>
        <w:rPr/>
        <w:t>年经营情况 </w:t>
      </w:r>
      <w:r>
        <w:rPr>
          <w:rFonts w:ascii="Times New Roman" w:hAnsi="Times New Roman" w:cs="Times New Roman" w:eastAsia="Times New Roman" w:hint="default"/>
        </w:rPr>
        <w:t>2018</w:t>
      </w:r>
      <w:r>
        <w:rPr/>
        <w:t>年，紧紧围绕</w:t>
      </w:r>
      <w:r>
        <w:rPr>
          <w:rFonts w:ascii="Times New Roman" w:hAnsi="Times New Roman" w:cs="Times New Roman" w:eastAsia="Times New Roman" w:hint="default"/>
        </w:rPr>
        <w:t>“</w:t>
      </w:r>
      <w:r>
        <w:rPr/>
        <w:t>品牌</w:t>
      </w:r>
      <w:r>
        <w:rPr>
          <w:rFonts w:ascii="Times New Roman" w:hAnsi="Times New Roman" w:cs="Times New Roman" w:eastAsia="Times New Roman" w:hint="default"/>
        </w:rPr>
        <w:t>+</w:t>
      </w:r>
      <w:r>
        <w:rPr/>
        <w:t>平台，构建</w:t>
      </w:r>
      <w:r>
        <w:rPr>
          <w:rFonts w:ascii="Times New Roman" w:hAnsi="Times New Roman" w:cs="Times New Roman" w:eastAsia="Times New Roman" w:hint="default"/>
        </w:rPr>
        <w:t>4S</w:t>
      </w:r>
      <w:r>
        <w:rPr/>
        <w:t>体系</w:t>
      </w:r>
      <w:r>
        <w:rPr>
          <w:rFonts w:ascii="Times New Roman" w:hAnsi="Times New Roman" w:cs="Times New Roman" w:eastAsia="Times New Roman" w:hint="default"/>
        </w:rPr>
        <w:t>”</w:t>
      </w:r>
      <w:r>
        <w:rPr/>
        <w:t>战略核心，公司全员凝心聚力，精耕企业服务市场，保持以高效、准确的服务 向客户提供最适用的产品。公司</w:t>
      </w:r>
      <w:r>
        <w:rPr>
          <w:rFonts w:ascii="Times New Roman" w:hAnsi="Times New Roman" w:cs="Times New Roman" w:eastAsia="Times New Roman" w:hint="default"/>
        </w:rPr>
        <w:t>“4S”</w:t>
      </w:r>
      <w:r>
        <w:rPr/>
        <w:t>体系包括顾问咨询体系，服务于企业规划；人力资本体系，服务于企业的</w:t>
      </w:r>
      <w:r>
        <w:rPr>
          <w:rFonts w:ascii="Times New Roman" w:hAnsi="Times New Roman" w:cs="Times New Roman" w:eastAsia="Times New Roman" w:hint="default"/>
        </w:rPr>
        <w:t>“</w:t>
      </w:r>
      <w:r>
        <w:rPr/>
        <w:t>人</w:t>
      </w:r>
      <w:r>
        <w:rPr>
          <w:rFonts w:ascii="Times New Roman" w:hAnsi="Times New Roman" w:cs="Times New Roman" w:eastAsia="Times New Roman" w:hint="default"/>
        </w:rPr>
        <w:t>”</w:t>
      </w:r>
      <w:r>
        <w:rPr/>
        <w:t>；无形资 </w:t>
      </w:r>
      <w:r>
        <w:rPr>
          <w:spacing w:val="-3"/>
        </w:rPr>
        <w:t>产管理，服务于企业的</w:t>
      </w:r>
      <w:r>
        <w:rPr>
          <w:rFonts w:ascii="Times New Roman" w:hAnsi="Times New Roman" w:cs="Times New Roman" w:eastAsia="Times New Roman" w:hint="default"/>
          <w:spacing w:val="-3"/>
        </w:rPr>
        <w:t>“</w:t>
      </w:r>
      <w:r>
        <w:rPr>
          <w:spacing w:val="-3"/>
        </w:rPr>
        <w:t>物</w:t>
      </w:r>
      <w:r>
        <w:rPr>
          <w:rFonts w:ascii="Times New Roman" w:hAnsi="Times New Roman" w:cs="Times New Roman" w:eastAsia="Times New Roman" w:hint="default"/>
          <w:spacing w:val="-3"/>
        </w:rPr>
        <w:t>”</w:t>
      </w:r>
      <w:r>
        <w:rPr>
          <w:spacing w:val="-3"/>
        </w:rPr>
        <w:t>；金融保险体系，服务于企业的</w:t>
      </w:r>
      <w:r>
        <w:rPr>
          <w:rFonts w:ascii="Times New Roman" w:hAnsi="Times New Roman" w:cs="Times New Roman" w:eastAsia="Times New Roman" w:hint="default"/>
          <w:spacing w:val="-3"/>
        </w:rPr>
        <w:t>“</w:t>
      </w:r>
      <w:r>
        <w:rPr>
          <w:spacing w:val="-3"/>
        </w:rPr>
        <w:t>财</w:t>
      </w:r>
      <w:r>
        <w:rPr>
          <w:rFonts w:ascii="Times New Roman" w:hAnsi="Times New Roman" w:cs="Times New Roman" w:eastAsia="Times New Roman" w:hint="default"/>
          <w:spacing w:val="-3"/>
        </w:rPr>
        <w:t>”</w:t>
      </w:r>
      <w:r>
        <w:rPr>
          <w:spacing w:val="-3"/>
        </w:rPr>
        <w:t>。报告期内，公司重点向百城千店输出人力资本、顾问咨询、</w:t>
      </w:r>
      <w:r>
        <w:rPr>
          <w:spacing w:val="-53"/>
        </w:rPr>
        <w:t> </w:t>
      </w:r>
      <w:r>
        <w:rPr>
          <w:spacing w:val="-53"/>
        </w:rPr>
      </w:r>
      <w:r>
        <w:rPr/>
        <w:t>无形资产业务，形成企业互联网服务业务新生态。 </w:t>
      </w:r>
      <w:r>
        <w:rPr>
          <w:rFonts w:ascii="Times New Roman" w:hAnsi="Times New Roman" w:cs="Times New Roman" w:eastAsia="Times New Roman" w:hint="default"/>
        </w:rPr>
        <w:t>2018</w:t>
      </w:r>
      <w:r>
        <w:rPr/>
        <w:t>年，公司实现营业收入</w:t>
      </w:r>
      <w:r>
        <w:rPr>
          <w:rFonts w:ascii="Times New Roman" w:hAnsi="Times New Roman" w:cs="Times New Roman" w:eastAsia="Times New Roman" w:hint="default"/>
        </w:rPr>
        <w:t>73,514.00</w:t>
      </w:r>
      <w:r>
        <w:rPr/>
        <w:t>万元，同口径剔除制造业营业收入后较上年同期增长</w:t>
      </w:r>
      <w:r>
        <w:rPr>
          <w:rFonts w:ascii="Times New Roman" w:hAnsi="Times New Roman" w:cs="Times New Roman" w:eastAsia="Times New Roman" w:hint="default"/>
        </w:rPr>
        <w:t>130.65%</w:t>
      </w:r>
      <w:r>
        <w:rPr/>
        <w:t>；实现营业利润</w:t>
      </w:r>
      <w:r>
        <w:rPr>
          <w:rFonts w:ascii="Times New Roman" w:hAnsi="Times New Roman" w:cs="Times New Roman" w:eastAsia="Times New Roman" w:hint="default"/>
        </w:rPr>
        <w:t>22,107.93 </w:t>
      </w:r>
      <w:r>
        <w:rPr/>
        <w:t>万元，较上年同期增长</w:t>
      </w:r>
      <w:r>
        <w:rPr>
          <w:rFonts w:ascii="Times New Roman" w:hAnsi="Times New Roman" w:cs="Times New Roman" w:eastAsia="Times New Roman" w:hint="default"/>
        </w:rPr>
        <w:t>156.85%</w:t>
      </w:r>
      <w:r>
        <w:rPr/>
        <w:t>；实现净利润</w:t>
      </w:r>
      <w:r>
        <w:rPr>
          <w:rFonts w:ascii="Times New Roman" w:hAnsi="Times New Roman" w:cs="Times New Roman" w:eastAsia="Times New Roman" w:hint="default"/>
        </w:rPr>
        <w:t>11,104.87</w:t>
      </w:r>
      <w:r>
        <w:rPr/>
        <w:t>万元，其中归属于上市公司股东净利润</w:t>
      </w:r>
      <w:r>
        <w:rPr>
          <w:rFonts w:ascii="Times New Roman" w:hAnsi="Times New Roman" w:cs="Times New Roman" w:eastAsia="Times New Roman" w:hint="default"/>
        </w:rPr>
        <w:t>9,328.25</w:t>
      </w:r>
      <w:r>
        <w:rPr/>
        <w:t>万元，较上年同期增 长</w:t>
      </w:r>
      <w:r>
        <w:rPr>
          <w:rFonts w:ascii="Times New Roman" w:hAnsi="Times New Roman" w:cs="Times New Roman" w:eastAsia="Times New Roman" w:hint="default"/>
        </w:rPr>
        <w:t>45.26%</w:t>
      </w:r>
      <w:r>
        <w:rPr/>
        <w:t>；实现每股收益</w:t>
      </w:r>
      <w:r>
        <w:rPr>
          <w:rFonts w:ascii="Times New Roman" w:hAnsi="Times New Roman" w:cs="Times New Roman" w:eastAsia="Times New Roman" w:hint="default"/>
        </w:rPr>
        <w:t>0.1218</w:t>
      </w:r>
      <w:r>
        <w:rPr/>
        <w:t>元。 其中：人力资本业务、企业综合服务业务、顾问咨询业务分别实现营业收入</w:t>
      </w:r>
      <w:r>
        <w:rPr>
          <w:rFonts w:ascii="Times New Roman" w:hAnsi="Times New Roman" w:cs="Times New Roman" w:eastAsia="Times New Roman" w:hint="default"/>
        </w:rPr>
        <w:t>28,444.93</w:t>
      </w:r>
      <w:r>
        <w:rPr/>
        <w:t>万元、</w:t>
      </w:r>
      <w:r>
        <w:rPr>
          <w:rFonts w:ascii="Times New Roman" w:hAnsi="Times New Roman" w:cs="Times New Roman" w:eastAsia="Times New Roman" w:hint="default"/>
        </w:rPr>
        <w:t>40,038.68</w:t>
      </w:r>
      <w:r>
        <w:rPr/>
        <w:t>万元、</w:t>
      </w:r>
      <w:r>
        <w:rPr>
          <w:rFonts w:ascii="Times New Roman" w:hAnsi="Times New Roman" w:cs="Times New Roman" w:eastAsia="Times New Roman" w:hint="default"/>
        </w:rPr>
        <w:t>4,776.73</w:t>
      </w:r>
      <w:r>
        <w:rPr/>
        <w:t>万元， 分别较上年同期增长</w:t>
      </w:r>
      <w:r>
        <w:rPr>
          <w:rFonts w:ascii="Times New Roman" w:hAnsi="Times New Roman" w:cs="Times New Roman" w:eastAsia="Times New Roman" w:hint="default"/>
        </w:rPr>
        <w:t>2,310.14%</w:t>
      </w:r>
      <w:r>
        <w:rPr/>
        <w:t>、</w:t>
      </w:r>
      <w:r>
        <w:rPr>
          <w:rFonts w:ascii="Times New Roman" w:hAnsi="Times New Roman" w:cs="Times New Roman" w:eastAsia="Times New Roman" w:hint="default"/>
        </w:rPr>
        <w:t>93.68%</w:t>
      </w:r>
      <w:r>
        <w:rPr/>
        <w:t>、</w:t>
      </w:r>
      <w:r>
        <w:rPr>
          <w:rFonts w:ascii="Times New Roman" w:hAnsi="Times New Roman" w:cs="Times New Roman" w:eastAsia="Times New Roman" w:hint="default"/>
        </w:rPr>
        <w:t>-49.52%</w:t>
      </w:r>
      <w:r>
        <w:rPr/>
        <w:t>。</w:t>
      </w:r>
    </w:p>
    <w:p>
      <w:pPr>
        <w:pStyle w:val="BodyText"/>
        <w:spacing w:line="240" w:lineRule="auto" w:before="11"/>
        <w:ind w:right="0"/>
        <w:jc w:val="left"/>
      </w:pPr>
      <w:r>
        <w:rPr/>
        <w:t>（二）报告期重点工作进展情况</w:t>
      </w:r>
    </w:p>
    <w:p>
      <w:pPr>
        <w:pStyle w:val="BodyText"/>
        <w:spacing w:line="309" w:lineRule="auto" w:before="76"/>
        <w:ind w:right="1117"/>
        <w:jc w:val="left"/>
      </w:pPr>
      <w:r>
        <w:rPr>
          <w:rFonts w:ascii="Times New Roman" w:hAnsi="Times New Roman" w:cs="Times New Roman" w:eastAsia="Times New Roman" w:hint="default"/>
        </w:rPr>
        <w:t>1</w:t>
      </w:r>
      <w:r>
        <w:rPr/>
        <w:t>、重大资产重组事项 </w:t>
      </w:r>
      <w:r>
        <w:rPr>
          <w:spacing w:val="-2"/>
        </w:rPr>
        <w:t>为了进一步提升公司盈利能力，报告期内筹划并实施完成重大资产购买事项，以现金方式购买霍尔果斯神州易桥股权投资合</w:t>
      </w:r>
      <w:r>
        <w:rPr>
          <w:spacing w:val="-64"/>
        </w:rPr>
        <w:t> </w:t>
      </w:r>
      <w:r>
        <w:rPr>
          <w:spacing w:val="-64"/>
        </w:rPr>
      </w:r>
      <w:r>
        <w:rPr>
          <w:spacing w:val="-1"/>
        </w:rPr>
        <w:t>伙企业（有限合伙）持有的霍尔果斯快马财税管理服务有限公司</w:t>
      </w:r>
      <w:r>
        <w:rPr>
          <w:rFonts w:ascii="Times New Roman" w:hAnsi="Times New Roman" w:cs="Times New Roman" w:eastAsia="Times New Roman" w:hint="default"/>
          <w:spacing w:val="-1"/>
        </w:rPr>
        <w:t>60%</w:t>
      </w:r>
      <w:r>
        <w:rPr>
          <w:spacing w:val="-1"/>
        </w:rPr>
        <w:t>股权。公司外延式并购，可以获取海量的遍布全国各地</w:t>
      </w:r>
      <w:r>
        <w:rPr/>
        <w:t> 的中小微企业客户流量入口，整合行业优质资源，可以实现公司战略，与公司的主营业务形成规模效应和协同效应。 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日完成。</w:t>
      </w:r>
    </w:p>
    <w:p>
      <w:pPr>
        <w:pStyle w:val="BodyText"/>
        <w:spacing w:line="307" w:lineRule="auto" w:before="5"/>
        <w:ind w:right="1118"/>
        <w:jc w:val="left"/>
      </w:pPr>
      <w:r>
        <w:rPr>
          <w:rFonts w:ascii="Times New Roman" w:hAnsi="Times New Roman" w:cs="Times New Roman" w:eastAsia="Times New Roman" w:hint="default"/>
        </w:rPr>
        <w:t>2</w:t>
      </w:r>
      <w:r>
        <w:rPr/>
        <w:t>、融资事项 </w:t>
      </w:r>
      <w:r>
        <w:rPr>
          <w:spacing w:val="-2"/>
        </w:rPr>
        <w:t>为满足公司及子公司的经营发展所需，以及支付公司重大资产重组购买对价款，公司拟向昆仑信托有限责任公司申请最高额</w:t>
      </w:r>
      <w:r>
        <w:rPr>
          <w:spacing w:val="-64"/>
        </w:rPr>
        <w:t> </w:t>
      </w:r>
      <w:r>
        <w:rPr>
          <w:spacing w:val="-64"/>
        </w:rPr>
      </w:r>
      <w:r>
        <w:rPr>
          <w:spacing w:val="-1"/>
        </w:rPr>
        <w:t>不超过</w:t>
      </w:r>
      <w:r>
        <w:rPr>
          <w:rFonts w:ascii="Times New Roman" w:hAnsi="Times New Roman" w:cs="Times New Roman" w:eastAsia="Times New Roman" w:hint="default"/>
          <w:spacing w:val="-1"/>
        </w:rPr>
        <w:t>50,000</w:t>
      </w:r>
      <w:r>
        <w:rPr>
          <w:spacing w:val="-1"/>
        </w:rPr>
        <w:t>万元的信托贷款，具体借款金额以实际放款数额为准，期限为不超过</w:t>
      </w:r>
      <w:r>
        <w:rPr>
          <w:rFonts w:ascii="Times New Roman" w:hAnsi="Times New Roman" w:cs="Times New Roman" w:eastAsia="Times New Roman" w:hint="default"/>
          <w:spacing w:val="-1"/>
        </w:rPr>
        <w:t>36</w:t>
      </w:r>
      <w:r>
        <w:rPr>
          <w:spacing w:val="-1"/>
        </w:rPr>
        <w:t>个月，贷款利率由双方参照市场利率协</w:t>
      </w:r>
      <w:r>
        <w:rPr>
          <w:spacing w:val="-73"/>
        </w:rPr>
        <w:t> </w:t>
      </w:r>
      <w:r>
        <w:rPr>
          <w:spacing w:val="-73"/>
        </w:rPr>
      </w:r>
      <w:r>
        <w:rPr/>
        <w:t>商确定。</w:t>
      </w:r>
    </w:p>
    <w:p>
      <w:pPr>
        <w:pStyle w:val="BodyText"/>
        <w:spacing w:line="240" w:lineRule="auto" w:before="26"/>
        <w:ind w:right="0"/>
        <w:jc w:val="left"/>
      </w:pPr>
      <w:r>
        <w:rPr/>
        <w:t>截至本报告披露日，该事项尚未开展。</w:t>
      </w:r>
    </w:p>
    <w:p>
      <w:pPr>
        <w:pStyle w:val="BodyText"/>
        <w:spacing w:line="307" w:lineRule="auto" w:before="76"/>
        <w:ind w:right="0"/>
        <w:jc w:val="left"/>
      </w:pPr>
      <w:r>
        <w:rPr>
          <w:rFonts w:ascii="Times New Roman" w:hAnsi="Times New Roman" w:cs="Times New Roman" w:eastAsia="Times New Roman" w:hint="default"/>
        </w:rPr>
        <w:t>3</w:t>
      </w:r>
      <w:r>
        <w:rPr/>
        <w:t>、股权激励事项 </w:t>
      </w:r>
      <w:r>
        <w:rPr>
          <w:spacing w:val="-2"/>
        </w:rPr>
        <w:t>为进一步完善公司法人治理结构，建立、健全公司长效激励约束机制，吸引和留住专业管理人才及核心骨干，充分调动其积</w:t>
      </w:r>
      <w:r>
        <w:rPr>
          <w:spacing w:val="-66"/>
        </w:rPr>
        <w:t> </w:t>
      </w:r>
      <w:r>
        <w:rPr>
          <w:spacing w:val="-66"/>
        </w:rPr>
      </w:r>
      <w:r>
        <w:rPr>
          <w:spacing w:val="-2"/>
        </w:rPr>
        <w:t>极性和创造性，有效提升核心团队凝聚力和企业核心竞争力，有效地将股东、公司和核心团队三方利益结合在一起，使各方</w:t>
      </w:r>
      <w:r>
        <w:rPr>
          <w:spacing w:val="-66"/>
        </w:rPr>
        <w:t> </w:t>
      </w:r>
      <w:r>
        <w:rPr>
          <w:spacing w:val="-66"/>
        </w:rPr>
      </w:r>
      <w:r>
        <w:rPr>
          <w:spacing w:val="-2"/>
        </w:rPr>
        <w:t>共同关注公司的长远发展，确保公司发展战略和经营目标的实现，在充分保障股东利益的前提下，按照收益与贡献对等的原</w:t>
      </w:r>
      <w:r>
        <w:rPr>
          <w:spacing w:val="-66"/>
        </w:rPr>
        <w:t> </w:t>
      </w:r>
      <w:r>
        <w:rPr>
          <w:spacing w:val="-66"/>
        </w:rPr>
      </w:r>
      <w:r>
        <w:rPr>
          <w:spacing w:val="-2"/>
        </w:rPr>
        <w:t>则，报告期内，公司根据有关法律、行政法规、规范性文件的规定，实施</w:t>
      </w:r>
      <w:r>
        <w:rPr>
          <w:rFonts w:ascii="Times New Roman" w:hAnsi="Times New Roman" w:cs="Times New Roman" w:eastAsia="Times New Roman" w:hint="default"/>
          <w:spacing w:val="-2"/>
        </w:rPr>
        <w:t>2018</w:t>
      </w:r>
      <w:r>
        <w:rPr>
          <w:spacing w:val="-2"/>
        </w:rPr>
        <w:t>年股票期权激励计划，本激励计划授予的激励</w:t>
      </w:r>
      <w:r>
        <w:rPr>
          <w:spacing w:val="-64"/>
        </w:rPr>
        <w:t> </w:t>
      </w:r>
      <w:r>
        <w:rPr>
          <w:spacing w:val="-64"/>
        </w:rPr>
      </w:r>
      <w:r>
        <w:rPr>
          <w:spacing w:val="-2"/>
        </w:rPr>
        <w:t>对象共计</w:t>
      </w:r>
      <w:r>
        <w:rPr>
          <w:rFonts w:ascii="Times New Roman" w:hAnsi="Times New Roman" w:cs="Times New Roman" w:eastAsia="Times New Roman" w:hint="default"/>
          <w:spacing w:val="-2"/>
        </w:rPr>
        <w:t>39</w:t>
      </w:r>
      <w:r>
        <w:rPr>
          <w:spacing w:val="-2"/>
        </w:rPr>
        <w:t>人，包括公司公告本激励计划时在公司任职的董事、高级管理人员、核心管理人员及业务骨干。本激励计划授予</w:t>
      </w:r>
      <w:r>
        <w:rPr>
          <w:spacing w:val="-64"/>
        </w:rPr>
        <w:t> </w:t>
      </w:r>
      <w:r>
        <w:rPr>
          <w:spacing w:val="-64"/>
        </w:rPr>
      </w:r>
      <w:r>
        <w:rPr>
          <w:spacing w:val="-2"/>
        </w:rPr>
        <w:t>激励对象股票期权的行权价格为</w:t>
      </w:r>
      <w:r>
        <w:rPr>
          <w:rFonts w:ascii="Times New Roman" w:hAnsi="Times New Roman" w:cs="Times New Roman" w:eastAsia="Times New Roman" w:hint="default"/>
          <w:spacing w:val="-2"/>
        </w:rPr>
        <w:t>8.22</w:t>
      </w:r>
      <w:r>
        <w:rPr>
          <w:spacing w:val="-2"/>
        </w:rPr>
        <w:t>元</w:t>
      </w:r>
      <w:r>
        <w:rPr>
          <w:rFonts w:ascii="Times New Roman" w:hAnsi="Times New Roman" w:cs="Times New Roman" w:eastAsia="Times New Roman" w:hint="default"/>
          <w:spacing w:val="-2"/>
        </w:rPr>
        <w:t>/</w:t>
      </w:r>
      <w:r>
        <w:rPr>
          <w:spacing w:val="-2"/>
        </w:rPr>
        <w:t>份。本激励计划的有效期为自股票期权授予之日起至激励对象获授的股票期权全部行</w:t>
      </w:r>
      <w:r>
        <w:rPr>
          <w:spacing w:val="-64"/>
        </w:rPr>
        <w:t> </w:t>
      </w:r>
      <w:r>
        <w:rPr>
          <w:spacing w:val="-64"/>
        </w:rPr>
      </w:r>
      <w:r>
        <w:rPr>
          <w:spacing w:val="-2"/>
        </w:rPr>
        <w:t>权或注销完毕之日止，最长不超过</w:t>
      </w:r>
      <w:r>
        <w:rPr>
          <w:rFonts w:ascii="Times New Roman" w:hAnsi="Times New Roman" w:cs="Times New Roman" w:eastAsia="Times New Roman" w:hint="default"/>
          <w:spacing w:val="-2"/>
        </w:rPr>
        <w:t>48</w:t>
      </w:r>
      <w:r>
        <w:rPr>
          <w:spacing w:val="-2"/>
        </w:rPr>
        <w:t>个月。授予的股票期权在授予登记完成日起满</w:t>
      </w:r>
      <w:r>
        <w:rPr>
          <w:rFonts w:ascii="Times New Roman" w:hAnsi="Times New Roman" w:cs="Times New Roman" w:eastAsia="Times New Roman" w:hint="default"/>
          <w:spacing w:val="-2"/>
        </w:rPr>
        <w:t>12</w:t>
      </w:r>
      <w:r>
        <w:rPr>
          <w:spacing w:val="-2"/>
        </w:rPr>
        <w:t>个月后分三期行权，每期行权的比例分</w:t>
      </w:r>
      <w:r>
        <w:rPr>
          <w:spacing w:val="-62"/>
        </w:rPr>
        <w:t> </w:t>
      </w:r>
      <w:r>
        <w:rPr>
          <w:spacing w:val="-62"/>
        </w:rPr>
      </w:r>
      <w:r>
        <w:rPr/>
        <w:t>别为</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日，公司完成</w:t>
      </w:r>
      <w:r>
        <w:rPr>
          <w:rFonts w:ascii="Times New Roman" w:hAnsi="Times New Roman" w:cs="Times New Roman" w:eastAsia="Times New Roman" w:hint="default"/>
        </w:rPr>
        <w:t>2018</w:t>
      </w:r>
      <w:r>
        <w:rPr/>
        <w:t>年股票期权激励计划所涉股票期权的登记工作，期权简称：易桥</w:t>
      </w:r>
      <w:r>
        <w:rPr>
          <w:rFonts w:ascii="Times New Roman" w:hAnsi="Times New Roman" w:cs="Times New Roman" w:eastAsia="Times New Roman" w:hint="default"/>
        </w:rPr>
        <w:t>JLC1</w:t>
      </w:r>
      <w:r>
        <w:rPr/>
        <w:t>；期权代码：</w:t>
      </w:r>
      <w:r>
        <w:rPr>
          <w:rFonts w:ascii="Times New Roman" w:hAnsi="Times New Roman" w:cs="Times New Roman" w:eastAsia="Times New Roman" w:hint="default"/>
        </w:rPr>
        <w:t>037061</w:t>
      </w:r>
      <w:r>
        <w:rPr/>
        <w:t>；</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授予日：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w:t>
      </w:r>
    </w:p>
    <w:p>
      <w:pPr>
        <w:pStyle w:val="BodyText"/>
        <w:spacing w:line="314" w:lineRule="auto" w:before="63"/>
        <w:ind w:right="0"/>
        <w:jc w:val="left"/>
      </w:pPr>
      <w:r>
        <w:rPr>
          <w:rFonts w:ascii="Times New Roman" w:hAnsi="Times New Roman" w:cs="Times New Roman" w:eastAsia="Times New Roman" w:hint="default"/>
        </w:rPr>
        <w:t>4</w:t>
      </w:r>
      <w:r>
        <w:rPr/>
        <w:t>、资产处置事项 </w:t>
      </w:r>
      <w:r>
        <w:rPr>
          <w:spacing w:val="-2"/>
        </w:rPr>
        <w:t>公司子公司霍尔果斯快马财税管理服务有限公司以及孙公司霍尔果斯易桥快马企业管理咨询有限公司在运营过程中，基于业</w:t>
      </w:r>
      <w:r>
        <w:rPr>
          <w:spacing w:val="-64"/>
        </w:rPr>
        <w:t> </w:t>
      </w:r>
      <w:r>
        <w:rPr>
          <w:spacing w:val="-64"/>
        </w:rPr>
      </w:r>
      <w:r>
        <w:rPr>
          <w:spacing w:val="-2"/>
        </w:rPr>
        <w:t>务协同性、财务安全性等多方面考虑，对其终端资产人员、业务、管理等多方面进行了整合优化，并经友好协商，分别与霍</w:t>
      </w:r>
      <w:r>
        <w:rPr>
          <w:spacing w:val="-68"/>
        </w:rPr>
        <w:t> </w:t>
      </w:r>
      <w:r>
        <w:rPr>
          <w:spacing w:val="-68"/>
        </w:rPr>
      </w:r>
      <w:r>
        <w:rPr>
          <w:spacing w:val="-2"/>
        </w:rPr>
        <w:t>尔果斯神州易桥股权投资合伙企业（有限合伙）、部分终端资产合伙人共同决定签署《终止合作协议》。签署该协议将导致</w:t>
      </w:r>
      <w:r>
        <w:rPr>
          <w:spacing w:val="-70"/>
        </w:rPr>
        <w:t> </w:t>
      </w:r>
      <w:r>
        <w:rPr>
          <w:spacing w:val="-70"/>
        </w:rPr>
      </w:r>
      <w:r>
        <w:rPr/>
        <w:t>子公司、孙公司终端资产范围相应减少，公司财务状况更加合理。</w:t>
      </w:r>
    </w:p>
    <w:p>
      <w:pPr>
        <w:pStyle w:val="BodyText"/>
        <w:spacing w:line="240" w:lineRule="auto" w:before="20"/>
        <w:ind w:right="0"/>
        <w:jc w:val="left"/>
      </w:pPr>
      <w:r>
        <w:rPr/>
        <w:t>截至报告期末，上述终端资产已处置完毕。</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735,139,995.00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515,934,484.75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企业互联网服务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732,603,420.49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313,145,506.54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163,702,994.86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2,536,574.51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18,844,269.49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20,241,713.86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284,449,302.65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11,802,171.47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400,386,774.60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206,724,280.32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顾问咨询</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47,767,343.24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94,619,054.75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163,702,994.86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胶原蛋白肠衣</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20,241,713.86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2,536,574.51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18,844,269.49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238,424,810.90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159,707,083.58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38,333,536.49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109,000,049.27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92,166.00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26,672,953.73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113,141,551.42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149,662,550.02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6,052,863.31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35,882,184.39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339,095,066.88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30,514,702.33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4,494,961.43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284,449,302.65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264,548,485.03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2,519.96%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400,386,774.60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156,538,939.72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47,767,343.24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7,099,167.06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238,424,810.90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99,487,725.00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113,141,551.42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29,027,874.86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339,095,066.88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282,859,555.03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人工费用、外包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264,548,485.03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10,097,408.46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2,519.96%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服务、办公辅材 采购等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企业综合服务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人工费用、外包 服务、办公辅材 采购等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156,538,939.72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81,620,758.58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91.79%</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顾问咨询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人工费用、外包 服务、办公辅材 采购等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7,099,167.06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34,515,552.12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150,292,600.49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胶原蛋白肠衣</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21,004,388.46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2,150,207.91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17,274,138.06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-87.55%</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本报告期，公司完成了对霍尔果斯快马财税管理服务有限公司</w:t>
      </w:r>
      <w:r>
        <w:rPr>
          <w:rFonts w:ascii="Times New Roman" w:hAnsi="Times New Roman" w:cs="Times New Roman" w:eastAsia="Times New Roman" w:hint="default"/>
        </w:rPr>
        <w:t>60%</w:t>
      </w:r>
      <w:r>
        <w:rPr/>
        <w:t>股权收购的重大资产重组并纳入合并范围。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324"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本报告期，公司业务、产品主要为企业服务业。公司重点向百城千店输出人力资本、顾问咨询、无形资产业务，形成企业互</w:t>
      </w:r>
      <w:r>
        <w:rPr>
          <w:spacing w:val="-67"/>
        </w:rPr>
        <w:t> </w:t>
      </w:r>
      <w:r>
        <w:rPr>
          <w:spacing w:val="-67"/>
        </w:rPr>
      </w:r>
      <w:r>
        <w:rPr>
          <w:spacing w:val="-2"/>
        </w:rPr>
        <w:t>联网服务业务新生态。公司通过上期剥离制造业务，集中优势发展企业互联网服务业务，使公司的整体实力和盈利能力进一</w:t>
      </w:r>
      <w:r>
        <w:rPr>
          <w:spacing w:val="-66"/>
        </w:rPr>
        <w:t> </w:t>
      </w:r>
      <w:r>
        <w:rPr>
          <w:spacing w:val="-66"/>
        </w:rPr>
      </w:r>
      <w:r>
        <w:rPr/>
        <w:t>步提高。</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4678"/>
        <w:gridCol w:w="4821"/>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18,912,559.70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12,075,471.70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3,254,716.98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1,226,415.06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1,207,547.17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1,148,408.79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18,912,559.70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679"/>
        <w:gridCol w:w="4963"/>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3,084,077.21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1,188,679.25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475,728.16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466,981.13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455,188.68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3,084,077.21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638"/>
        <w:gridCol w:w="1637"/>
        <w:gridCol w:w="1460"/>
        <w:gridCol w:w="3629"/>
      </w:tblGrid>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4" w:right="0"/>
              <w:jc w:val="left"/>
              <w:rPr>
                <w:rFonts w:ascii="Times New Roman" w:hAnsi="Times New Roman" w:cs="Times New Roman" w:eastAsia="Times New Roman" w:hint="default"/>
                <w:sz w:val="18"/>
                <w:szCs w:val="18"/>
              </w:rPr>
            </w:pPr>
            <w:r>
              <w:rPr>
                <w:rFonts w:ascii="Times New Roman"/>
                <w:sz w:val="18"/>
              </w:rPr>
              <w:t>54,528,706.77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151,842,866.97</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-64.09%</w:t>
            </w:r>
          </w:p>
        </w:tc>
        <w:tc>
          <w:tcPr>
            <w:tcW w:w="362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4" w:firstLine="90"/>
              <w:jc w:val="left"/>
              <w:rPr>
                <w:rFonts w:ascii="宋体" w:hAnsi="宋体" w:cs="宋体" w:eastAsia="宋体" w:hint="default"/>
                <w:sz w:val="18"/>
                <w:szCs w:val="18"/>
              </w:rPr>
            </w:pPr>
            <w:r>
              <w:rPr>
                <w:rFonts w:ascii="宋体" w:hAnsi="宋体" w:cs="宋体" w:eastAsia="宋体" w:hint="default"/>
                <w:sz w:val="18"/>
                <w:szCs w:val="18"/>
              </w:rPr>
              <w:t>本期较上年同期减少主要是本期公司市场开 拓费用减少所致。</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629"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629"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132,415,913.90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156,878,925.39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-15.59%</w:t>
            </w:r>
          </w:p>
        </w:tc>
        <w:tc>
          <w:tcPr>
            <w:tcW w:w="362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876,692.86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-3,412,124.04</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125.69%</w:t>
            </w:r>
          </w:p>
        </w:tc>
        <w:tc>
          <w:tcPr>
            <w:tcW w:w="362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4" w:firstLine="90"/>
              <w:jc w:val="left"/>
              <w:rPr>
                <w:rFonts w:ascii="宋体" w:hAnsi="宋体" w:cs="宋体" w:eastAsia="宋体" w:hint="default"/>
                <w:sz w:val="18"/>
                <w:szCs w:val="18"/>
              </w:rPr>
            </w:pPr>
            <w:r>
              <w:rPr>
                <w:rFonts w:ascii="宋体" w:hAnsi="宋体" w:cs="宋体" w:eastAsia="宋体" w:hint="default"/>
                <w:sz w:val="18"/>
                <w:szCs w:val="18"/>
              </w:rPr>
              <w:t>本期较上年同期增加主要是公司新购置办公 楼贷款利息费用增加。</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629"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629"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727,422.96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15,646,763.21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-95.35%</w:t>
            </w:r>
          </w:p>
        </w:tc>
        <w:tc>
          <w:tcPr>
            <w:tcW w:w="3629"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4" w:firstLine="90"/>
              <w:jc w:val="left"/>
              <w:rPr>
                <w:rFonts w:ascii="宋体" w:hAnsi="宋体" w:cs="宋体" w:eastAsia="宋体" w:hint="default"/>
                <w:sz w:val="18"/>
                <w:szCs w:val="18"/>
              </w:rPr>
            </w:pPr>
            <w:r>
              <w:rPr>
                <w:rFonts w:ascii="宋体" w:hAnsi="宋体" w:cs="宋体" w:eastAsia="宋体" w:hint="default"/>
                <w:sz w:val="18"/>
                <w:szCs w:val="18"/>
              </w:rPr>
              <w:t>本期较上年同期减少主要是公司募投项目本 期基本接近完成，费用化支出减少。</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3629"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362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pStyle w:val="BodyText"/>
        <w:spacing w:line="316" w:lineRule="auto" w:before="127"/>
        <w:ind w:right="1131"/>
        <w:jc w:val="both"/>
      </w:pPr>
      <w:r>
        <w:rPr>
          <w:spacing w:val="-2"/>
        </w:rPr>
        <w:t>公司在研发投入方面以自主研发和外包相结合，重点投入智慧企业孵化云平台和企业大数据中心平台建设，致力服务于中小</w:t>
      </w:r>
      <w:r>
        <w:rPr>
          <w:spacing w:val="-64"/>
        </w:rPr>
        <w:t> </w:t>
      </w:r>
      <w:r>
        <w:rPr>
          <w:spacing w:val="-64"/>
        </w:rPr>
      </w:r>
      <w:r>
        <w:rPr>
          <w:spacing w:val="-2"/>
        </w:rPr>
        <w:t>微企业全生命周期的孵化；该投入可进一步落实公司的发展战略，服务于大量企业用户，对持续提高公司的盈利能力，树立</w:t>
      </w:r>
      <w:r>
        <w:rPr>
          <w:spacing w:val="-66"/>
        </w:rPr>
        <w:t> </w:t>
      </w:r>
      <w:r>
        <w:rPr>
          <w:spacing w:val="-66"/>
        </w:rPr>
      </w:r>
      <w:r>
        <w:rPr/>
        <w:t>公司在企业互联网和现代服务业市场领先的行业地位，具有良好的经济效益和社会效益。</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31,927,257.03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72,572,168.90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31,199,834.07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61,676,890.95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12.73%</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813"/>
        <w:gridCol w:w="2404"/>
        <w:gridCol w:w="2392"/>
        <w:gridCol w:w="2021"/>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788,076,992.10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650,032,206.30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734,202,030.35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680,943,153.94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53,874,961.75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-30,910,947.64</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274.29%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365,373,409.79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1,230,589,842.50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685,539,028.78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1,387,749,180.65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-320,165,618.99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-157,159,338.15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-103.72%</w:t>
            </w:r>
            <w:r>
              <w:rPr>
                <w:rFonts w:ascii="Times New Roman"/>
                <w:sz w:val="18"/>
              </w:rPr>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146,993,252.36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171,971,386.59</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505,949,335.55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22,791,939.47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2,119.86%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-358,956,083.19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149,179,447.12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-340.62%</w:t>
            </w:r>
            <w:r>
              <w:rPr>
                <w:rFonts w:ascii="Times New Roman"/>
                <w:sz w:val="18"/>
              </w:rPr>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-625,246,740.43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-38,890,838.67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-1,507.70%</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、经营活动产生的现金净额较上期增加，主要是本期收入增加，经营性流入增加。</w:t>
      </w:r>
    </w:p>
    <w:p>
      <w:pPr>
        <w:pStyle w:val="BodyText"/>
        <w:spacing w:line="240" w:lineRule="auto" w:before="63"/>
        <w:ind w:right="0"/>
        <w:jc w:val="left"/>
      </w:pPr>
      <w:r>
        <w:rPr>
          <w:rFonts w:ascii="Times New Roman" w:hAnsi="Times New Roman" w:cs="Times New Roman" w:eastAsia="Times New Roman" w:hint="default"/>
        </w:rPr>
        <w:t>2</w:t>
      </w:r>
      <w:r>
        <w:rPr/>
        <w:t>、投资活动现金流入较上期减少，主要是上期出售其他上市公司股票获得收益及处置制造业资产收到价款所致。</w:t>
      </w:r>
    </w:p>
    <w:p>
      <w:pPr>
        <w:pStyle w:val="BodyText"/>
        <w:spacing w:line="240" w:lineRule="auto" w:before="63"/>
        <w:ind w:right="0"/>
        <w:jc w:val="left"/>
      </w:pPr>
      <w:r>
        <w:rPr>
          <w:rFonts w:ascii="Times New Roman" w:hAnsi="Times New Roman" w:cs="Times New Roman" w:eastAsia="Times New Roman" w:hint="default"/>
        </w:rPr>
        <w:t>3</w:t>
      </w:r>
      <w:r>
        <w:rPr/>
        <w:t>、投资活动现金流出较上期减少，主要是本期资本化支出及理财支出较上年同期减少。</w:t>
      </w:r>
    </w:p>
    <w:p>
      <w:pPr>
        <w:pStyle w:val="BodyText"/>
        <w:spacing w:line="240" w:lineRule="auto" w:before="63"/>
        <w:ind w:right="0"/>
        <w:jc w:val="left"/>
      </w:pPr>
      <w:r>
        <w:rPr>
          <w:rFonts w:ascii="Times New Roman" w:hAnsi="Times New Roman" w:cs="Times New Roman" w:eastAsia="Times New Roman" w:hint="default"/>
        </w:rPr>
        <w:t>4</w:t>
      </w:r>
      <w:r>
        <w:rPr/>
        <w:t>、投资活动产生的现金净额较上期减少，主要是本期支付股权收购款所致。</w:t>
      </w:r>
    </w:p>
    <w:p>
      <w:pPr>
        <w:pStyle w:val="BodyText"/>
        <w:spacing w:line="240" w:lineRule="auto" w:before="63"/>
        <w:ind w:right="0"/>
        <w:jc w:val="left"/>
      </w:pPr>
      <w:r>
        <w:rPr>
          <w:rFonts w:ascii="Times New Roman" w:hAnsi="Times New Roman" w:cs="Times New Roman" w:eastAsia="Times New Roman" w:hint="default"/>
        </w:rPr>
        <w:t>5</w:t>
      </w:r>
      <w:r>
        <w:rPr/>
        <w:t>、筹资活动现金流出较上期增加，主要是本期支付前期收购股权款增加所致。</w:t>
      </w:r>
    </w:p>
    <w:p>
      <w:pPr>
        <w:pStyle w:val="BodyText"/>
        <w:spacing w:line="240" w:lineRule="auto" w:before="63"/>
        <w:ind w:right="0"/>
        <w:jc w:val="left"/>
      </w:pPr>
      <w:r>
        <w:rPr>
          <w:rFonts w:ascii="Times New Roman" w:hAnsi="Times New Roman" w:cs="Times New Roman" w:eastAsia="Times New Roman" w:hint="default"/>
        </w:rPr>
        <w:t>6</w:t>
      </w:r>
      <w:r>
        <w:rPr/>
        <w:t>、筹资活动产生的现金净额较上期减少，主要是本期支付前期收购股权款所致。</w:t>
      </w:r>
    </w:p>
    <w:p>
      <w:pPr>
        <w:pStyle w:val="BodyText"/>
        <w:spacing w:line="240" w:lineRule="auto" w:before="63"/>
        <w:ind w:right="0"/>
        <w:jc w:val="left"/>
      </w:pPr>
      <w:r>
        <w:rPr>
          <w:rFonts w:ascii="Times New Roman" w:hAnsi="Times New Roman" w:cs="Times New Roman" w:eastAsia="Times New Roman" w:hint="default"/>
        </w:rPr>
        <w:t>7</w:t>
      </w:r>
      <w:r>
        <w:rPr/>
        <w:t>、现金及现金等价物净增加额较上期减少，主要是本期支付收购股权款所致。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877"/>
        <w:gridCol w:w="1703"/>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110,174,651.80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71.86%</w:t>
            </w:r>
          </w:p>
        </w:tc>
        <w:tc>
          <w:tcPr>
            <w:tcW w:w="2877"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41"/>
              <w:jc w:val="both"/>
              <w:rPr>
                <w:rFonts w:ascii="宋体" w:hAnsi="宋体" w:cs="宋体" w:eastAsia="宋体" w:hint="default"/>
                <w:sz w:val="18"/>
                <w:szCs w:val="18"/>
              </w:rPr>
            </w:pPr>
            <w:r>
              <w:rPr>
                <w:rFonts w:ascii="宋体" w:hAnsi="宋体" w:cs="宋体" w:eastAsia="宋体" w:hint="default"/>
                <w:sz w:val="18"/>
                <w:szCs w:val="18"/>
              </w:rPr>
              <w:t>主要是权益法核算的长期股权投资 收益及购买日之前持有的股权按照 公允价值重新计量产生的利得</w:t>
            </w:r>
          </w:p>
        </w:tc>
        <w:tc>
          <w:tcPr>
            <w:tcW w:w="1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77" w:type="dxa"/>
            <w:vMerge/>
            <w:tcBorders>
              <w:left w:val="single" w:sz="4" w:space="0" w:color="000000"/>
              <w:right w:val="single" w:sz="4" w:space="0" w:color="000000"/>
            </w:tcBorders>
          </w:tcPr>
          <w:p>
            <w:pPr/>
          </w:p>
        </w:tc>
        <w:tc>
          <w:tcPr>
            <w:tcW w:w="1703"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77" w:type="dxa"/>
            <w:vMerge/>
            <w:tcBorders>
              <w:left w:val="single" w:sz="4" w:space="0" w:color="000000"/>
              <w:bottom w:val="single" w:sz="4" w:space="0" w:color="000000"/>
              <w:right w:val="single" w:sz="4" w:space="0" w:color="000000"/>
            </w:tcBorders>
          </w:tcPr>
          <w:p>
            <w:pPr/>
          </w:p>
        </w:tc>
        <w:tc>
          <w:tcPr>
            <w:tcW w:w="1703"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3,374,397.07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主要是计提应收款减值准备</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24,113,458.32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15.73%</w:t>
            </w:r>
          </w:p>
        </w:tc>
        <w:tc>
          <w:tcPr>
            <w:tcW w:w="2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主要是业绩补偿款</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91,876,890.91</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59.93%</w:t>
            </w:r>
          </w:p>
        </w:tc>
        <w:tc>
          <w:tcPr>
            <w:tcW w:w="2877"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41"/>
              <w:jc w:val="left"/>
              <w:rPr>
                <w:rFonts w:ascii="宋体" w:hAnsi="宋体" w:cs="宋体" w:eastAsia="宋体" w:hint="default"/>
                <w:sz w:val="18"/>
                <w:szCs w:val="18"/>
              </w:rPr>
            </w:pPr>
            <w:r>
              <w:rPr>
                <w:rFonts w:ascii="宋体" w:hAnsi="宋体" w:cs="宋体" w:eastAsia="宋体" w:hint="default"/>
                <w:sz w:val="18"/>
                <w:szCs w:val="18"/>
              </w:rPr>
              <w:t>主要是本期处置终端资产设立的分 公司损失增加。</w:t>
            </w:r>
          </w:p>
        </w:tc>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877" w:type="dxa"/>
            <w:vMerge/>
            <w:tcBorders>
              <w:left w:val="single" w:sz="4" w:space="0" w:color="000000"/>
              <w:right w:val="single" w:sz="4" w:space="0" w:color="000000"/>
            </w:tcBorders>
          </w:tcPr>
          <w:p>
            <w:pPr/>
          </w:p>
        </w:tc>
        <w:tc>
          <w:tcPr>
            <w:tcW w:w="1703" w:type="dxa"/>
            <w:vMerge/>
            <w:tcBorders>
              <w:left w:val="single" w:sz="4" w:space="0" w:color="000000"/>
              <w:right w:val="single" w:sz="4" w:space="0" w:color="000000"/>
            </w:tcBorders>
          </w:tcPr>
          <w:p>
            <w:pPr/>
          </w:p>
        </w:tc>
      </w:tr>
      <w:tr>
        <w:trPr>
          <w:trHeight w:val="162"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877" w:type="dxa"/>
            <w:vMerge/>
            <w:tcBorders>
              <w:left w:val="single" w:sz="4" w:space="0" w:color="000000"/>
              <w:bottom w:val="single" w:sz="4" w:space="0" w:color="000000"/>
              <w:right w:val="single" w:sz="4" w:space="0" w:color="000000"/>
            </w:tcBorders>
          </w:tcPr>
          <w:p>
            <w:pPr/>
          </w:p>
        </w:tc>
        <w:tc>
          <w:tcPr>
            <w:tcW w:w="1703"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1064"/>
        <w:gridCol w:w="1488"/>
        <w:gridCol w:w="1063"/>
        <w:gridCol w:w="1064"/>
        <w:gridCol w:w="2250"/>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01"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64"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50"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337"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8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25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5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4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2250"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48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225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22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348,732,469.00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960,429,437.86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-16.65%</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102,484,792.97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36,585,564.22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105,354.13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958,327.56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52,582,320.80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49,465,464.38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-0.03%</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354,905,679.69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641,091,965.57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40,458,413.53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43,148,456.35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28,980,225.14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0.70%</w:t>
            </w:r>
          </w:p>
        </w:tc>
        <w:tc>
          <w:tcPr>
            <w:tcW w:w="22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2,849,493,500.83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1,652,293,177.10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25.34%</w:t>
            </w:r>
          </w:p>
        </w:tc>
        <w:tc>
          <w:tcPr>
            <w:tcW w:w="22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67"/>
        <w:jc w:val="left"/>
      </w:pPr>
      <w:r>
        <w:rPr/>
        <w:t>本期，公司因购置办公楼，向中国银行股份有限公司西宁市城西支行申请办理额度为</w:t>
      </w:r>
      <w:r>
        <w:rPr>
          <w:rFonts w:ascii="Times New Roman" w:hAnsi="Times New Roman" w:cs="Times New Roman" w:eastAsia="Times New Roman" w:hint="default"/>
        </w:rPr>
        <w:t>3,400</w:t>
      </w:r>
      <w:r>
        <w:rPr/>
        <w:t>万元的购房抵押贷款，用于支付 办公楼部分购房款并将该资产抵押。</w:t>
      </w:r>
    </w:p>
    <w:p>
      <w:pPr>
        <w:pStyle w:val="BodyText"/>
        <w:spacing w:line="240" w:lineRule="auto" w:before="32"/>
        <w:ind w:right="0"/>
        <w:jc w:val="left"/>
      </w:pPr>
      <w:r>
        <w:rPr/>
        <w:t>本报告期，由于子公司、孙公司涉诉其</w:t>
      </w:r>
      <w:r>
        <w:rPr>
          <w:rFonts w:ascii="Times New Roman" w:hAnsi="Times New Roman" w:cs="Times New Roman" w:eastAsia="Times New Roman" w:hint="default"/>
        </w:rPr>
        <w:t>1,355</w:t>
      </w:r>
      <w:r>
        <w:rPr/>
        <w:t>万元银行存款被冻结。</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group style="position:absolute;margin-left:175.940002pt;margin-top:472.980011pt;width:31.45pt;height:31.2pt;mso-position-horizontal-relative:page;mso-position-vertical-relative:page;z-index:-1039720" coordorigin="3519,9460" coordsize="629,624">
            <v:shape style="position:absolute;left:3519;top:9460;width:629;height:624" coordorigin="3519,9460" coordsize="629,624" path="m3519,10084l4148,10084,4148,9460,3519,9460,3519,10084xe" filled="true" fillcolor="#ffffff" stroked="false">
              <v:path arrowok="t"/>
              <v:fill type="solid"/>
            </v:shape>
            <w10:wrap type="none"/>
          </v:group>
        </w:pict>
      </w: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2"/>
        <w:spacing w:line="240" w:lineRule="auto" w:before="26"/>
        <w:ind w:left="480" w:right="0"/>
        <w:jc w:val="left"/>
        <w:rPr>
          <w:b w:val="0"/>
          <w:bCs w:val="0"/>
        </w:rPr>
      </w:pPr>
      <w:bookmarkStart w:name="五、投资状况" w:id="45"/>
      <w:bookmarkEnd w:id="45"/>
      <w:r>
        <w:rPr>
          <w:b w:val="0"/>
          <w:bCs w:val="0"/>
        </w:rPr>
      </w: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80"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475"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1,090,000,000.00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768,720,000.00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41.79%</w:t>
            </w:r>
          </w:p>
        </w:tc>
      </w:tr>
    </w:tbl>
    <w:p>
      <w:pPr>
        <w:spacing w:line="240" w:lineRule="auto" w:before="2"/>
        <w:rPr>
          <w:rFonts w:ascii="宋体" w:hAnsi="宋体" w:cs="宋体" w:eastAsia="宋体" w:hint="default"/>
          <w:sz w:val="19"/>
          <w:szCs w:val="19"/>
        </w:rPr>
      </w:pPr>
    </w:p>
    <w:p>
      <w:pPr>
        <w:pStyle w:val="Heading3"/>
        <w:spacing w:line="240" w:lineRule="auto" w:before="35"/>
        <w:ind w:left="480"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4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575"/>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92"/>
        <w:gridCol w:w="1440"/>
        <w:gridCol w:w="638"/>
        <w:gridCol w:w="1414"/>
        <w:gridCol w:w="640"/>
        <w:gridCol w:w="638"/>
        <w:gridCol w:w="1534"/>
        <w:gridCol w:w="640"/>
        <w:gridCol w:w="638"/>
        <w:gridCol w:w="640"/>
        <w:gridCol w:w="638"/>
        <w:gridCol w:w="1340"/>
        <w:gridCol w:w="640"/>
        <w:gridCol w:w="754"/>
        <w:gridCol w:w="2091"/>
      </w:tblGrid>
      <w:tr>
        <w:trPr>
          <w:trHeight w:val="1650"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10" w:right="4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10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33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霍尔果斯易 桥快马企业 管理咨询有 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both"/>
              <w:rPr>
                <w:rFonts w:ascii="宋体" w:hAnsi="宋体" w:cs="宋体" w:eastAsia="宋体" w:hint="default"/>
                <w:sz w:val="18"/>
                <w:szCs w:val="18"/>
              </w:rPr>
            </w:pPr>
            <w:r>
              <w:rPr>
                <w:rFonts w:ascii="宋体" w:hAnsi="宋体" w:cs="宋体" w:eastAsia="宋体" w:hint="default"/>
                <w:spacing w:val="-8"/>
                <w:sz w:val="18"/>
                <w:szCs w:val="18"/>
              </w:rPr>
              <w:t>技术开发、技术推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广、技术服务、技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术咨询、财务代理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及咨询</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62"/>
              <w:jc w:val="both"/>
              <w:rPr>
                <w:rFonts w:ascii="宋体" w:hAnsi="宋体" w:cs="宋体" w:eastAsia="宋体" w:hint="default"/>
                <w:sz w:val="18"/>
                <w:szCs w:val="18"/>
              </w:rPr>
            </w:pPr>
            <w:r>
              <w:rPr>
                <w:rFonts w:ascii="宋体" w:hAnsi="宋体" w:cs="宋体" w:eastAsia="宋体" w:hint="default"/>
                <w:sz w:val="18"/>
                <w:szCs w:val="18"/>
              </w:rPr>
              <w:t>财税服 务及咨 询</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left"/>
              <w:rPr>
                <w:rFonts w:ascii="宋体" w:hAnsi="宋体" w:cs="宋体" w:eastAsia="宋体" w:hint="default"/>
                <w:sz w:val="18"/>
                <w:szCs w:val="18"/>
              </w:rPr>
            </w:pPr>
            <w:r>
              <w:rPr>
                <w:rFonts w:ascii="宋体" w:hAnsi="宋体" w:cs="宋体" w:eastAsia="宋体" w:hint="default"/>
                <w:sz w:val="18"/>
                <w:szCs w:val="18"/>
              </w:rPr>
              <w:t>股权已 过户</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-14,103,685.84</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
              <w:jc w:val="both"/>
              <w:rPr>
                <w:rFonts w:ascii="宋体" w:hAnsi="宋体" w:cs="宋体" w:eastAsia="宋体" w:hint="default"/>
                <w:sz w:val="18"/>
                <w:szCs w:val="18"/>
              </w:rPr>
            </w:pPr>
            <w:r>
              <w:rPr>
                <w:rFonts w:ascii="宋体" w:hAnsi="宋体" w:cs="宋体" w:eastAsia="宋体" w:hint="default"/>
                <w:spacing w:val="9"/>
                <w:sz w:val="18"/>
                <w:szCs w:val="18"/>
              </w:rPr>
              <w:t>霍尔果斯快 马财税管理 服务有限公 </w:t>
            </w:r>
            <w:r>
              <w:rPr>
                <w:rFonts w:ascii="宋体" w:hAnsi="宋体" w:cs="宋体" w:eastAsia="宋体" w:hint="default"/>
                <w:sz w:val="18"/>
                <w:szCs w:val="18"/>
              </w:rPr>
              <w:t>司</w:t>
            </w:r>
          </w:p>
        </w:tc>
        <w:tc>
          <w:tcPr>
            <w:tcW w:w="144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3" w:right="-40"/>
              <w:jc w:val="both"/>
              <w:rPr>
                <w:rFonts w:ascii="宋体" w:hAnsi="宋体" w:cs="宋体" w:eastAsia="宋体" w:hint="default"/>
                <w:sz w:val="18"/>
                <w:szCs w:val="18"/>
              </w:rPr>
            </w:pPr>
            <w:r>
              <w:rPr>
                <w:rFonts w:ascii="宋体" w:hAnsi="宋体" w:cs="宋体" w:eastAsia="宋体" w:hint="default"/>
                <w:spacing w:val="-8"/>
                <w:sz w:val="18"/>
                <w:szCs w:val="18"/>
              </w:rPr>
              <w:t>知识产权代理；人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力资源外包；工商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事务代理及咨询； 财务培训及咨询； 代理记账等</w:t>
            </w:r>
          </w:p>
        </w:tc>
        <w:tc>
          <w:tcPr>
            <w:tcW w:w="6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70.59%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
              <w:jc w:val="left"/>
              <w:rPr>
                <w:rFonts w:ascii="宋体" w:hAnsi="宋体" w:cs="宋体" w:eastAsia="宋体" w:hint="default"/>
                <w:sz w:val="18"/>
                <w:szCs w:val="18"/>
              </w:rPr>
            </w:pPr>
            <w:r>
              <w:rPr>
                <w:rFonts w:ascii="宋体" w:hAnsi="宋体" w:cs="宋体" w:eastAsia="宋体" w:hint="default"/>
                <w:spacing w:val="14"/>
                <w:sz w:val="18"/>
                <w:szCs w:val="18"/>
              </w:rPr>
              <w:t>自有资</w:t>
            </w:r>
            <w:r>
              <w:rPr>
                <w:rFonts w:ascii="宋体" w:hAnsi="宋体" w:cs="宋体" w:eastAsia="宋体" w:hint="default"/>
                <w:spacing w:val="-69"/>
                <w:sz w:val="18"/>
                <w:szCs w:val="18"/>
              </w:rPr>
              <w:t> </w:t>
            </w:r>
            <w:r>
              <w:rPr>
                <w:rFonts w:ascii="宋体" w:hAnsi="宋体" w:cs="宋体" w:eastAsia="宋体" w:hint="default"/>
                <w:sz w:val="18"/>
                <w:szCs w:val="18"/>
              </w:rPr>
              <w:t>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2"/>
              <w:jc w:val="left"/>
              <w:rPr>
                <w:rFonts w:ascii="宋体" w:hAnsi="宋体" w:cs="宋体" w:eastAsia="宋体" w:hint="default"/>
                <w:sz w:val="18"/>
                <w:szCs w:val="18"/>
              </w:rPr>
            </w:pPr>
            <w:r>
              <w:rPr>
                <w:rFonts w:ascii="宋体" w:hAnsi="宋体" w:cs="宋体" w:eastAsia="宋体" w:hint="default"/>
                <w:spacing w:val="4"/>
                <w:sz w:val="18"/>
                <w:szCs w:val="18"/>
              </w:rPr>
              <w:t>霍尔果斯神州易桥</w:t>
            </w:r>
            <w:r>
              <w:rPr>
                <w:rFonts w:ascii="宋体" w:hAnsi="宋体" w:cs="宋体" w:eastAsia="宋体" w:hint="default"/>
                <w:sz w:val="18"/>
                <w:szCs w:val="18"/>
              </w:rPr>
              <w:t> </w:t>
            </w:r>
            <w:r>
              <w:rPr>
                <w:rFonts w:ascii="宋体" w:hAnsi="宋体" w:cs="宋体" w:eastAsia="宋体" w:hint="default"/>
                <w:spacing w:val="4"/>
                <w:sz w:val="18"/>
                <w:szCs w:val="18"/>
              </w:rPr>
              <w:t>股权投资合伙企业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
              <w:jc w:val="both"/>
              <w:rPr>
                <w:rFonts w:ascii="宋体" w:hAnsi="宋体" w:cs="宋体" w:eastAsia="宋体" w:hint="default"/>
                <w:sz w:val="18"/>
                <w:szCs w:val="18"/>
              </w:rPr>
            </w:pPr>
            <w:r>
              <w:rPr>
                <w:rFonts w:ascii="宋体" w:hAnsi="宋体" w:cs="宋体" w:eastAsia="宋体" w:hint="default"/>
                <w:spacing w:val="14"/>
                <w:sz w:val="18"/>
                <w:szCs w:val="18"/>
              </w:rPr>
              <w:t>财税服</w:t>
            </w:r>
            <w:r>
              <w:rPr>
                <w:rFonts w:ascii="宋体" w:hAnsi="宋体" w:cs="宋体" w:eastAsia="宋体" w:hint="default"/>
                <w:spacing w:val="-69"/>
                <w:sz w:val="18"/>
                <w:szCs w:val="18"/>
              </w:rPr>
              <w:t> </w:t>
            </w:r>
            <w:r>
              <w:rPr>
                <w:rFonts w:ascii="宋体" w:hAnsi="宋体" w:cs="宋体" w:eastAsia="宋体" w:hint="default"/>
                <w:spacing w:val="14"/>
                <w:sz w:val="18"/>
                <w:szCs w:val="18"/>
              </w:rPr>
              <w:t>务及咨</w:t>
            </w:r>
            <w:r>
              <w:rPr>
                <w:rFonts w:ascii="宋体" w:hAnsi="宋体" w:cs="宋体" w:eastAsia="宋体" w:hint="default"/>
                <w:spacing w:val="-69"/>
                <w:sz w:val="18"/>
                <w:szCs w:val="18"/>
              </w:rPr>
              <w:t> </w:t>
            </w:r>
            <w:r>
              <w:rPr>
                <w:rFonts w:ascii="宋体" w:hAnsi="宋体" w:cs="宋体" w:eastAsia="宋体" w:hint="default"/>
                <w:sz w:val="18"/>
                <w:szCs w:val="18"/>
              </w:rPr>
              <w:t>询</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0"/>
              <w:jc w:val="both"/>
              <w:rPr>
                <w:rFonts w:ascii="宋体" w:hAnsi="宋体" w:cs="宋体" w:eastAsia="宋体" w:hint="default"/>
                <w:sz w:val="18"/>
                <w:szCs w:val="18"/>
              </w:rPr>
            </w:pPr>
            <w:r>
              <w:rPr>
                <w:rFonts w:ascii="宋体" w:hAnsi="宋体" w:cs="宋体" w:eastAsia="宋体" w:hint="default"/>
                <w:spacing w:val="14"/>
                <w:sz w:val="18"/>
                <w:szCs w:val="18"/>
              </w:rPr>
              <w:t>工商变</w:t>
            </w:r>
            <w:r>
              <w:rPr>
                <w:rFonts w:ascii="宋体" w:hAnsi="宋体" w:cs="宋体" w:eastAsia="宋体" w:hint="default"/>
                <w:spacing w:val="-69"/>
                <w:sz w:val="18"/>
                <w:szCs w:val="18"/>
              </w:rPr>
              <w:t> </w:t>
            </w:r>
            <w:r>
              <w:rPr>
                <w:rFonts w:ascii="宋体" w:hAnsi="宋体" w:cs="宋体" w:eastAsia="宋体" w:hint="default"/>
                <w:spacing w:val="14"/>
                <w:sz w:val="18"/>
                <w:szCs w:val="18"/>
              </w:rPr>
              <w:t>更已完</w:t>
            </w:r>
            <w:r>
              <w:rPr>
                <w:rFonts w:ascii="宋体" w:hAnsi="宋体" w:cs="宋体" w:eastAsia="宋体" w:hint="default"/>
                <w:spacing w:val="-69"/>
                <w:sz w:val="18"/>
                <w:szCs w:val="18"/>
              </w:rPr>
              <w:t> </w:t>
            </w:r>
            <w:r>
              <w:rPr>
                <w:rFonts w:ascii="宋体" w:hAnsi="宋体" w:cs="宋体" w:eastAsia="宋体" w:hint="default"/>
                <w:sz w:val="18"/>
                <w:szCs w:val="18"/>
              </w:rPr>
              <w:t>成</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27,879,069.96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4" w:right="-14"/>
              <w:jc w:val="both"/>
              <w:rPr>
                <w:rFonts w:ascii="宋体" w:hAnsi="宋体" w:cs="宋体" w:eastAsia="宋体" w:hint="default"/>
                <w:sz w:val="18"/>
                <w:szCs w:val="18"/>
              </w:rPr>
            </w:pPr>
            <w:r>
              <w:rPr>
                <w:rFonts w:ascii="宋体" w:hAnsi="宋体" w:cs="宋体" w:eastAsia="宋体" w:hint="default"/>
                <w:spacing w:val="4"/>
                <w:sz w:val="18"/>
                <w:szCs w:val="18"/>
              </w:rPr>
              <w:t>《关于重大资产重组的实</w:t>
            </w:r>
            <w:r>
              <w:rPr>
                <w:rFonts w:ascii="宋体" w:hAnsi="宋体" w:cs="宋体" w:eastAsia="宋体" w:hint="default"/>
                <w:sz w:val="18"/>
                <w:szCs w:val="18"/>
              </w:rPr>
              <w:t> 施进展公告》</w:t>
            </w:r>
            <w:r>
              <w:rPr>
                <w:rFonts w:ascii="Times New Roman" w:hAnsi="Times New Roman" w:cs="Times New Roman" w:eastAsia="Times New Roman" w:hint="default"/>
                <w:sz w:val="18"/>
                <w:szCs w:val="18"/>
              </w:rPr>
              <w:t>(2018-101)</w:t>
            </w:r>
            <w:r>
              <w:rPr>
                <w:rFonts w:ascii="宋体" w:hAnsi="宋体" w:cs="宋体" w:eastAsia="宋体" w:hint="default"/>
                <w:sz w:val="18"/>
                <w:szCs w:val="18"/>
              </w:rPr>
              <w:t>， </w:t>
            </w:r>
            <w:r>
              <w:rPr>
                <w:rFonts w:ascii="宋体" w:hAnsi="宋体" w:cs="宋体" w:eastAsia="宋体" w:hint="default"/>
                <w:spacing w:val="-12"/>
                <w:sz w:val="18"/>
                <w:szCs w:val="18"/>
              </w:rPr>
              <w:t>刊载于《证券时报》、《证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券日报》和巨潮资讯网</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宁波神州开</w:t>
            </w:r>
          </w:p>
        </w:tc>
        <w:tc>
          <w:tcPr>
            <w:tcW w:w="144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3" w:right="-40"/>
              <w:jc w:val="center"/>
              <w:rPr>
                <w:rFonts w:ascii="宋体" w:hAnsi="宋体" w:cs="宋体" w:eastAsia="宋体" w:hint="default"/>
                <w:sz w:val="18"/>
                <w:szCs w:val="18"/>
              </w:rPr>
            </w:pPr>
            <w:r>
              <w:rPr>
                <w:rFonts w:ascii="宋体" w:hAnsi="宋体" w:cs="宋体" w:eastAsia="宋体" w:hint="default"/>
                <w:sz w:val="18"/>
                <w:szCs w:val="18"/>
              </w:rPr>
              <w:t>会计服务及咨询；</w:t>
            </w:r>
          </w:p>
        </w:tc>
        <w:tc>
          <w:tcPr>
            <w:tcW w:w="63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霍尔果斯硕佳股权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财税服</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工商变</w:t>
            </w:r>
          </w:p>
        </w:tc>
        <w:tc>
          <w:tcPr>
            <w:tcW w:w="638"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25,926,687.76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4" w:type="dxa"/>
            <w:tcBorders>
              <w:top w:val="single" w:sz="4" w:space="0" w:color="000000"/>
              <w:left w:val="single" w:sz="4" w:space="0" w:color="000000"/>
              <w:bottom w:val="single" w:sz="4" w:space="0" w:color="000000"/>
              <w:right w:val="single" w:sz="4" w:space="0" w:color="000000"/>
            </w:tcBorders>
          </w:tcPr>
          <w:p>
            <w:pPr/>
          </w:p>
        </w:tc>
        <w:tc>
          <w:tcPr>
            <w:tcW w:w="209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3"/>
          <w:footerReference w:type="default" r:id="rId14"/>
          <w:pgSz w:w="16840" w:h="11910" w:orient="landscape"/>
          <w:pgMar w:header="867" w:footer="979" w:top="1060" w:bottom="1160" w:left="960" w:right="960"/>
          <w:pgNumType w:start="19"/>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92"/>
        <w:gridCol w:w="1440"/>
        <w:gridCol w:w="638"/>
        <w:gridCol w:w="1414"/>
        <w:gridCol w:w="640"/>
        <w:gridCol w:w="638"/>
        <w:gridCol w:w="1534"/>
        <w:gridCol w:w="640"/>
        <w:gridCol w:w="638"/>
        <w:gridCol w:w="640"/>
        <w:gridCol w:w="638"/>
        <w:gridCol w:w="1340"/>
        <w:gridCol w:w="640"/>
        <w:gridCol w:w="754"/>
        <w:gridCol w:w="2091"/>
      </w:tblGrid>
      <w:tr>
        <w:trPr>
          <w:trHeight w:val="1937" w:hRule="exact"/>
        </w:trPr>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元会计服务 有限公司</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54"/>
              <w:jc w:val="left"/>
              <w:rPr>
                <w:rFonts w:ascii="宋体" w:hAnsi="宋体" w:cs="宋体" w:eastAsia="宋体" w:hint="default"/>
                <w:sz w:val="18"/>
                <w:szCs w:val="18"/>
              </w:rPr>
            </w:pPr>
            <w:r>
              <w:rPr>
                <w:rFonts w:ascii="宋体" w:hAnsi="宋体" w:cs="宋体" w:eastAsia="宋体" w:hint="default"/>
                <w:sz w:val="18"/>
                <w:szCs w:val="18"/>
              </w:rPr>
              <w:t>代理记账； 财务 咨询等</w:t>
            </w:r>
          </w:p>
        </w:tc>
        <w:tc>
          <w:tcPr>
            <w:tcW w:w="638" w:type="dxa"/>
            <w:tcBorders>
              <w:top w:val="single" w:sz="15" w:space="0" w:color="000000"/>
              <w:left w:val="single" w:sz="4" w:space="0" w:color="000000"/>
              <w:bottom w:val="single" w:sz="4" w:space="0" w:color="000000"/>
              <w:right w:val="single" w:sz="4" w:space="0" w:color="000000"/>
            </w:tcBorders>
          </w:tcPr>
          <w:p>
            <w:pPr/>
          </w:p>
        </w:tc>
        <w:tc>
          <w:tcPr>
            <w:tcW w:w="1414"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63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53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投资有限公司；西 藏天元方创创业投 资有限公司；霍尔 果斯神州易桥股权 投资合伙企业（有 限合伙）</w:t>
            </w:r>
          </w:p>
        </w:tc>
        <w:tc>
          <w:tcPr>
            <w:tcW w:w="640" w:type="dxa"/>
            <w:tcBorders>
              <w:top w:val="single" w:sz="15" w:space="0" w:color="000000"/>
              <w:left w:val="single" w:sz="4" w:space="0" w:color="000000"/>
              <w:bottom w:val="single" w:sz="4" w:space="0" w:color="000000"/>
              <w:right w:val="single" w:sz="4" w:space="0" w:color="000000"/>
            </w:tcBorders>
          </w:tcPr>
          <w:p>
            <w:pPr/>
          </w:p>
        </w:tc>
        <w:tc>
          <w:tcPr>
            <w:tcW w:w="63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3" w:right="62"/>
              <w:jc w:val="left"/>
              <w:rPr>
                <w:rFonts w:ascii="宋体" w:hAnsi="宋体" w:cs="宋体" w:eastAsia="宋体" w:hint="default"/>
                <w:sz w:val="18"/>
                <w:szCs w:val="18"/>
              </w:rPr>
            </w:pPr>
            <w:r>
              <w:rPr>
                <w:rFonts w:ascii="宋体" w:hAnsi="宋体" w:cs="宋体" w:eastAsia="宋体" w:hint="default"/>
                <w:sz w:val="18"/>
                <w:szCs w:val="18"/>
              </w:rPr>
              <w:t>务及咨 询</w:t>
            </w:r>
          </w:p>
        </w:tc>
        <w:tc>
          <w:tcPr>
            <w:tcW w:w="64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更已完 成</w:t>
            </w:r>
          </w:p>
        </w:tc>
        <w:tc>
          <w:tcPr>
            <w:tcW w:w="638" w:type="dxa"/>
            <w:tcBorders>
              <w:top w:val="single" w:sz="15" w:space="0" w:color="000000"/>
              <w:left w:val="single" w:sz="4" w:space="0" w:color="000000"/>
              <w:bottom w:val="single" w:sz="4" w:space="0" w:color="000000"/>
              <w:right w:val="single" w:sz="4" w:space="0" w:color="000000"/>
            </w:tcBorders>
          </w:tcPr>
          <w:p>
            <w:pPr/>
          </w:p>
        </w:tc>
        <w:tc>
          <w:tcPr>
            <w:tcW w:w="1340" w:type="dxa"/>
            <w:tcBorders>
              <w:top w:val="single" w:sz="15" w:space="0" w:color="000000"/>
              <w:left w:val="single" w:sz="4" w:space="0" w:color="000000"/>
              <w:bottom w:val="single" w:sz="4" w:space="0" w:color="000000"/>
              <w:right w:val="single" w:sz="4" w:space="0" w:color="000000"/>
            </w:tcBorders>
          </w:tcPr>
          <w:p>
            <w:pPr/>
          </w:p>
        </w:tc>
        <w:tc>
          <w:tcPr>
            <w:tcW w:w="640" w:type="dxa"/>
            <w:tcBorders>
              <w:top w:val="single" w:sz="15" w:space="0" w:color="000000"/>
              <w:left w:val="single" w:sz="4" w:space="0" w:color="000000"/>
              <w:bottom w:val="single" w:sz="4" w:space="0" w:color="000000"/>
              <w:right w:val="single" w:sz="4" w:space="0" w:color="000000"/>
            </w:tcBorders>
          </w:tcPr>
          <w:p>
            <w:pPr/>
          </w:p>
        </w:tc>
        <w:tc>
          <w:tcPr>
            <w:tcW w:w="754" w:type="dxa"/>
            <w:tcBorders>
              <w:top w:val="single" w:sz="15" w:space="0" w:color="000000"/>
              <w:left w:val="single" w:sz="4" w:space="0" w:color="000000"/>
              <w:bottom w:val="single" w:sz="4" w:space="0" w:color="000000"/>
              <w:right w:val="single" w:sz="4" w:space="0" w:color="000000"/>
            </w:tcBorders>
          </w:tcPr>
          <w:p>
            <w:pPr/>
          </w:p>
        </w:tc>
        <w:tc>
          <w:tcPr>
            <w:tcW w:w="209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1,090,000,000.00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9"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39,702,071.88</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480"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480"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80"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480" w:right="120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3"/>
        <w:spacing w:line="240" w:lineRule="auto"/>
        <w:ind w:left="480"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80" w:right="11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0"/>
        <w:rPr>
          <w:rFonts w:ascii="宋体" w:hAnsi="宋体" w:cs="宋体" w:eastAsia="宋体" w:hint="default"/>
          <w:sz w:val="18"/>
          <w:szCs w:val="18"/>
        </w:rPr>
      </w:pPr>
    </w:p>
    <w:p>
      <w:pPr>
        <w:spacing w:before="159"/>
        <w:ind w:left="480"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）持有其他上市公司股权情况的说明</w:t>
      </w:r>
      <w:r>
        <w:rPr>
          <w:rFonts w:ascii="宋体" w:hAnsi="宋体" w:cs="宋体" w:eastAsia="宋体" w:hint="default"/>
          <w:sz w:val="18"/>
          <w:szCs w:val="18"/>
        </w:rPr>
      </w:r>
    </w:p>
    <w:p>
      <w:pPr>
        <w:pStyle w:val="BodyText"/>
        <w:spacing w:line="240" w:lineRule="auto" w:before="102"/>
        <w:ind w:left="48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475" w:type="dxa"/>
        <w:tblLayout w:type="fixed"/>
        <w:tblCellMar>
          <w:top w:w="0" w:type="dxa"/>
          <w:left w:w="0" w:type="dxa"/>
          <w:bottom w:w="0" w:type="dxa"/>
          <w:right w:w="0" w:type="dxa"/>
        </w:tblCellMar>
        <w:tblLook w:val="01E0"/>
      </w:tblPr>
      <w:tblGrid>
        <w:gridCol w:w="994"/>
        <w:gridCol w:w="1134"/>
        <w:gridCol w:w="1842"/>
        <w:gridCol w:w="1560"/>
        <w:gridCol w:w="1701"/>
        <w:gridCol w:w="1702"/>
        <w:gridCol w:w="2550"/>
        <w:gridCol w:w="1355"/>
        <w:gridCol w:w="1261"/>
      </w:tblGrid>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证券简称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最初投资成本（元）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期末占该公司股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权比例（</w:t>
            </w:r>
            <w:r>
              <w:rPr>
                <w:rFonts w:ascii="宋体" w:hAnsi="宋体" w:cs="宋体" w:eastAsia="宋体" w:hint="default"/>
                <w:sz w:val="18"/>
                <w:szCs w:val="18"/>
              </w:rPr>
              <w:t>%</w:t>
            </w:r>
            <w:r>
              <w:rPr>
                <w:rFonts w:ascii="宋体" w:hAnsi="宋体" w:cs="宋体" w:eastAsia="宋体"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pacing w:val="-6"/>
                <w:sz w:val="18"/>
                <w:szCs w:val="18"/>
              </w:rPr>
              <w:t>期末账面价值（元）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报告期损益（元）</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报告期所有者权益变动（元）</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32"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4"/>
              <w:jc w:val="righ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002821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center"/>
              <w:rPr>
                <w:rFonts w:ascii="宋体" w:hAnsi="宋体" w:cs="宋体" w:eastAsia="宋体" w:hint="default"/>
                <w:sz w:val="18"/>
                <w:szCs w:val="18"/>
              </w:rPr>
            </w:pPr>
            <w:r>
              <w:rPr>
                <w:rFonts w:ascii="宋体" w:hAnsi="宋体" w:cs="宋体" w:eastAsia="宋体" w:hint="default"/>
                <w:sz w:val="18"/>
                <w:szCs w:val="18"/>
              </w:rPr>
              <w:t>凯莱英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20,000,000.00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12,498,373.09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-7,481,773.91</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64"/>
              <w:jc w:val="right"/>
              <w:rPr>
                <w:rFonts w:ascii="宋体" w:hAnsi="宋体" w:cs="宋体" w:eastAsia="宋体" w:hint="default"/>
                <w:sz w:val="18"/>
                <w:szCs w:val="18"/>
              </w:rPr>
            </w:pPr>
            <w:r>
              <w:rPr>
                <w:rFonts w:ascii="宋体" w:hAnsi="宋体" w:cs="宋体" w:eastAsia="宋体" w:hint="default"/>
                <w:sz w:val="18"/>
                <w:szCs w:val="18"/>
              </w:rPr>
              <w:t>股权投资</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960" w:right="96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28"/>
        <w:gridCol w:w="1842"/>
        <w:gridCol w:w="1560"/>
        <w:gridCol w:w="1701"/>
        <w:gridCol w:w="1702"/>
        <w:gridCol w:w="2550"/>
        <w:gridCol w:w="1355"/>
        <w:gridCol w:w="1261"/>
      </w:tblGrid>
      <w:tr>
        <w:trPr>
          <w:trHeight w:val="258" w:hRule="exact"/>
        </w:trPr>
        <w:tc>
          <w:tcPr>
            <w:tcW w:w="2128"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sz w:val="18"/>
              </w:rPr>
              <w:t>20,000,000.00</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0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0.00</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60" w:right="0"/>
              <w:jc w:val="left"/>
              <w:rPr>
                <w:rFonts w:ascii="宋体" w:hAnsi="宋体" w:cs="宋体" w:eastAsia="宋体" w:hint="default"/>
                <w:sz w:val="18"/>
                <w:szCs w:val="18"/>
              </w:rPr>
            </w:pPr>
            <w:r>
              <w:rPr>
                <w:rFonts w:ascii="宋体"/>
                <w:sz w:val="18"/>
              </w:rPr>
              <w:t>12,498,373.09</w:t>
            </w:r>
          </w:p>
        </w:tc>
        <w:tc>
          <w:tcPr>
            <w:tcW w:w="2550"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684" w:right="0"/>
              <w:jc w:val="left"/>
              <w:rPr>
                <w:rFonts w:ascii="宋体" w:hAnsi="宋体" w:cs="宋体" w:eastAsia="宋体" w:hint="default"/>
                <w:sz w:val="18"/>
                <w:szCs w:val="18"/>
              </w:rPr>
            </w:pPr>
            <w:r>
              <w:rPr>
                <w:rFonts w:ascii="宋体"/>
                <w:sz w:val="18"/>
              </w:rPr>
              <w:t>-7,481,773.91</w:t>
            </w:r>
          </w:p>
        </w:tc>
        <w:tc>
          <w:tcPr>
            <w:tcW w:w="1355"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6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20"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20"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355"/>
        <w:jc w:val="right"/>
      </w:pPr>
      <w:r>
        <w:rPr/>
        <w:t>单位：万元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866"/>
        <w:gridCol w:w="863"/>
        <w:gridCol w:w="877"/>
        <w:gridCol w:w="1222"/>
        <w:gridCol w:w="1276"/>
        <w:gridCol w:w="1560"/>
        <w:gridCol w:w="1416"/>
        <w:gridCol w:w="1702"/>
        <w:gridCol w:w="1276"/>
        <w:gridCol w:w="1417"/>
        <w:gridCol w:w="1419"/>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55" w:right="65" w:hanging="90"/>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3" w:right="54" w:hanging="90"/>
              <w:jc w:val="left"/>
              <w:rPr>
                <w:rFonts w:ascii="宋体" w:hAnsi="宋体" w:cs="宋体" w:eastAsia="宋体" w:hint="default"/>
                <w:sz w:val="18"/>
                <w:szCs w:val="18"/>
              </w:rPr>
            </w:pPr>
            <w:r>
              <w:rPr>
                <w:rFonts w:ascii="宋体" w:hAnsi="宋体" w:cs="宋体" w:eastAsia="宋体" w:hint="default"/>
                <w:sz w:val="18"/>
                <w:szCs w:val="18"/>
              </w:rPr>
              <w:t>报告期内变更用途 的募集资金总额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3" w:right="71" w:hanging="90"/>
              <w:jc w:val="left"/>
              <w:rPr>
                <w:rFonts w:ascii="宋体" w:hAnsi="宋体" w:cs="宋体" w:eastAsia="宋体" w:hint="default"/>
                <w:sz w:val="18"/>
                <w:szCs w:val="18"/>
              </w:rPr>
            </w:pPr>
            <w:r>
              <w:rPr>
                <w:rFonts w:ascii="宋体" w:hAnsi="宋体" w:cs="宋体" w:eastAsia="宋体" w:hint="default"/>
                <w:sz w:val="18"/>
                <w:szCs w:val="18"/>
              </w:rPr>
              <w:t>累计变更用途的 募集资金总额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06" w:right="35" w:hanging="270"/>
              <w:jc w:val="left"/>
              <w:rPr>
                <w:rFonts w:ascii="宋体" w:hAnsi="宋体" w:cs="宋体" w:eastAsia="宋体" w:hint="default"/>
                <w:sz w:val="18"/>
                <w:szCs w:val="18"/>
              </w:rPr>
            </w:pPr>
            <w:r>
              <w:rPr>
                <w:rFonts w:ascii="宋体" w:hAnsi="宋体" w:cs="宋体" w:eastAsia="宋体" w:hint="default"/>
                <w:sz w:val="18"/>
                <w:szCs w:val="18"/>
              </w:rPr>
              <w:t>累计变更用途的募集 资金总额比例</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4" w:right="71" w:hanging="90"/>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3" w:right="75" w:hanging="181"/>
              <w:jc w:val="left"/>
              <w:rPr>
                <w:rFonts w:ascii="宋体" w:hAnsi="宋体" w:cs="宋体" w:eastAsia="宋体" w:hint="default"/>
                <w:sz w:val="18"/>
                <w:szCs w:val="18"/>
              </w:rPr>
            </w:pPr>
            <w:r>
              <w:rPr>
                <w:rFonts w:ascii="宋体" w:hAnsi="宋体" w:cs="宋体" w:eastAsia="宋体" w:hint="default"/>
                <w:sz w:val="18"/>
                <w:szCs w:val="18"/>
              </w:rPr>
              <w:t>闲置两年以上募 集资金金额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99,325.09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31,614.86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专户存储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99,325.09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3,493.74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67,710.23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29.90%</w:t>
            </w:r>
          </w:p>
        </w:tc>
        <w:tc>
          <w:tcPr>
            <w:tcW w:w="127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31,614.86</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641"/>
              <w:jc w:val="right"/>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8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020" w:hRule="exact"/>
        </w:trPr>
        <w:tc>
          <w:tcPr>
            <w:tcW w:w="1389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日，经公司第七届董事会第四次会议、第七届监事会第四次会议审议，同意公司使用部分闲置募集资金人民币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万元暂时补充流动资金，使用期限为自董事</w:t>
            </w:r>
          </w:p>
          <w:p>
            <w:pPr>
              <w:pStyle w:val="TableParagraph"/>
              <w:spacing w:line="302"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会审议通过之日起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日，公司已将上述暂时补充流动资金的募集资金</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万元全部归还至募集资金专用账户，并将归还募集资金的情况通知了保荐机 构和保荐代表人。</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日，经公司第七届董事会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年第四次临时会议决议、第七届监事会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年第四次临时会议决议审议通过，使用募集资金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万元对企业管家进行增资，报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告期内实际增资款为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年第十二次临时会议、第七届监事会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年第九次临时会议审议，同意使用部分闲置募集资金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万元暂时补充流动资金，使</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用期限为自董事会审议通过之日起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日，经公司第八届董事会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年第七次临时会议、第八届监事会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年第七次临时会议审议通过，同意使用部分暂时闲置募集资金不超过人民币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购买银行保本型理财产品，自董事会审议通过之日起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个月内有效。在上述额度内，资金可以滚动使用。截至报告期末，公司不存在未到期的理财产品。</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20" w:right="1180"/>
        </w:sectPr>
      </w:pPr>
    </w:p>
    <w:p>
      <w:pPr>
        <w:spacing w:line="240" w:lineRule="auto" w:before="12"/>
        <w:rPr>
          <w:rFonts w:ascii="宋体" w:hAnsi="宋体" w:cs="宋体" w:eastAsia="宋体" w:hint="default"/>
          <w:sz w:val="2"/>
          <w:szCs w:val="2"/>
        </w:rPr>
      </w:pPr>
      <w:r>
        <w:rPr/>
        <w:pict>
          <v:group style="position:absolute;margin-left:191pt;margin-top:395.080017pt;width:573.35pt;height:15.65pt;mso-position-horizontal-relative:page;mso-position-vertical-relative:page;z-index:-1039672" coordorigin="3820,7902" coordsize="11467,313">
            <v:shape style="position:absolute;left:3820;top:7902;width:11467;height:313" coordorigin="3820,7902" coordsize="11467,313" path="m3820,8214l15287,8214,15287,7902,3820,7902,3820,8214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35"/>
        <w:jc w:val="right"/>
      </w:pPr>
      <w:r>
        <w:rPr/>
        <w:t>单位：万元</w:t>
      </w:r>
    </w:p>
    <w:p>
      <w:pPr>
        <w:spacing w:line="240" w:lineRule="auto" w:before="1"/>
        <w:rPr>
          <w:rFonts w:ascii="宋体" w:hAnsi="宋体" w:cs="宋体" w:eastAsia="宋体" w:hint="default"/>
          <w:sz w:val="8"/>
          <w:szCs w:val="8"/>
        </w:rPr>
      </w:pPr>
    </w:p>
    <w:tbl>
      <w:tblPr>
        <w:tblW w:w="0" w:type="auto"/>
        <w:jc w:val="left"/>
        <w:tblInd w:w="219" w:type="dxa"/>
        <w:tblLayout w:type="fixed"/>
        <w:tblCellMar>
          <w:top w:w="0" w:type="dxa"/>
          <w:left w:w="0" w:type="dxa"/>
          <w:bottom w:w="0" w:type="dxa"/>
          <w:right w:w="0" w:type="dxa"/>
        </w:tblCellMar>
        <w:tblLook w:val="01E0"/>
      </w:tblPr>
      <w:tblGrid>
        <w:gridCol w:w="2268"/>
        <w:gridCol w:w="1386"/>
        <w:gridCol w:w="1064"/>
        <w:gridCol w:w="1134"/>
        <w:gridCol w:w="1134"/>
        <w:gridCol w:w="1345"/>
        <w:gridCol w:w="1488"/>
        <w:gridCol w:w="1346"/>
        <w:gridCol w:w="851"/>
        <w:gridCol w:w="780"/>
        <w:gridCol w:w="992"/>
      </w:tblGrid>
      <w:tr>
        <w:trPr>
          <w:trHeight w:val="1026" w:hRule="exact"/>
        </w:trPr>
        <w:tc>
          <w:tcPr>
            <w:tcW w:w="2268" w:type="dxa"/>
            <w:tcBorders>
              <w:top w:val="nil" w:sz="6" w:space="0" w:color="auto"/>
              <w:left w:val="nil" w:sz="6" w:space="0" w:color="auto"/>
              <w:bottom w:val="nil" w:sz="6" w:space="0" w:color="auto"/>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8" w:right="48" w:hanging="990"/>
              <w:jc w:val="left"/>
              <w:rPr>
                <w:rFonts w:ascii="宋体" w:hAnsi="宋体" w:cs="宋体" w:eastAsia="宋体" w:hint="default"/>
                <w:sz w:val="18"/>
                <w:szCs w:val="18"/>
              </w:rPr>
            </w:pPr>
            <w:r>
              <w:rPr>
                <w:rFonts w:ascii="宋体" w:hAnsi="宋体" w:cs="宋体" w:eastAsia="宋体" w:hint="default"/>
                <w:sz w:val="18"/>
                <w:szCs w:val="18"/>
              </w:rPr>
              <w:t>承诺投资项目和超募资金投 向</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是否已变更项目</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含部分变更</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5" w:right="110"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1" w:right="11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2" w:right="36" w:hanging="256"/>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 入金额</w:t>
            </w:r>
            <w:r>
              <w:rPr>
                <w:rFonts w:ascii="Times New Roman" w:hAnsi="Times New Roman" w:cs="Times New Roman" w:eastAsia="Times New Roman" w:hint="default"/>
                <w:sz w:val="18"/>
                <w:szCs w:val="18"/>
              </w:rPr>
              <w:t>(2)</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107" w:hanging="111"/>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截至期末投资进 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8" w:right="36"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2" w:hRule="exact"/>
        </w:trPr>
        <w:tc>
          <w:tcPr>
            <w:tcW w:w="137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智慧企业孵化云平台项目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70,591.65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70,591.65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3,493.74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65,640.13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92.99%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企业大数据中心平台项目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32,216.75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32,216.75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3,493.74</w:t>
            </w:r>
          </w:p>
        </w:tc>
        <w:tc>
          <w:tcPr>
            <w:tcW w:w="134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67,710.23</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9"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37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38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102,808.4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3,493.74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67,710.23</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31"/>
              <w:jc w:val="right"/>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2268" w:type="dxa"/>
            <w:tcBorders>
              <w:top w:val="single" w:sz="4" w:space="0" w:color="000000"/>
              <w:left w:val="single" w:sz="4" w:space="0" w:color="000000"/>
              <w:bottom w:val="nil" w:sz="6" w:space="0" w:color="auto"/>
              <w:right w:val="single" w:sz="9" w:space="0" w:color="FFFFFF"/>
            </w:tcBorders>
            <w:shd w:val="clear" w:color="auto" w:fill="D2D2D2"/>
          </w:tcPr>
          <w:p>
            <w:pPr/>
          </w:p>
        </w:tc>
        <w:tc>
          <w:tcPr>
            <w:tcW w:w="11522" w:type="dxa"/>
            <w:gridSpan w:val="10"/>
            <w:vMerge w:val="restart"/>
            <w:tcBorders>
              <w:top w:val="single" w:sz="4" w:space="0" w:color="000000"/>
              <w:left w:val="single" w:sz="9" w:space="0" w:color="FFFFFF"/>
              <w:right w:val="single" w:sz="4" w:space="0" w:color="000000"/>
            </w:tcBorders>
          </w:tcPr>
          <w:p>
            <w:pPr>
              <w:pStyle w:val="TableParagraph"/>
              <w:spacing w:line="304" w:lineRule="auto" w:before="51"/>
              <w:ind w:left="16" w:right="6"/>
              <w:jc w:val="left"/>
              <w:rPr>
                <w:rFonts w:ascii="宋体" w:hAnsi="宋体" w:cs="宋体" w:eastAsia="宋体" w:hint="default"/>
                <w:sz w:val="18"/>
                <w:szCs w:val="18"/>
              </w:rPr>
            </w:pPr>
            <w:r>
              <w:rPr>
                <w:rFonts w:ascii="宋体" w:hAnsi="宋体" w:cs="宋体" w:eastAsia="宋体" w:hint="default"/>
                <w:sz w:val="18"/>
                <w:szCs w:val="18"/>
              </w:rPr>
              <w:t>企业大数据中心平台项目资金投入较少的原因及合理性：</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是基于通过</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对大量企业数据的整合和分析， </w:t>
            </w:r>
            <w:r>
              <w:rPr>
                <w:rFonts w:ascii="宋体" w:hAnsi="宋体" w:cs="宋体" w:eastAsia="宋体" w:hint="default"/>
                <w:spacing w:val="-2"/>
                <w:sz w:val="18"/>
                <w:szCs w:val="18"/>
              </w:rPr>
              <w:t>旨在通过每个企业的行业、规模、财务、税务等不同维度的数据整理分析出企业的画像，为其提供全流程精准服务。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智慧企业孵化云平台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作为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w:t>
            </w:r>
            <w:r>
              <w:rPr>
                <w:rFonts w:ascii="宋体" w:hAnsi="宋体" w:cs="宋体" w:eastAsia="宋体" w:hint="default"/>
                <w:spacing w:val="-75"/>
                <w:sz w:val="18"/>
                <w:szCs w:val="18"/>
              </w:rPr>
              <w:t> </w:t>
            </w:r>
            <w:r>
              <w:rPr>
                <w:rFonts w:ascii="宋体" w:hAnsi="宋体" w:cs="宋体" w:eastAsia="宋体" w:hint="default"/>
                <w:sz w:val="18"/>
                <w:szCs w:val="18"/>
              </w:rPr>
              <w:t>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的基础，实际上是先行通过业务数据的采集及完善，解决</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未来数据来源及获取问题。报告期内公司逐步 完成了</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企业端数据的采集，同时，根据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年国家针对实体经济、小微企业以及民生问题大力实施减税降费和社保入税等 </w:t>
            </w:r>
            <w:r>
              <w:rPr>
                <w:rFonts w:ascii="宋体" w:hAnsi="宋体" w:cs="宋体" w:eastAsia="宋体" w:hint="default"/>
                <w:spacing w:val="-1"/>
                <w:sz w:val="18"/>
                <w:szCs w:val="18"/>
              </w:rPr>
              <w:t>政策，公司基于企业大数据中心平台数据沉淀量和社保税收政策调整的现实，决定直接驱动数据变现，故本报告期大数据项目不再继续投入。截至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本报告披露日，该项目已进入后期试运行及整理验收阶段。</w:t>
            </w:r>
          </w:p>
        </w:tc>
      </w:tr>
      <w:tr>
        <w:trPr>
          <w:trHeight w:val="705" w:hRule="exact"/>
        </w:trPr>
        <w:tc>
          <w:tcPr>
            <w:tcW w:w="2268" w:type="dxa"/>
            <w:tcBorders>
              <w:top w:val="nil" w:sz="6" w:space="0" w:color="auto"/>
              <w:left w:val="single" w:sz="4" w:space="0" w:color="000000"/>
              <w:bottom w:val="nil" w:sz="6" w:space="0" w:color="auto"/>
              <w:right w:val="single" w:sz="9" w:space="0" w:color="FFFFFF"/>
            </w:tcBorders>
            <w:shd w:val="clear" w:color="auto" w:fill="D2D2D2"/>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未达到计划进度或预计收益 </w:t>
            </w:r>
            <w:r>
              <w:rPr>
                <w:rFonts w:ascii="宋体" w:hAnsi="宋体" w:cs="宋体" w:eastAsia="宋体" w:hint="default"/>
                <w:spacing w:val="-6"/>
                <w:sz w:val="18"/>
                <w:szCs w:val="18"/>
              </w:rPr>
              <w:t>的情况和原因（分具体项目）</w:t>
            </w:r>
            <w:r>
              <w:rPr>
                <w:rFonts w:ascii="宋体" w:hAnsi="宋体" w:cs="宋体" w:eastAsia="宋体" w:hint="default"/>
                <w:sz w:val="18"/>
                <w:szCs w:val="18"/>
              </w:rPr>
            </w:r>
          </w:p>
        </w:tc>
        <w:tc>
          <w:tcPr>
            <w:tcW w:w="11522" w:type="dxa"/>
            <w:gridSpan w:val="10"/>
            <w:vMerge/>
            <w:tcBorders>
              <w:left w:val="single" w:sz="9" w:space="0" w:color="FFFFFF"/>
              <w:right w:val="single" w:sz="4" w:space="0" w:color="000000"/>
            </w:tcBorders>
          </w:tcPr>
          <w:p>
            <w:pPr/>
          </w:p>
        </w:tc>
      </w:tr>
      <w:tr>
        <w:trPr>
          <w:trHeight w:val="629" w:hRule="exact"/>
        </w:trPr>
        <w:tc>
          <w:tcPr>
            <w:tcW w:w="2268" w:type="dxa"/>
            <w:tcBorders>
              <w:top w:val="nil" w:sz="6" w:space="0" w:color="auto"/>
              <w:left w:val="single" w:sz="4" w:space="0" w:color="000000"/>
              <w:bottom w:val="single" w:sz="4" w:space="0" w:color="000000"/>
              <w:right w:val="single" w:sz="9" w:space="0" w:color="FFFFFF"/>
            </w:tcBorders>
            <w:shd w:val="clear" w:color="auto" w:fill="D2D2D2"/>
          </w:tcPr>
          <w:p>
            <w:pPr/>
          </w:p>
        </w:tc>
        <w:tc>
          <w:tcPr>
            <w:tcW w:w="11522" w:type="dxa"/>
            <w:gridSpan w:val="10"/>
            <w:vMerge/>
            <w:tcBorders>
              <w:left w:val="single" w:sz="9" w:space="0" w:color="FFFFFF"/>
              <w:bottom w:val="nil" w:sz="6" w:space="0" w:color="auto"/>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项目可行性发生重大变化的 情况说明</w:t>
            </w:r>
          </w:p>
        </w:tc>
        <w:tc>
          <w:tcPr>
            <w:tcW w:w="115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75"/>
              <w:jc w:val="left"/>
              <w:rPr>
                <w:rFonts w:ascii="宋体" w:hAnsi="宋体" w:cs="宋体" w:eastAsia="宋体" w:hint="default"/>
                <w:sz w:val="18"/>
                <w:szCs w:val="18"/>
              </w:rPr>
            </w:pPr>
            <w:r>
              <w:rPr>
                <w:rFonts w:ascii="宋体" w:hAnsi="宋体" w:cs="宋体" w:eastAsia="宋体" w:hint="default"/>
                <w:sz w:val="18"/>
                <w:szCs w:val="18"/>
              </w:rPr>
              <w:t>超募资金的金额、用途及使 用进展情况</w:t>
            </w:r>
          </w:p>
        </w:tc>
        <w:tc>
          <w:tcPr>
            <w:tcW w:w="115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1522" w:type="dxa"/>
            <w:gridSpan w:val="10"/>
            <w:tcBorders>
              <w:top w:val="single" w:sz="4" w:space="0" w:color="000000"/>
              <w:left w:val="single" w:sz="13" w:space="0" w:color="D2D2D2"/>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68"/>
        <w:gridCol w:w="11522"/>
      </w:tblGrid>
      <w:tr>
        <w:trPr>
          <w:trHeight w:val="416" w:hRule="exact"/>
        </w:trPr>
        <w:tc>
          <w:tcPr>
            <w:tcW w:w="2268" w:type="dxa"/>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募集资金投资项目实施地点 变更情况</w:t>
            </w:r>
          </w:p>
        </w:tc>
        <w:tc>
          <w:tcPr>
            <w:tcW w:w="115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vMerge/>
            <w:tcBorders>
              <w:left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募集资金投资项目实施方式 调整情况</w:t>
            </w: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2268" w:type="dxa"/>
            <w:vMerge/>
            <w:tcBorders>
              <w:left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年第五次临时会议、第七届监事会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年第五次临时会议以及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 </w:t>
            </w:r>
            <w:r>
              <w:rPr>
                <w:rFonts w:ascii="宋体" w:hAnsi="宋体" w:cs="宋体" w:eastAsia="宋体" w:hint="default"/>
                <w:spacing w:val="-1"/>
                <w:sz w:val="18"/>
                <w:szCs w:val="18"/>
              </w:rPr>
              <w:t>股东大会审议批准，同意在保持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智慧企业孵化云平台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项目投资额不变的情况下，变更该项目线下服务体系的实施方式。由自建变更为企业管家通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过对易桥快马增资方式进行股权并购，其中以募集资金增资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募集资金投资项目先期投入 及置换情况</w:t>
            </w: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日，经公司第七届董事会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年第十一次临时会议、第七届监事会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年第八次临时会议审议，同意公司以募集资金置换预先已</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3,779.38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用闲置募集资金暂时补充流 动资金情况</w:t>
            </w: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2268" w:type="dxa"/>
            <w:vMerge/>
            <w:tcBorders>
              <w:left w:val="single" w:sz="4" w:space="0" w:color="000000"/>
              <w:bottom w:val="single" w:sz="4" w:space="0" w:color="FFFFFF"/>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pacing w:val="-6"/>
                <w:sz w:val="18"/>
                <w:szCs w:val="18"/>
              </w:rPr>
              <w:t>日，经公司第七届董事会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年第十二次临时会议、第七届监事会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年第九次临时会议审议，同意使用部分闲置募集资金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万元暂时补充流动资金，使用期限为自董事会审议通过之日起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226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75"/>
              <w:jc w:val="left"/>
              <w:rPr>
                <w:rFonts w:ascii="宋体" w:hAnsi="宋体" w:cs="宋体" w:eastAsia="宋体" w:hint="default"/>
                <w:sz w:val="18"/>
                <w:szCs w:val="18"/>
              </w:rPr>
            </w:pPr>
            <w:r>
              <w:rPr>
                <w:rFonts w:ascii="宋体" w:hAnsi="宋体" w:cs="宋体" w:eastAsia="宋体" w:hint="default"/>
                <w:sz w:val="18"/>
                <w:szCs w:val="18"/>
              </w:rPr>
              <w:t>项目实施出现募集资金结余 的金额及原因</w:t>
            </w:r>
          </w:p>
        </w:tc>
        <w:tc>
          <w:tcPr>
            <w:tcW w:w="1152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8" w:type="dxa"/>
            <w:vMerge/>
            <w:tcBorders>
              <w:left w:val="single" w:sz="4" w:space="0" w:color="000000"/>
              <w:bottom w:val="single" w:sz="4" w:space="0" w:color="000000"/>
              <w:right w:val="single" w:sz="4" w:space="0" w:color="000000"/>
            </w:tcBorders>
            <w:shd w:val="clear" w:color="auto" w:fill="D2D2D2"/>
          </w:tcPr>
          <w:p>
            <w:pPr/>
          </w:p>
        </w:tc>
        <w:tc>
          <w:tcPr>
            <w:tcW w:w="115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尚未使用的募集资金用途及 去向</w:t>
            </w: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存放在专用账户内</w:t>
            </w:r>
          </w:p>
        </w:tc>
      </w:tr>
      <w:tr>
        <w:trPr>
          <w:trHeight w:val="262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募集资金使用及披露中存在 的问题或其他情况</w:t>
            </w:r>
          </w:p>
        </w:tc>
        <w:tc>
          <w:tcPr>
            <w:tcW w:w="1152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、子公司企业管家（北京）科技服务有限公司以募集资金垫付关联方神州易桥（北京）财税科技服务有限公司及其子公司人员成本及其他费用等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2,358.27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万元，上述垫付资金已于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日全部转回。</w:t>
            </w:r>
          </w:p>
          <w:p>
            <w:pPr>
              <w:pStyle w:val="TableParagraph"/>
              <w:spacing w:line="304"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、企业大数据中心平台项目资金投入较少的原因及合理性：</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是基于通过</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对大量企业数据的整合和分 析，旨在通过每个企业的行业、规模、财务、税务等不同维度的数据整理分析出企业的画像，为其提供全流程精准服务。</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作 为</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的基础，实际上是先行通过业务数据的采集及完善，解决</w:t>
            </w:r>
            <w:r>
              <w:rPr>
                <w:rFonts w:ascii="Times New Roman" w:hAnsi="Times New Roman" w:cs="Times New Roman" w:eastAsia="Times New Roman" w:hint="default"/>
                <w:sz w:val="18"/>
                <w:szCs w:val="18"/>
              </w:rPr>
              <w:t>“</w:t>
            </w:r>
            <w:r>
              <w:rPr>
                <w:rFonts w:ascii="宋体" w:hAnsi="宋体" w:cs="宋体" w:eastAsia="宋体" w:hint="default"/>
                <w:sz w:val="18"/>
                <w:szCs w:val="18"/>
              </w:rPr>
              <w:t>企业大数据中心平台</w:t>
            </w:r>
            <w:r>
              <w:rPr>
                <w:rFonts w:ascii="Times New Roman" w:hAnsi="Times New Roman" w:cs="Times New Roman" w:eastAsia="Times New Roman" w:hint="default"/>
                <w:sz w:val="18"/>
                <w:szCs w:val="18"/>
              </w:rPr>
              <w:t>”</w:t>
            </w:r>
            <w:r>
              <w:rPr>
                <w:rFonts w:ascii="宋体" w:hAnsi="宋体" w:cs="宋体" w:eastAsia="宋体" w:hint="default"/>
                <w:sz w:val="18"/>
                <w:szCs w:val="18"/>
              </w:rPr>
              <w:t>未来数据来源及获取问题。报告期内公司 逐步完成了</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企业端数据的采集，同时，根据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年国家针对实体经济、小微企业以及民生问题大力实施减税降费和社保入 税等政策，公司基于企业大数据中心平台数据沉淀量和社保税收政策调整的现实，决定直接驱动数据变现，故本报告期大数据项目不再继续投入。 截至本报告披露日，该项目已进入后期试运行及整理验收阶段。</w:t>
            </w:r>
          </w:p>
        </w:tc>
      </w:tr>
    </w:tbl>
    <w:p>
      <w:pPr>
        <w:spacing w:after="0" w:line="304" w:lineRule="auto"/>
        <w:jc w:val="left"/>
        <w:rPr>
          <w:rFonts w:ascii="宋体" w:hAnsi="宋体" w:cs="宋体" w:eastAsia="宋体" w:hint="default"/>
          <w:sz w:val="18"/>
          <w:szCs w:val="18"/>
        </w:rPr>
        <w:sectPr>
          <w:pgSz w:w="16840" w:h="11910" w:orient="landscape"/>
          <w:pgMar w:header="867" w:footer="979" w:top="1060" w:bottom="1160" w:left="1400" w:right="1320"/>
        </w:sectPr>
      </w:pPr>
    </w:p>
    <w:p>
      <w:pPr>
        <w:spacing w:line="240" w:lineRule="auto" w:before="4"/>
        <w:rPr>
          <w:rFonts w:ascii="Times New Roman" w:hAnsi="Times New Roman" w:cs="Times New Roman" w:eastAsia="Times New Roman" w:hint="default"/>
          <w:sz w:val="3"/>
          <w:szCs w:val="3"/>
        </w:rPr>
      </w:pPr>
    </w:p>
    <w:p>
      <w:pPr>
        <w:spacing w:line="20" w:lineRule="exact"/>
        <w:ind w:left="1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60"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95"/>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44"/>
        <w:ind w:left="0" w:right="109"/>
        <w:jc w:val="right"/>
      </w:pPr>
      <w:r>
        <w:rPr/>
        <w:pict>
          <v:shape style="position:absolute;margin-left:69.870003pt;margin-top:-139.108292pt;width:702.45pt;height:277.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702"/>
                    <w:gridCol w:w="1559"/>
                    <w:gridCol w:w="958"/>
                    <w:gridCol w:w="1595"/>
                    <w:gridCol w:w="1559"/>
                    <w:gridCol w:w="1417"/>
                    <w:gridCol w:w="956"/>
                    <w:gridCol w:w="958"/>
                    <w:gridCol w:w="1488"/>
                  </w:tblGrid>
                  <w:tr>
                    <w:trPr>
                      <w:trHeight w:val="1026"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对应的原承诺项目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8" w:right="53"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变更后项目拟投入 募集资金总额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6" w:right="71" w:hanging="25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截至期末实际累计 投入金额</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截至期末投资进度</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(3)=(2)/(1)</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3" w:right="72" w:hanging="90"/>
                          <w:jc w:val="left"/>
                          <w:rPr>
                            <w:rFonts w:ascii="宋体" w:hAnsi="宋体" w:cs="宋体" w:eastAsia="宋体" w:hint="default"/>
                            <w:sz w:val="18"/>
                            <w:szCs w:val="18"/>
                          </w:rPr>
                        </w:pPr>
                        <w:r>
                          <w:rPr>
                            <w:rFonts w:ascii="宋体" w:hAnsi="宋体" w:cs="宋体" w:eastAsia="宋体" w:hint="default"/>
                            <w:sz w:val="18"/>
                            <w:szCs w:val="18"/>
                          </w:rPr>
                          <w:t>项目达到预定可 使用状态日期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7"/>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智慧企业孵化云平台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智慧企业孵化云平台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70,591.65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65,640.13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0" w:right="0"/>
                          <w:jc w:val="left"/>
                          <w:rPr>
                            <w:rFonts w:ascii="Times New Roman" w:hAnsi="Times New Roman" w:cs="Times New Roman" w:eastAsia="Times New Roman" w:hint="default"/>
                            <w:sz w:val="18"/>
                            <w:szCs w:val="18"/>
                          </w:rPr>
                        </w:pPr>
                        <w:r>
                          <w:rPr>
                            <w:rFonts w:ascii="Times New Roman"/>
                            <w:sz w:val="18"/>
                          </w:rPr>
                          <w:t>92.99%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70,591.65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65,640.13</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586"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931"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6"/>
                          <w:jc w:val="both"/>
                          <w:rPr>
                            <w:rFonts w:ascii="宋体" w:hAnsi="宋体" w:cs="宋体" w:eastAsia="宋体" w:hint="default"/>
                            <w:sz w:val="18"/>
                            <w:szCs w:val="18"/>
                          </w:rPr>
                        </w:pPr>
                        <w:r>
                          <w:rPr>
                            <w:rFonts w:ascii="宋体" w:hAnsi="宋体" w:cs="宋体" w:eastAsia="宋体" w:hint="default"/>
                            <w:sz w:val="18"/>
                            <w:szCs w:val="18"/>
                          </w:rPr>
                          <w:t>为了提高募集资金使用效率，加快募集资金投资项目建设，公司在保持</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项目投资额不变的 情况下，拟变更该项目线下服务体系的实施方式。由自建方式变更为企业管家根据项目建设进度，通过增资或收 购标的企业以控股的形式建设线下服务网点，进一步保障企业互联网服务线上线下有效结合。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4" w:lineRule="auto" w:before="5"/>
                          <w:ind w:left="22" w:right="20"/>
                          <w:jc w:val="both"/>
                          <w:rPr>
                            <w:rFonts w:ascii="宋体" w:hAnsi="宋体" w:cs="宋体" w:eastAsia="宋体" w:hint="default"/>
                            <w:sz w:val="18"/>
                            <w:szCs w:val="18"/>
                          </w:rPr>
                        </w:pPr>
                        <w:r>
                          <w:rPr>
                            <w:rFonts w:ascii="宋体" w:hAnsi="宋体" w:cs="宋体" w:eastAsia="宋体" w:hint="default"/>
                            <w:sz w:val="18"/>
                            <w:szCs w:val="18"/>
                          </w:rPr>
                          <w:t>经公司第七届董事会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年第五次临时会议、第七届监事会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年第五次临时会议以及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年第二次临时股东大会审议批准，同意变更募集资金投资项目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智慧企业孵化云平台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线下服务体系的实施方式， 由自建方式变更为企业管家通过增资方式对易桥快马进行股权并购，进一步保障企业互联网服务线上线下有效结 </w:t>
                        </w:r>
                        <w:r>
                          <w:rPr>
                            <w:rFonts w:ascii="宋体" w:hAnsi="宋体" w:cs="宋体" w:eastAsia="宋体" w:hint="default"/>
                            <w:spacing w:val="-3"/>
                            <w:sz w:val="18"/>
                            <w:szCs w:val="18"/>
                          </w:rPr>
                          <w:t>合。企业管家以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亿元人民币对易桥快马进行增资（其中：使用募集资金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29,700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万元，自有资金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pacing w:val="-18"/>
                            <w:sz w:val="18"/>
                            <w:szCs w:val="18"/>
                          </w:rPr>
                          <w:t>万元），增资</w:t>
                        </w:r>
                        <w:r>
                          <w:rPr>
                            <w:rFonts w:ascii="宋体" w:hAnsi="宋体" w:cs="宋体" w:eastAsia="宋体" w:hint="default"/>
                            <w:sz w:val="18"/>
                            <w:szCs w:val="18"/>
                          </w:rPr>
                          <w:t> 后企业管家持有易桥快马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r>
                  <w:tr>
                    <w:trPr>
                      <w:trHeight w:val="402"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9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89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26"/>
        <w:ind w:left="160"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60"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60" w:right="117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40" w:lineRule="auto"/>
        <w:jc w:val="left"/>
        <w:sectPr>
          <w:pgSz w:w="16840" w:h="11910" w:orient="landscape"/>
          <w:pgMar w:header="867" w:footer="979" w:top="1060" w:bottom="1160" w:left="1280" w:right="1240"/>
        </w:sectPr>
      </w:pPr>
    </w:p>
    <w:p>
      <w:pPr>
        <w:spacing w:line="240" w:lineRule="auto" w:before="12"/>
        <w:rPr>
          <w:rFonts w:ascii="宋体" w:hAnsi="宋体" w:cs="宋体" w:eastAsia="宋体" w:hint="default"/>
          <w:sz w:val="2"/>
          <w:szCs w:val="2"/>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300"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560"/>
        <w:gridCol w:w="1134"/>
        <w:gridCol w:w="683"/>
        <w:gridCol w:w="1160"/>
        <w:gridCol w:w="1186"/>
        <w:gridCol w:w="683"/>
        <w:gridCol w:w="1109"/>
        <w:gridCol w:w="683"/>
        <w:gridCol w:w="683"/>
        <w:gridCol w:w="683"/>
        <w:gridCol w:w="683"/>
        <w:gridCol w:w="991"/>
        <w:gridCol w:w="1264"/>
        <w:gridCol w:w="1842"/>
      </w:tblGrid>
      <w:tr>
        <w:trPr>
          <w:trHeight w:val="227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94" w:right="35" w:hanging="360"/>
              <w:jc w:val="left"/>
              <w:rPr>
                <w:rFonts w:ascii="宋体" w:hAnsi="宋体" w:cs="宋体" w:eastAsia="宋体" w:hint="default"/>
                <w:sz w:val="18"/>
                <w:szCs w:val="18"/>
              </w:rPr>
            </w:pPr>
            <w:r>
              <w:rPr>
                <w:rFonts w:ascii="宋体" w:hAnsi="宋体" w:cs="宋体" w:eastAsia="宋体" w:hint="default"/>
                <w:sz w:val="18"/>
                <w:szCs w:val="18"/>
              </w:rPr>
              <w:t>交易价格（万 元）</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 w:right="47"/>
              <w:jc w:val="center"/>
              <w:rPr>
                <w:rFonts w:ascii="宋体" w:hAnsi="宋体" w:cs="宋体" w:eastAsia="宋体" w:hint="default"/>
                <w:sz w:val="18"/>
                <w:szCs w:val="18"/>
              </w:rPr>
            </w:pPr>
            <w:r>
              <w:rPr>
                <w:rFonts w:ascii="宋体" w:hAnsi="宋体" w:cs="宋体" w:eastAsia="宋体" w:hint="default"/>
                <w:sz w:val="18"/>
                <w:szCs w:val="18"/>
              </w:rPr>
              <w:t>本期初起至出 售日该股权为 上市公司贡献 的净利润（万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9" w:right="99"/>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38"/>
              <w:jc w:val="center"/>
              <w:rPr>
                <w:rFonts w:ascii="宋体" w:hAnsi="宋体" w:cs="宋体" w:eastAsia="宋体" w:hint="default"/>
                <w:sz w:val="18"/>
                <w:szCs w:val="18"/>
              </w:rPr>
            </w:pPr>
            <w:r>
              <w:rPr>
                <w:rFonts w:ascii="宋体" w:hAnsi="宋体" w:cs="宋体" w:eastAsia="宋体" w:hint="default"/>
                <w:sz w:val="18"/>
                <w:szCs w:val="18"/>
              </w:rPr>
              <w:t>是否按计划 如期实施， 如未按计划 实施，应当 说明原因及 公司已采取 的措施</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319" w:lineRule="auto" w:before="19"/>
              <w:ind w:left="22" w:right="85"/>
              <w:jc w:val="left"/>
              <w:rPr>
                <w:rFonts w:ascii="宋体" w:hAnsi="宋体" w:cs="宋体" w:eastAsia="宋体" w:hint="default"/>
                <w:sz w:val="18"/>
                <w:szCs w:val="18"/>
              </w:rPr>
            </w:pPr>
            <w:r>
              <w:rPr>
                <w:rFonts w:ascii="宋体" w:hAnsi="宋体" w:cs="宋体" w:eastAsia="宋体" w:hint="default"/>
                <w:sz w:val="18"/>
                <w:szCs w:val="18"/>
              </w:rPr>
              <w:t>（有限合伙）与终 端资产各合伙人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9"/>
              <w:jc w:val="both"/>
              <w:rPr>
                <w:rFonts w:ascii="宋体" w:hAnsi="宋体" w:cs="宋体" w:eastAsia="宋体" w:hint="default"/>
                <w:sz w:val="18"/>
                <w:szCs w:val="18"/>
              </w:rPr>
            </w:pPr>
            <w:r>
              <w:rPr>
                <w:rFonts w:ascii="宋体" w:hAnsi="宋体" w:cs="宋体" w:eastAsia="宋体" w:hint="default"/>
                <w:sz w:val="18"/>
                <w:szCs w:val="18"/>
              </w:rPr>
              <w:t>快马财税子 公司及联营 企业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129,851.53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1,816.97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both"/>
              <w:rPr>
                <w:rFonts w:ascii="宋体" w:hAnsi="宋体" w:cs="宋体" w:eastAsia="宋体" w:hint="default"/>
                <w:sz w:val="18"/>
                <w:szCs w:val="18"/>
              </w:rPr>
            </w:pPr>
            <w:r>
              <w:rPr>
                <w:rFonts w:ascii="宋体" w:hAnsi="宋体" w:cs="宋体" w:eastAsia="宋体" w:hint="default"/>
                <w:sz w:val="18"/>
                <w:szCs w:val="18"/>
              </w:rPr>
              <w:t>财务状 况更加 合理</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-109.77%</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55"/>
              <w:jc w:val="left"/>
              <w:rPr>
                <w:rFonts w:ascii="宋体" w:hAnsi="宋体" w:cs="宋体" w:eastAsia="宋体" w:hint="default"/>
                <w:sz w:val="18"/>
                <w:szCs w:val="18"/>
              </w:rPr>
            </w:pPr>
            <w:r>
              <w:rPr>
                <w:rFonts w:ascii="宋体" w:hAnsi="宋体" w:cs="宋体" w:eastAsia="宋体" w:hint="default"/>
                <w:sz w:val="18"/>
                <w:szCs w:val="18"/>
              </w:rPr>
              <w:t>部分已完 成，部分正 在办理</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both"/>
              <w:rPr>
                <w:rFonts w:ascii="宋体" w:hAnsi="宋体" w:cs="宋体" w:eastAsia="宋体" w:hint="default"/>
                <w:sz w:val="18"/>
                <w:szCs w:val="18"/>
              </w:rPr>
            </w:pPr>
            <w:r>
              <w:rPr>
                <w:rFonts w:ascii="宋体" w:hAnsi="宋体" w:cs="宋体" w:eastAsia="宋体" w:hint="default"/>
                <w:sz w:val="18"/>
                <w:szCs w:val="18"/>
              </w:rPr>
              <w:t>《关于子公司签署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终 止合作协议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p>
            <w:pPr>
              <w:pStyle w:val="TableParagraph"/>
              <w:spacing w:line="309" w:lineRule="auto" w:before="13"/>
              <w:ind w:left="22" w:right="7"/>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2018-135</w:t>
            </w:r>
            <w:r>
              <w:rPr>
                <w:rFonts w:ascii="宋体" w:hAnsi="宋体" w:cs="宋体" w:eastAsia="宋体" w:hint="default"/>
                <w:spacing w:val="-11"/>
                <w:sz w:val="18"/>
                <w:szCs w:val="18"/>
              </w:rPr>
              <w:t>）刊载于《证</w:t>
            </w:r>
            <w:r>
              <w:rPr>
                <w:rFonts w:ascii="宋体" w:hAnsi="宋体" w:cs="宋体" w:eastAsia="宋体" w:hint="default"/>
                <w:sz w:val="18"/>
                <w:szCs w:val="18"/>
              </w:rPr>
              <w:t> </w:t>
            </w:r>
            <w:r>
              <w:rPr>
                <w:rFonts w:ascii="宋体" w:hAnsi="宋体" w:cs="宋体" w:eastAsia="宋体" w:hint="default"/>
                <w:spacing w:val="-17"/>
                <w:sz w:val="18"/>
                <w:szCs w:val="18"/>
              </w:rPr>
              <w:t>券时报》、《证券日报》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和巨潮资讯网</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319" w:lineRule="auto" w:before="19"/>
              <w:ind w:left="22" w:right="85"/>
              <w:jc w:val="left"/>
              <w:rPr>
                <w:rFonts w:ascii="宋体" w:hAnsi="宋体" w:cs="宋体" w:eastAsia="宋体" w:hint="default"/>
                <w:sz w:val="18"/>
                <w:szCs w:val="18"/>
              </w:rPr>
            </w:pPr>
            <w:r>
              <w:rPr>
                <w:rFonts w:ascii="宋体" w:hAnsi="宋体" w:cs="宋体" w:eastAsia="宋体" w:hint="default"/>
                <w:sz w:val="18"/>
                <w:szCs w:val="18"/>
              </w:rPr>
              <w:t>（有限合伙）与终 端资产各合伙人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9"/>
              <w:jc w:val="both"/>
              <w:rPr>
                <w:rFonts w:ascii="宋体" w:hAnsi="宋体" w:cs="宋体" w:eastAsia="宋体" w:hint="default"/>
                <w:sz w:val="18"/>
                <w:szCs w:val="18"/>
              </w:rPr>
            </w:pPr>
            <w:r>
              <w:rPr>
                <w:rFonts w:ascii="宋体" w:hAnsi="宋体" w:cs="宋体" w:eastAsia="宋体" w:hint="default"/>
                <w:sz w:val="18"/>
                <w:szCs w:val="18"/>
              </w:rPr>
              <w:t>易桥快马子 公司及联营 企业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30,975.24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both"/>
              <w:rPr>
                <w:rFonts w:ascii="宋体" w:hAnsi="宋体" w:cs="宋体" w:eastAsia="宋体" w:hint="default"/>
                <w:sz w:val="18"/>
                <w:szCs w:val="18"/>
              </w:rPr>
            </w:pPr>
            <w:r>
              <w:rPr>
                <w:rFonts w:ascii="宋体" w:hAnsi="宋体" w:cs="宋体" w:eastAsia="宋体" w:hint="default"/>
                <w:sz w:val="18"/>
                <w:szCs w:val="18"/>
              </w:rPr>
              <w:t>财务状 况更加 合理</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公平市 场原则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55"/>
              <w:jc w:val="left"/>
              <w:rPr>
                <w:rFonts w:ascii="宋体" w:hAnsi="宋体" w:cs="宋体" w:eastAsia="宋体" w:hint="default"/>
                <w:sz w:val="18"/>
                <w:szCs w:val="18"/>
              </w:rPr>
            </w:pPr>
            <w:r>
              <w:rPr>
                <w:rFonts w:ascii="宋体" w:hAnsi="宋体" w:cs="宋体" w:eastAsia="宋体" w:hint="default"/>
                <w:sz w:val="18"/>
                <w:szCs w:val="18"/>
              </w:rPr>
              <w:t>部分已完 成，部分正 在办理</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both"/>
              <w:rPr>
                <w:rFonts w:ascii="宋体" w:hAnsi="宋体" w:cs="宋体" w:eastAsia="宋体" w:hint="default"/>
                <w:sz w:val="18"/>
                <w:szCs w:val="18"/>
              </w:rPr>
            </w:pPr>
            <w:r>
              <w:rPr>
                <w:rFonts w:ascii="宋体" w:hAnsi="宋体" w:cs="宋体" w:eastAsia="宋体" w:hint="default"/>
                <w:sz w:val="18"/>
                <w:szCs w:val="18"/>
              </w:rPr>
              <w:t>《关于孙公司签署</w:t>
            </w:r>
            <w:r>
              <w:rPr>
                <w:rFonts w:ascii="Times New Roman" w:hAnsi="Times New Roman" w:cs="Times New Roman" w:eastAsia="Times New Roman" w:hint="default"/>
                <w:sz w:val="18"/>
                <w:szCs w:val="18"/>
              </w:rPr>
              <w:t>&lt;</w:t>
            </w:r>
            <w:r>
              <w:rPr>
                <w:rFonts w:ascii="宋体" w:hAnsi="宋体" w:cs="宋体" w:eastAsia="宋体" w:hint="default"/>
                <w:sz w:val="18"/>
                <w:szCs w:val="18"/>
              </w:rPr>
              <w:t>终 止合作协议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w:t>
            </w:r>
          </w:p>
          <w:p>
            <w:pPr>
              <w:pStyle w:val="TableParagraph"/>
              <w:spacing w:line="309" w:lineRule="auto" w:before="13"/>
              <w:ind w:left="22" w:right="9"/>
              <w:jc w:val="both"/>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2018-152</w:t>
            </w:r>
            <w:r>
              <w:rPr>
                <w:rFonts w:ascii="宋体" w:hAnsi="宋体" w:cs="宋体" w:eastAsia="宋体" w:hint="default"/>
                <w:spacing w:val="-11"/>
                <w:sz w:val="18"/>
                <w:szCs w:val="18"/>
              </w:rPr>
              <w:t>）刊载于《证</w:t>
            </w:r>
            <w:r>
              <w:rPr>
                <w:rFonts w:ascii="宋体" w:hAnsi="宋体" w:cs="宋体" w:eastAsia="宋体" w:hint="default"/>
                <w:sz w:val="18"/>
                <w:szCs w:val="18"/>
              </w:rPr>
              <w:t> </w:t>
            </w:r>
            <w:r>
              <w:rPr>
                <w:rFonts w:ascii="宋体" w:hAnsi="宋体" w:cs="宋体" w:eastAsia="宋体" w:hint="default"/>
                <w:spacing w:val="-17"/>
                <w:sz w:val="18"/>
                <w:szCs w:val="18"/>
              </w:rPr>
              <w:t>券时报》、《证券日报》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300"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9" w:top="1060" w:bottom="1160" w:left="1140" w:right="1120"/>
        </w:sectPr>
      </w:pPr>
    </w:p>
    <w:p>
      <w:pPr>
        <w:pStyle w:val="BodyText"/>
        <w:spacing w:line="240" w:lineRule="auto" w:before="44"/>
        <w:ind w:left="30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300"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00" w:right="0"/>
        <w:jc w:val="left"/>
      </w:pPr>
      <w:r>
        <w:rPr/>
        <w:t>单位：元</w:t>
      </w:r>
    </w:p>
    <w:p>
      <w:pPr>
        <w:spacing w:after="0" w:line="240" w:lineRule="auto"/>
        <w:jc w:val="left"/>
        <w:sectPr>
          <w:type w:val="continuous"/>
          <w:pgSz w:w="16840" w:h="11910" w:orient="landscape"/>
          <w:pgMar w:top="1060" w:bottom="1160" w:left="1140" w:right="1120"/>
          <w:cols w:num="2" w:equalWidth="0">
            <w:col w:w="4995" w:space="8147"/>
            <w:col w:w="1438"/>
          </w:cols>
        </w:sectPr>
      </w:pPr>
    </w:p>
    <w:p>
      <w:pPr>
        <w:spacing w:line="240" w:lineRule="auto" w:before="1"/>
        <w:rPr>
          <w:rFonts w:ascii="宋体" w:hAnsi="宋体" w:cs="宋体" w:eastAsia="宋体" w:hint="default"/>
          <w:sz w:val="8"/>
          <w:szCs w:val="8"/>
        </w:rPr>
      </w:pPr>
    </w:p>
    <w:tbl>
      <w:tblPr>
        <w:tblW w:w="0" w:type="auto"/>
        <w:jc w:val="left"/>
        <w:tblInd w:w="446" w:type="dxa"/>
        <w:tblLayout w:type="fixed"/>
        <w:tblCellMar>
          <w:top w:w="0" w:type="dxa"/>
          <w:left w:w="0" w:type="dxa"/>
          <w:bottom w:w="0" w:type="dxa"/>
          <w:right w:w="0" w:type="dxa"/>
        </w:tblCellMar>
        <w:tblLook w:val="01E0"/>
      </w:tblPr>
      <w:tblGrid>
        <w:gridCol w:w="1985"/>
        <w:gridCol w:w="1196"/>
        <w:gridCol w:w="1435"/>
        <w:gridCol w:w="1668"/>
        <w:gridCol w:w="1559"/>
        <w:gridCol w:w="1417"/>
        <w:gridCol w:w="1560"/>
        <w:gridCol w:w="1416"/>
        <w:gridCol w:w="141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青海宁达创业投资有限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代理其他创业投</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58,890,000.00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65,445,184.28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63,110,283.29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-1,425,664.86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-1,425,664.86</w:t>
            </w:r>
          </w:p>
        </w:tc>
      </w:tr>
    </w:tbl>
    <w:p>
      <w:pPr>
        <w:spacing w:after="0" w:line="240" w:lineRule="auto"/>
        <w:jc w:val="left"/>
        <w:rPr>
          <w:rFonts w:ascii="Times New Roman" w:hAnsi="Times New Roman" w:cs="Times New Roman" w:eastAsia="Times New Roman" w:hint="default"/>
          <w:sz w:val="18"/>
          <w:szCs w:val="18"/>
        </w:rPr>
        <w:sectPr>
          <w:type w:val="continuous"/>
          <w:pgSz w:w="16840" w:h="11910" w:orient="landscape"/>
          <w:pgMar w:top="1060" w:bottom="1160" w:left="1140" w:right="1120"/>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
        <w:gridCol w:w="1985"/>
        <w:gridCol w:w="1196"/>
        <w:gridCol w:w="1435"/>
        <w:gridCol w:w="1668"/>
        <w:gridCol w:w="1559"/>
        <w:gridCol w:w="1417"/>
        <w:gridCol w:w="1560"/>
        <w:gridCol w:w="1416"/>
        <w:gridCol w:w="1419"/>
        <w:gridCol w:w="182"/>
      </w:tblGrid>
      <w:tr>
        <w:trPr>
          <w:trHeight w:val="1001" w:hRule="exact"/>
        </w:trPr>
        <w:tc>
          <w:tcPr>
            <w:tcW w:w="181" w:type="dxa"/>
            <w:vMerge w:val="restart"/>
            <w:tcBorders>
              <w:top w:val="single" w:sz="6" w:space="0" w:color="000000"/>
              <w:left w:val="nil" w:sz="6" w:space="0" w:color="auto"/>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96" w:type="dxa"/>
            <w:tcBorders>
              <w:top w:val="single" w:sz="15" w:space="0" w:color="000000"/>
              <w:left w:val="single" w:sz="4" w:space="0" w:color="000000"/>
              <w:bottom w:val="single" w:sz="4" w:space="0" w:color="000000"/>
              <w:right w:val="single" w:sz="4" w:space="0" w:color="000000"/>
            </w:tcBorders>
          </w:tcPr>
          <w:p>
            <w:pPr/>
          </w:p>
        </w:tc>
        <w:tc>
          <w:tcPr>
            <w:tcW w:w="1435"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资企业机 构或个 </w:t>
            </w:r>
            <w:r>
              <w:rPr>
                <w:rFonts w:ascii="宋体" w:hAnsi="宋体" w:cs="宋体" w:eastAsia="宋体" w:hint="default"/>
                <w:spacing w:val="-8"/>
                <w:sz w:val="18"/>
                <w:szCs w:val="18"/>
              </w:rPr>
              <w:t>人的投资业务、创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 投资咨询业务</w:t>
            </w:r>
          </w:p>
        </w:tc>
        <w:tc>
          <w:tcPr>
            <w:tcW w:w="166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419" w:type="dxa"/>
            <w:tcBorders>
              <w:top w:val="single" w:sz="15" w:space="0" w:color="000000"/>
              <w:left w:val="single" w:sz="4" w:space="0" w:color="000000"/>
              <w:bottom w:val="single" w:sz="4" w:space="0" w:color="000000"/>
              <w:right w:val="single" w:sz="4" w:space="0" w:color="000000"/>
            </w:tcBorders>
          </w:tcPr>
          <w:p>
            <w:pPr/>
          </w:p>
        </w:tc>
        <w:tc>
          <w:tcPr>
            <w:tcW w:w="182" w:type="dxa"/>
            <w:vMerge w:val="restart"/>
            <w:tcBorders>
              <w:top w:val="single" w:sz="6" w:space="0" w:color="000000"/>
              <w:left w:val="single" w:sz="4" w:space="0" w:color="000000"/>
              <w:right w:val="nil" w:sz="6" w:space="0" w:color="auto"/>
            </w:tcBorders>
          </w:tcPr>
          <w:p>
            <w:pPr/>
          </w:p>
        </w:tc>
      </w:tr>
      <w:tr>
        <w:trPr>
          <w:trHeight w:val="714" w:hRule="exact"/>
        </w:trPr>
        <w:tc>
          <w:tcPr>
            <w:tcW w:w="181" w:type="dxa"/>
            <w:vMerge/>
            <w:tcBorders>
              <w:left w:val="nil" w:sz="6" w:space="0" w:color="auto"/>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神州易桥（北京）财税科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软件服务，技术开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发、服务、咨询等</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411,222,780.00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1,066,094,410.57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723,827,802.97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477,800,353.74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110,965,057.23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90,759,872.75</w:t>
            </w:r>
          </w:p>
        </w:tc>
        <w:tc>
          <w:tcPr>
            <w:tcW w:w="182" w:type="dxa"/>
            <w:vMerge/>
            <w:tcBorders>
              <w:left w:val="single" w:sz="4" w:space="0" w:color="000000"/>
              <w:right w:val="nil" w:sz="6" w:space="0" w:color="auto"/>
            </w:tcBorders>
          </w:tcPr>
          <w:p>
            <w:pPr/>
          </w:p>
        </w:tc>
      </w:tr>
      <w:tr>
        <w:trPr>
          <w:trHeight w:val="714" w:hRule="exact"/>
        </w:trPr>
        <w:tc>
          <w:tcPr>
            <w:tcW w:w="181" w:type="dxa"/>
            <w:vMerge/>
            <w:tcBorders>
              <w:left w:val="nil" w:sz="6" w:space="0" w:color="auto"/>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企业管家（北京）科技服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软件服务，技术开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发、服务、咨询等</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720,000,000.00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883,721,275.34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622,534,678.85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71,218,977.52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-39,532,507.48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-52,169,400.78</w:t>
            </w:r>
          </w:p>
        </w:tc>
        <w:tc>
          <w:tcPr>
            <w:tcW w:w="182" w:type="dxa"/>
            <w:vMerge/>
            <w:tcBorders>
              <w:left w:val="single" w:sz="4" w:space="0" w:color="000000"/>
              <w:right w:val="nil" w:sz="6" w:space="0" w:color="auto"/>
            </w:tcBorders>
          </w:tcPr>
          <w:p>
            <w:pPr/>
          </w:p>
        </w:tc>
      </w:tr>
      <w:tr>
        <w:trPr>
          <w:trHeight w:val="714" w:hRule="exact"/>
        </w:trPr>
        <w:tc>
          <w:tcPr>
            <w:tcW w:w="181" w:type="dxa"/>
            <w:vMerge/>
            <w:tcBorders>
              <w:left w:val="nil" w:sz="6" w:space="0" w:color="auto"/>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北京办饭餐饮管理有限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餐饮服务、企业管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2,042,551.29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-3,103,011.47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2,791,029.89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-2,177,411.13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-2,177,371.14</w:t>
            </w:r>
          </w:p>
        </w:tc>
        <w:tc>
          <w:tcPr>
            <w:tcW w:w="182" w:type="dxa"/>
            <w:vMerge/>
            <w:tcBorders>
              <w:left w:val="single" w:sz="4" w:space="0" w:color="000000"/>
              <w:right w:val="nil" w:sz="6" w:space="0" w:color="auto"/>
            </w:tcBorders>
          </w:tcPr>
          <w:p>
            <w:pPr/>
          </w:p>
        </w:tc>
      </w:tr>
      <w:tr>
        <w:trPr>
          <w:trHeight w:val="714" w:hRule="exact"/>
        </w:trPr>
        <w:tc>
          <w:tcPr>
            <w:tcW w:w="181" w:type="dxa"/>
            <w:vMerge/>
            <w:tcBorders>
              <w:left w:val="nil" w:sz="6" w:space="0" w:color="auto"/>
              <w:bottom w:val="nil" w:sz="6" w:space="0" w:color="auto"/>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霍尔果斯快马财税管理 服务有限公司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软件服务，技术开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发、服务、咨询等</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2,105,479,557.45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1,275,843,551.42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191,156,028.17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77,611,560.19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777,245.75</w:t>
            </w:r>
          </w:p>
        </w:tc>
        <w:tc>
          <w:tcPr>
            <w:tcW w:w="182" w:type="dxa"/>
            <w:vMerge/>
            <w:tcBorders>
              <w:left w:val="single" w:sz="4" w:space="0" w:color="000000"/>
              <w:bottom w:val="nil" w:sz="6" w:space="0" w:color="auto"/>
              <w:right w:val="nil" w:sz="6" w:space="0" w:color="auto"/>
            </w:tcBorders>
          </w:tcPr>
          <w:p>
            <w:pPr/>
          </w:p>
        </w:tc>
      </w:tr>
    </w:tbl>
    <w:p>
      <w:pPr>
        <w:pStyle w:val="BodyText"/>
        <w:spacing w:line="240" w:lineRule="auto" w:before="49"/>
        <w:ind w:left="140" w:right="0"/>
        <w:jc w:val="left"/>
      </w:pPr>
      <w:r>
        <w:rPr/>
        <w:t>报告期内取得和处置子公司的情况</w:t>
      </w:r>
    </w:p>
    <w:p>
      <w:pPr>
        <w:pStyle w:val="BodyText"/>
        <w:spacing w:line="240" w:lineRule="auto" w:before="117"/>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有利于公司百城千店的服务渠道完整， 提升公司业绩</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快马财税旗下部分终端资产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财务状况更加合理</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易桥快马旗下部分终端资产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财务状况更加合理</w:t>
            </w:r>
          </w:p>
        </w:tc>
      </w:tr>
    </w:tbl>
    <w:p>
      <w:pPr>
        <w:pStyle w:val="BodyText"/>
        <w:spacing w:line="338" w:lineRule="auto" w:before="51"/>
        <w:ind w:left="140" w:right="0"/>
        <w:jc w:val="left"/>
      </w:pPr>
      <w:r>
        <w:rPr/>
        <w:t>主要控股参股公司情况说明 </w:t>
      </w:r>
      <w:r>
        <w:rPr>
          <w:rFonts w:ascii="宋体" w:hAnsi="宋体" w:cs="宋体" w:eastAsia="宋体" w:hint="default"/>
          <w:spacing w:val="-2"/>
        </w:rPr>
        <w:t>1</w:t>
      </w:r>
      <w:r>
        <w:rPr>
          <w:spacing w:val="-2"/>
        </w:rPr>
        <w:t>、本公司与霍尔果斯神州易桥股权投资合伙企业（有限合伙）签订股权转让协议，以现金</w:t>
      </w:r>
      <w:r>
        <w:rPr>
          <w:rFonts w:ascii="宋体" w:hAnsi="宋体" w:cs="宋体" w:eastAsia="宋体" w:hint="default"/>
          <w:spacing w:val="-2"/>
        </w:rPr>
        <w:t>6</w:t>
      </w:r>
      <w:r>
        <w:rPr>
          <w:spacing w:val="-2"/>
        </w:rPr>
        <w:t>亿元购买快马财税</w:t>
      </w:r>
      <w:r>
        <w:rPr>
          <w:rFonts w:ascii="宋体" w:hAnsi="宋体" w:cs="宋体" w:eastAsia="宋体" w:hint="default"/>
          <w:spacing w:val="-2"/>
        </w:rPr>
        <w:t>60%</w:t>
      </w:r>
      <w:r>
        <w:rPr>
          <w:spacing w:val="-2"/>
        </w:rPr>
        <w:t>的股权，并于</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日完成。本公司直接及通过子公司间接</w:t>
      </w:r>
      <w:r>
        <w:rPr>
          <w:spacing w:val="-9"/>
        </w:rPr>
        <w:t> </w:t>
      </w:r>
      <w:r>
        <w:rPr>
          <w:spacing w:val="-9"/>
        </w:rPr>
      </w:r>
      <w:r>
        <w:rPr/>
        <w:t>持有其</w:t>
      </w:r>
      <w:r>
        <w:rPr>
          <w:rFonts w:ascii="宋体" w:hAnsi="宋体" w:cs="宋体" w:eastAsia="宋体" w:hint="default"/>
        </w:rPr>
        <w:t>100%</w:t>
      </w:r>
      <w:r>
        <w:rPr/>
        <w:t>股权。</w:t>
      </w:r>
    </w:p>
    <w:p>
      <w:pPr>
        <w:pStyle w:val="BodyText"/>
        <w:spacing w:line="240" w:lineRule="auto" w:before="42"/>
        <w:ind w:left="140" w:right="0"/>
        <w:jc w:val="left"/>
      </w:pPr>
      <w:r>
        <w:rPr>
          <w:rFonts w:ascii="宋体" w:hAnsi="宋体" w:cs="宋体" w:eastAsia="宋体" w:hint="default"/>
        </w:rPr>
        <w:t>2</w:t>
      </w:r>
      <w:r>
        <w:rPr/>
        <w:t>、本年度公司孙公司易桥快马、霍尔果斯神州易桥股权投资合伙企业（有限合伙）与终端资产原股东签署了《终止合作协议》，本年度处置子公司</w:t>
      </w:r>
      <w:r>
        <w:rPr>
          <w:rFonts w:ascii="宋体" w:hAnsi="宋体" w:cs="宋体" w:eastAsia="宋体" w:hint="default"/>
        </w:rPr>
        <w:t>9</w:t>
      </w:r>
      <w:r>
        <w:rPr/>
        <w:t>家。</w:t>
      </w:r>
    </w:p>
    <w:p>
      <w:pPr>
        <w:pStyle w:val="BodyText"/>
        <w:spacing w:line="240" w:lineRule="auto" w:before="117"/>
        <w:ind w:left="140" w:right="0"/>
        <w:jc w:val="left"/>
      </w:pPr>
      <w:r>
        <w:rPr>
          <w:rFonts w:ascii="宋体" w:hAnsi="宋体" w:cs="宋体" w:eastAsia="宋体" w:hint="default"/>
        </w:rPr>
        <w:t>3</w:t>
      </w:r>
      <w:r>
        <w:rPr/>
        <w:t>、本年度子公司快马财税、霍尔果斯神州易桥股权投资合伙企业（有限合伙）与终端资产原股东签署了《终止合作协议》，本年度处置子公司</w:t>
      </w:r>
      <w:r>
        <w:rPr>
          <w:rFonts w:ascii="宋体" w:hAnsi="宋体" w:cs="宋体" w:eastAsia="宋体" w:hint="default"/>
        </w:rPr>
        <w:t>50</w:t>
      </w:r>
      <w:r>
        <w:rPr/>
        <w:t>家。</w:t>
      </w:r>
    </w:p>
    <w:p>
      <w:pPr>
        <w:spacing w:after="0" w:line="240" w:lineRule="auto"/>
        <w:jc w:val="left"/>
        <w:sectPr>
          <w:pgSz w:w="16840" w:h="11910" w:orient="landscape"/>
          <w:pgMar w:header="867" w:footer="979" w:top="1060" w:bottom="1160" w:left="130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2"/>
        <w:jc w:val="left"/>
      </w:pPr>
      <w:r>
        <w:rPr/>
        <w:t>（一）行业格局和趋势 </w:t>
      </w:r>
      <w:r>
        <w:rPr>
          <w:rFonts w:ascii="Times New Roman" w:hAnsi="Times New Roman" w:cs="Times New Roman" w:eastAsia="Times New Roman" w:hint="default"/>
        </w:rPr>
        <w:t>2018</w:t>
      </w:r>
      <w:r>
        <w:rPr/>
        <w:t>年是企业服务走向规模化的一年，在商事制度改革和</w:t>
      </w:r>
      <w:r>
        <w:rPr>
          <w:rFonts w:ascii="Times New Roman" w:hAnsi="Times New Roman" w:cs="Times New Roman" w:eastAsia="Times New Roman" w:hint="default"/>
        </w:rPr>
        <w:t>“</w:t>
      </w:r>
      <w:r>
        <w:rPr/>
        <w:t>双创</w:t>
      </w:r>
      <w:r>
        <w:rPr>
          <w:rFonts w:ascii="Times New Roman" w:hAnsi="Times New Roman" w:cs="Times New Roman" w:eastAsia="Times New Roman" w:hint="default"/>
        </w:rPr>
        <w:t>”</w:t>
      </w:r>
      <w:r>
        <w:rPr/>
        <w:t>风潮带动下，中小微企业的数量持续保持了旺盛增长势头， </w:t>
      </w:r>
      <w:r>
        <w:rPr>
          <w:spacing w:val="-2"/>
        </w:rPr>
        <w:t>中小微企业成为我国经济社会发展的重要力量，企业服务行业迎来发展新机遇。一是中小微企业快速发展带动企业服务市场</w:t>
      </w:r>
      <w:r>
        <w:rPr>
          <w:spacing w:val="-64"/>
        </w:rPr>
        <w:t> </w:t>
      </w:r>
      <w:r>
        <w:rPr>
          <w:spacing w:val="-64"/>
        </w:rPr>
      </w:r>
      <w:r>
        <w:rPr>
          <w:spacing w:val="-2"/>
        </w:rPr>
        <w:t>规模扩张，二是</w:t>
      </w:r>
      <w:r>
        <w:rPr>
          <w:rFonts w:ascii="Times New Roman" w:hAnsi="Times New Roman" w:cs="Times New Roman" w:eastAsia="Times New Roman" w:hint="default"/>
          <w:spacing w:val="-2"/>
        </w:rPr>
        <w:t>IT</w:t>
      </w:r>
      <w:r>
        <w:rPr>
          <w:spacing w:val="-2"/>
        </w:rPr>
        <w:t>和互联网发展推动行业技术创新和变革，三是资本的力量加速行业发展，四是各项法律法规和行政规章促</w:t>
      </w:r>
      <w:r>
        <w:rPr>
          <w:spacing w:val="-52"/>
        </w:rPr>
        <w:t> </w:t>
      </w:r>
      <w:r>
        <w:rPr>
          <w:spacing w:val="-52"/>
        </w:rPr>
      </w:r>
      <w:r>
        <w:rPr/>
        <w:t>进行业规范发展，五是各地行业协会促进行业交流和自律发展。 </w:t>
      </w:r>
      <w:r>
        <w:rPr>
          <w:spacing w:val="-2"/>
        </w:rPr>
        <w:t>这些新机遇、新因素、新驱动力的出现使行业出现</w:t>
      </w:r>
      <w:r>
        <w:rPr>
          <w:rFonts w:ascii="Times New Roman" w:hAnsi="Times New Roman" w:cs="Times New Roman" w:eastAsia="Times New Roman" w:hint="default"/>
          <w:spacing w:val="-2"/>
        </w:rPr>
        <w:t>“</w:t>
      </w:r>
      <w:r>
        <w:rPr>
          <w:spacing w:val="-2"/>
        </w:rPr>
        <w:t>互联网化、平台化、连锁化</w:t>
      </w:r>
      <w:r>
        <w:rPr>
          <w:rFonts w:ascii="Times New Roman" w:hAnsi="Times New Roman" w:cs="Times New Roman" w:eastAsia="Times New Roman" w:hint="default"/>
          <w:spacing w:val="-2"/>
        </w:rPr>
        <w:t>”</w:t>
      </w:r>
      <w:r>
        <w:rPr>
          <w:spacing w:val="-2"/>
        </w:rPr>
        <w:t>的发展趋势。财政部、税务总局等相继推出</w:t>
      </w:r>
      <w:r>
        <w:rPr>
          <w:spacing w:val="-45"/>
        </w:rPr>
        <w:t> </w:t>
      </w:r>
      <w:r>
        <w:rPr>
          <w:spacing w:val="-45"/>
        </w:rPr>
      </w:r>
      <w:r>
        <w:rPr>
          <w:spacing w:val="-2"/>
        </w:rPr>
        <w:t>会计电子档案相关规定、网络化报税、电子发票等一系列新举措，企业服务行业积极探索互联网转型。与此同时，以互联网</w:t>
      </w:r>
      <w:r>
        <w:rPr>
          <w:spacing w:val="-66"/>
        </w:rPr>
        <w:t> </w:t>
      </w:r>
      <w:r>
        <w:rPr>
          <w:spacing w:val="-66"/>
        </w:rPr>
      </w:r>
      <w:r>
        <w:rPr/>
        <w:t>为重要载体的平台化发展不断连接企业服务的跨领域、跨行业的产品、服务和机构，满足中小微企业的多种企业服务需求。 借助互联网快速发展、资本助力等因素，</w:t>
      </w:r>
      <w:r>
        <w:rPr>
          <w:rFonts w:ascii="Times New Roman" w:hAnsi="Times New Roman" w:cs="Times New Roman" w:eastAsia="Times New Roman" w:hint="default"/>
        </w:rPr>
        <w:t>“</w:t>
      </w:r>
      <w:r>
        <w:rPr/>
        <w:t>连锁化</w:t>
      </w:r>
      <w:r>
        <w:rPr>
          <w:rFonts w:ascii="Times New Roman" w:hAnsi="Times New Roman" w:cs="Times New Roman" w:eastAsia="Times New Roman" w:hint="default"/>
        </w:rPr>
        <w:t>”</w:t>
      </w:r>
      <w:r>
        <w:rPr/>
        <w:t>经营实现企业服务的规模经营，从而实现规模效益。</w:t>
      </w:r>
    </w:p>
    <w:p>
      <w:pPr>
        <w:pStyle w:val="BodyText"/>
        <w:spacing w:line="309" w:lineRule="auto" w:before="3"/>
        <w:ind w:right="1118"/>
        <w:jc w:val="left"/>
      </w:pPr>
      <w:r>
        <w:rPr/>
        <w:t>（二）公司发展战略 </w:t>
      </w:r>
      <w:r>
        <w:rPr>
          <w:spacing w:val="-2"/>
        </w:rPr>
        <w:t>今年以来，市场监管部门在聚焦民生关切、回应企业诉求、优化营商环境方面推出一系列举措，大大降低了新企业进入市场</w:t>
      </w:r>
      <w:r>
        <w:rPr>
          <w:spacing w:val="-66"/>
        </w:rPr>
        <w:t> </w:t>
      </w:r>
      <w:r>
        <w:rPr>
          <w:spacing w:val="-66"/>
        </w:rPr>
      </w:r>
      <w:r>
        <w:rPr/>
        <w:t>的制度性交易成本，激发了市场活力，推动我国市场准入制度发生根本性变革。截至</w:t>
      </w:r>
      <w:r>
        <w:rPr>
          <w:rFonts w:ascii="Times New Roman" w:hAnsi="Times New Roman" w:cs="Times New Roman" w:eastAsia="Times New Roman" w:hint="default"/>
        </w:rPr>
        <w:t>2018</w:t>
      </w:r>
      <w:r>
        <w:rPr/>
        <w:t>年底，全国实有市场主体达</w:t>
      </w:r>
      <w:r>
        <w:rPr>
          <w:rFonts w:ascii="Times New Roman" w:hAnsi="Times New Roman" w:cs="Times New Roman" w:eastAsia="Times New Roman" w:hint="default"/>
        </w:rPr>
        <w:t>1.1</w:t>
      </w:r>
      <w:r>
        <w:rPr/>
        <w:t>亿 户，其中企业</w:t>
      </w:r>
      <w:r>
        <w:rPr>
          <w:rFonts w:ascii="Times New Roman" w:hAnsi="Times New Roman" w:cs="Times New Roman" w:eastAsia="Times New Roman" w:hint="default"/>
        </w:rPr>
        <w:t>3,474.2</w:t>
      </w:r>
      <w:r>
        <w:rPr/>
        <w:t>万户。</w:t>
      </w:r>
      <w:r>
        <w:rPr>
          <w:rFonts w:ascii="Times New Roman" w:hAnsi="Times New Roman" w:cs="Times New Roman" w:eastAsia="Times New Roman" w:hint="default"/>
        </w:rPr>
        <w:t>2018</w:t>
      </w:r>
      <w:r>
        <w:rPr/>
        <w:t>年新设企业与注销企业的数量比为</w:t>
      </w:r>
      <w:r>
        <w:rPr>
          <w:rFonts w:ascii="Times New Roman" w:hAnsi="Times New Roman" w:cs="Times New Roman" w:eastAsia="Times New Roman" w:hint="default"/>
        </w:rPr>
        <w:t>3.69</w:t>
      </w:r>
      <w:r>
        <w:rPr/>
        <w:t>∶</w:t>
      </w:r>
      <w:r>
        <w:rPr>
          <w:rFonts w:ascii="Times New Roman" w:hAnsi="Times New Roman" w:cs="Times New Roman" w:eastAsia="Times New Roman" w:hint="default"/>
        </w:rPr>
        <w:t>1</w:t>
      </w:r>
      <w:r>
        <w:rPr/>
        <w:t>，整个市场</w:t>
      </w:r>
      <w:r>
        <w:rPr>
          <w:rFonts w:ascii="Times New Roman" w:hAnsi="Times New Roman" w:cs="Times New Roman" w:eastAsia="Times New Roman" w:hint="default"/>
        </w:rPr>
        <w:t>“</w:t>
      </w:r>
      <w:r>
        <w:rPr/>
        <w:t>新陈代谢</w:t>
      </w:r>
      <w:r>
        <w:rPr>
          <w:rFonts w:ascii="Times New Roman" w:hAnsi="Times New Roman" w:cs="Times New Roman" w:eastAsia="Times New Roman" w:hint="default"/>
        </w:rPr>
        <w:t>”</w:t>
      </w:r>
      <w:r>
        <w:rPr/>
        <w:t>率保持在一个正常稳定的 水平。 新契机下，公司将继续推进</w:t>
      </w:r>
      <w:r>
        <w:rPr>
          <w:rFonts w:ascii="Times New Roman" w:hAnsi="Times New Roman" w:cs="Times New Roman" w:eastAsia="Times New Roman" w:hint="default"/>
        </w:rPr>
        <w:t>“</w:t>
      </w:r>
      <w:r>
        <w:rPr/>
        <w:t>品牌</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战略，在已完成全国范围布局的基础上，进一步完善赋能体系和品牌建设，将公司 </w:t>
      </w:r>
      <w:r>
        <w:rPr>
          <w:spacing w:val="-2"/>
        </w:rPr>
        <w:t>的技术优势、基因优势、资源优势、结构优势充分发挥出来，通过构建企业互联网服务生态体系，优化公司的管理模式、运</w:t>
      </w:r>
      <w:r>
        <w:rPr>
          <w:spacing w:val="-67"/>
        </w:rPr>
        <w:t> </w:t>
      </w:r>
      <w:r>
        <w:rPr>
          <w:spacing w:val="-67"/>
        </w:rPr>
      </w:r>
      <w:r>
        <w:rPr/>
        <w:t>营模式，把</w:t>
      </w:r>
      <w:r>
        <w:rPr>
          <w:rFonts w:ascii="Times New Roman" w:hAnsi="Times New Roman" w:cs="Times New Roman" w:eastAsia="Times New Roman" w:hint="default"/>
        </w:rPr>
        <w:t>“</w:t>
      </w:r>
      <w:r>
        <w:rPr/>
        <w:t>赋能</w:t>
      </w:r>
      <w:r>
        <w:rPr>
          <w:rFonts w:ascii="Times New Roman" w:hAnsi="Times New Roman" w:cs="Times New Roman" w:eastAsia="Times New Roman" w:hint="default"/>
        </w:rPr>
        <w:t>”</w:t>
      </w:r>
      <w:r>
        <w:rPr/>
        <w:t>战略系统化、多元化，实现互联互动、互生互享的场景，形成企业服务领域的新经济生态。</w:t>
      </w:r>
    </w:p>
    <w:p>
      <w:pPr>
        <w:pStyle w:val="BodyText"/>
        <w:spacing w:line="307" w:lineRule="auto" w:before="5"/>
        <w:ind w:right="1032"/>
        <w:jc w:val="left"/>
      </w:pPr>
      <w:r>
        <w:rPr/>
        <w:t>（三）经营计划 </w:t>
      </w:r>
      <w:r>
        <w:rPr>
          <w:rFonts w:ascii="Times New Roman" w:hAnsi="Times New Roman" w:cs="Times New Roman" w:eastAsia="Times New Roman" w:hint="default"/>
        </w:rPr>
        <w:t>2019</w:t>
      </w:r>
      <w:r>
        <w:rPr/>
        <w:t>年，公司计划实现营业收入</w:t>
      </w:r>
      <w:r>
        <w:rPr>
          <w:rFonts w:ascii="Times New Roman" w:hAnsi="Times New Roman" w:cs="Times New Roman" w:eastAsia="Times New Roman" w:hint="default"/>
        </w:rPr>
        <w:t>200,000</w:t>
      </w:r>
      <w:r>
        <w:rPr/>
        <w:t>万元，计划实现净利润</w:t>
      </w:r>
      <w:r>
        <w:rPr>
          <w:rFonts w:ascii="Times New Roman" w:hAnsi="Times New Roman" w:cs="Times New Roman" w:eastAsia="Times New Roman" w:hint="default"/>
        </w:rPr>
        <w:t>32,000</w:t>
      </w:r>
      <w:r>
        <w:rPr/>
        <w:t>～</w:t>
      </w:r>
      <w:r>
        <w:rPr>
          <w:rFonts w:ascii="Times New Roman" w:hAnsi="Times New Roman" w:cs="Times New Roman" w:eastAsia="Times New Roman" w:hint="default"/>
        </w:rPr>
        <w:t>40,000</w:t>
      </w:r>
      <w:r>
        <w:rPr/>
        <w:t>万元。为了完成上述目标，公司将在</w:t>
      </w:r>
      <w:r>
        <w:rPr>
          <w:rFonts w:ascii="Times New Roman" w:hAnsi="Times New Roman" w:cs="Times New Roman" w:eastAsia="Times New Roman" w:hint="default"/>
        </w:rPr>
        <w:t>“</w:t>
      </w:r>
      <w:r>
        <w:rPr/>
        <w:t>百城千 店</w:t>
      </w:r>
      <w:r>
        <w:rPr>
          <w:rFonts w:ascii="Times New Roman" w:hAnsi="Times New Roman" w:cs="Times New Roman" w:eastAsia="Times New Roman" w:hint="default"/>
        </w:rPr>
        <w:t>”</w:t>
      </w:r>
      <w:r>
        <w:rPr/>
        <w:t>布局的基础上，进一步深化和转化品牌优势，充分发挥平台优势及效能，提升资源整合能力和联动效应，进一步强化产 品服务和功能，凭借品牌</w:t>
      </w:r>
      <w:r>
        <w:rPr>
          <w:rFonts w:ascii="Times New Roman" w:hAnsi="Times New Roman" w:cs="Times New Roman" w:eastAsia="Times New Roman" w:hint="default"/>
        </w:rPr>
        <w:t>+</w:t>
      </w:r>
      <w:r>
        <w:rPr/>
        <w:t>平台的资源优势，链接区域政府及园区，通过精准招商协助政府促进当地经济发展；链接中小微 </w:t>
      </w:r>
      <w:r>
        <w:rPr>
          <w:spacing w:val="-2"/>
        </w:rPr>
        <w:t>企业，利用百城千店组织优秀企业服务提供商，全方位服务企业需求。建立起链接政府园区、服务商、服务者、企业的生态</w:t>
      </w:r>
      <w:r>
        <w:rPr>
          <w:spacing w:val="-68"/>
        </w:rPr>
        <w:t> </w:t>
      </w:r>
      <w:r>
        <w:rPr>
          <w:spacing w:val="-68"/>
        </w:rPr>
      </w:r>
      <w:r>
        <w:rPr/>
        <w:t>网络。进一步完善管理应用系统，优化管理流程，全面应用于百城千店体系，保持提供最适用的产品和最高效准确的服务。</w:t>
      </w:r>
    </w:p>
    <w:p>
      <w:pPr>
        <w:pStyle w:val="BodyText"/>
        <w:spacing w:line="240" w:lineRule="auto" w:before="26"/>
        <w:ind w:right="0"/>
        <w:jc w:val="left"/>
      </w:pPr>
      <w:r>
        <w:rPr/>
        <w:t>（四）可能面对的风险</w:t>
      </w:r>
    </w:p>
    <w:p>
      <w:pPr>
        <w:pStyle w:val="BodyText"/>
        <w:spacing w:line="312" w:lineRule="auto" w:before="76"/>
        <w:ind w:right="0"/>
        <w:jc w:val="left"/>
      </w:pPr>
      <w:r>
        <w:rPr>
          <w:rFonts w:ascii="Times New Roman" w:hAnsi="Times New Roman" w:cs="Times New Roman" w:eastAsia="Times New Roman" w:hint="default"/>
        </w:rPr>
        <w:t>1</w:t>
      </w:r>
      <w:r>
        <w:rPr/>
        <w:t>、国家产业政策变化的风险 </w:t>
      </w:r>
      <w:r>
        <w:rPr>
          <w:spacing w:val="-2"/>
        </w:rPr>
        <w:t>近年来，我国大力推动</w:t>
      </w:r>
      <w:r>
        <w:rPr>
          <w:rFonts w:ascii="Times New Roman" w:hAnsi="Times New Roman" w:cs="Times New Roman" w:eastAsia="Times New Roman" w:hint="default"/>
          <w:spacing w:val="-2"/>
        </w:rPr>
        <w:t>“</w:t>
      </w:r>
      <w:r>
        <w:rPr>
          <w:spacing w:val="-2"/>
        </w:rPr>
        <w:t>大众创业、万众创新</w:t>
      </w:r>
      <w:r>
        <w:rPr>
          <w:rFonts w:ascii="Times New Roman" w:hAnsi="Times New Roman" w:cs="Times New Roman" w:eastAsia="Times New Roman" w:hint="default"/>
          <w:spacing w:val="-2"/>
        </w:rPr>
        <w:t>”</w:t>
      </w:r>
      <w:r>
        <w:rPr>
          <w:spacing w:val="-2"/>
        </w:rPr>
        <w:t>，中小微企业呈现快速发展的态势，政府相继出台了《关于加快推进中小企业</w:t>
      </w:r>
      <w:r>
        <w:rPr>
          <w:spacing w:val="-47"/>
        </w:rPr>
        <w:t> </w:t>
      </w:r>
      <w:r>
        <w:rPr>
          <w:spacing w:val="-47"/>
        </w:rPr>
      </w:r>
      <w:r>
        <w:rPr>
          <w:spacing w:val="-2"/>
        </w:rPr>
        <w:t>服务体系建设的指导意见》、《关于加强和改进基层会计管理工作的指导意见》等一系列政策法规，从制度层面提供了保障</w:t>
      </w:r>
      <w:r>
        <w:rPr>
          <w:spacing w:val="-66"/>
        </w:rPr>
        <w:t> </w:t>
      </w:r>
      <w:r>
        <w:rPr>
          <w:spacing w:val="-66"/>
        </w:rPr>
      </w:r>
      <w:r>
        <w:rPr>
          <w:spacing w:val="-2"/>
        </w:rPr>
        <w:t>行业蓬勃发展的良好环境。若未来国家相关政策导向发生较大变化或调整，则可能会导致行业的市场环境出现较大变化，对</w:t>
      </w:r>
      <w:r>
        <w:rPr>
          <w:spacing w:val="-66"/>
        </w:rPr>
        <w:t> </w:t>
      </w:r>
      <w:r>
        <w:rPr>
          <w:spacing w:val="-66"/>
        </w:rPr>
      </w:r>
      <w:r>
        <w:rPr/>
        <w:t>公司经营带来一定风险。 </w:t>
      </w:r>
      <w:r>
        <w:rPr>
          <w:spacing w:val="-2"/>
        </w:rPr>
        <w:t>应对措施：公司将密切关注并积极应对国家产业政策变化，加强对政策及行业准则的把握理解，并根据产业政策和行业发展</w:t>
      </w:r>
      <w:r>
        <w:rPr>
          <w:spacing w:val="-66"/>
        </w:rPr>
        <w:t> </w:t>
      </w:r>
      <w:r>
        <w:rPr>
          <w:spacing w:val="-66"/>
        </w:rPr>
      </w:r>
      <w:r>
        <w:rPr>
          <w:spacing w:val="-2"/>
        </w:rPr>
        <w:t>趋势，及时调整公司的市场竞争策略，坚持以市场为导向，充分发挥公司技术优势、品牌优势、产品优势，加强创新、开拓</w:t>
      </w:r>
      <w:r>
        <w:rPr>
          <w:spacing w:val="-72"/>
        </w:rPr>
        <w:t> </w:t>
      </w:r>
      <w:r>
        <w:rPr>
          <w:spacing w:val="-72"/>
        </w:rPr>
      </w:r>
      <w:r>
        <w:rPr/>
        <w:t>业务，确保公司的可持续发展。</w:t>
      </w:r>
    </w:p>
    <w:p>
      <w:pPr>
        <w:pStyle w:val="BodyText"/>
        <w:spacing w:line="312" w:lineRule="auto" w:before="22"/>
        <w:ind w:right="0"/>
        <w:jc w:val="left"/>
      </w:pPr>
      <w:r>
        <w:rPr>
          <w:rFonts w:ascii="Times New Roman" w:hAnsi="Times New Roman" w:cs="Times New Roman" w:eastAsia="Times New Roman" w:hint="default"/>
        </w:rPr>
        <w:t>2</w:t>
      </w:r>
      <w:r>
        <w:rPr/>
        <w:t>、市场竞争加剧的风险 </w:t>
      </w:r>
      <w:r>
        <w:rPr>
          <w:spacing w:val="-2"/>
        </w:rPr>
        <w:t>个人创业创新的热情以及商事制度改革、简政放权激发了市场的活力，企业注册数量超预期增长。随着市场的盈利空间被逐</w:t>
      </w:r>
      <w:r>
        <w:rPr>
          <w:spacing w:val="-66"/>
        </w:rPr>
        <w:t> </w:t>
      </w:r>
      <w:r>
        <w:rPr>
          <w:spacing w:val="-66"/>
        </w:rPr>
      </w:r>
      <w:r>
        <w:rPr>
          <w:spacing w:val="-4"/>
        </w:rPr>
        <w:t>步打开，更多的主体进入到企业服务这一领域，业务同质化严重，市场集中度不高，发展良莠不齐，市场竞争状况不断加剧。</w:t>
      </w:r>
      <w:r>
        <w:rPr>
          <w:spacing w:val="-44"/>
        </w:rPr>
        <w:t> </w:t>
      </w:r>
      <w:r>
        <w:rPr>
          <w:spacing w:val="-44"/>
        </w:rPr>
      </w:r>
      <w:r>
        <w:rPr>
          <w:spacing w:val="-2"/>
        </w:rPr>
        <w:t>应对措施：公司作为企业服务的领先者，有较强的品牌影响力，并在市场渠道、技术人才、管理水平等多个领域比同行业其</w:t>
      </w:r>
      <w:r>
        <w:rPr>
          <w:spacing w:val="-66"/>
        </w:rPr>
        <w:t> </w:t>
      </w:r>
      <w:r>
        <w:rPr>
          <w:spacing w:val="-66"/>
        </w:rPr>
      </w:r>
      <w:r>
        <w:rPr/>
        <w:t>他企业具有强大的竞争优势。在未来的经营中，公司继续保持研发与创新能力，进一步提高市场份额，通过</w:t>
      </w:r>
      <w:r>
        <w:rPr>
          <w:rFonts w:ascii="Times New Roman" w:hAnsi="Times New Roman" w:cs="Times New Roman" w:eastAsia="Times New Roman" w:hint="default"/>
        </w:rPr>
        <w:t>“</w:t>
      </w:r>
      <w:r>
        <w:rPr/>
        <w:t>科技</w:t>
      </w:r>
      <w:r>
        <w:rPr>
          <w:rFonts w:ascii="Times New Roman" w:hAnsi="Times New Roman" w:cs="Times New Roman" w:eastAsia="Times New Roman" w:hint="default"/>
        </w:rPr>
        <w:t>+</w:t>
      </w:r>
      <w:r>
        <w:rPr/>
        <w:t>数据</w:t>
      </w:r>
      <w:r>
        <w:rPr>
          <w:rFonts w:ascii="Times New Roman" w:hAnsi="Times New Roman" w:cs="Times New Roman" w:eastAsia="Times New Roman" w:hint="default"/>
        </w:rPr>
        <w:t>”</w:t>
      </w:r>
      <w:r>
        <w:rPr/>
        <w:t>的 能力，创新公司原有的管理模式、服务模式、营销模式，不断迭代竞争壁垒。</w:t>
      </w:r>
    </w:p>
    <w:p>
      <w:pPr>
        <w:spacing w:after="0" w:line="312" w:lineRule="auto"/>
        <w:jc w:val="left"/>
        <w:sectPr>
          <w:headerReference w:type="default" r:id="rId15"/>
          <w:footerReference w:type="default" r:id="rId16"/>
          <w:pgSz w:w="11910" w:h="16840"/>
          <w:pgMar w:header="877" w:footer="979" w:top="1100" w:bottom="1160" w:left="980" w:right="0"/>
          <w:pgNumType w:start="27"/>
        </w:sectPr>
      </w:pPr>
    </w:p>
    <w:p>
      <w:pPr>
        <w:spacing w:line="240" w:lineRule="auto" w:before="12"/>
        <w:rPr>
          <w:rFonts w:ascii="宋体" w:hAnsi="宋体" w:cs="宋体" w:eastAsia="宋体" w:hint="default"/>
          <w:sz w:val="21"/>
          <w:szCs w:val="21"/>
        </w:rPr>
      </w:pPr>
    </w:p>
    <w:p>
      <w:pPr>
        <w:pStyle w:val="BodyText"/>
        <w:spacing w:line="314" w:lineRule="auto" w:before="44"/>
        <w:ind w:right="1032"/>
        <w:jc w:val="left"/>
      </w:pPr>
      <w:r>
        <w:rPr>
          <w:rFonts w:ascii="Times New Roman" w:hAnsi="Times New Roman" w:cs="Times New Roman" w:eastAsia="Times New Roman" w:hint="default"/>
        </w:rPr>
        <w:t>3</w:t>
      </w:r>
      <w:r>
        <w:rPr/>
        <w:t>、人才流失的风险 </w:t>
      </w:r>
      <w:r>
        <w:rPr>
          <w:spacing w:val="-2"/>
        </w:rPr>
        <w:t>作为企业服务类公司，主要业务依赖于高级管理人员以及专业的人才队伍，人才资源是企业互联网服务行业的核心资源。因</w:t>
      </w:r>
      <w:r>
        <w:rPr>
          <w:spacing w:val="-66"/>
        </w:rPr>
        <w:t> </w:t>
      </w:r>
      <w:r>
        <w:rPr>
          <w:spacing w:val="-66"/>
        </w:rPr>
      </w:r>
      <w:r>
        <w:rPr/>
        <w:t>此，保持人才资源的稳定性，对于公司可持续发展至关重要。 </w:t>
      </w:r>
      <w:r>
        <w:rPr>
          <w:spacing w:val="-2"/>
        </w:rPr>
        <w:t>应对措施：通过长期的沟通协作，公司为员工搭建了技术创新的良性互动平台，并随着业务规模的持续扩大，进一步完善核</w:t>
      </w:r>
      <w:r>
        <w:rPr>
          <w:spacing w:val="-66"/>
        </w:rPr>
        <w:t> </w:t>
      </w:r>
      <w:r>
        <w:rPr>
          <w:spacing w:val="-66"/>
        </w:rPr>
      </w:r>
      <w:r>
        <w:rPr>
          <w:spacing w:val="-2"/>
        </w:rPr>
        <w:t>心人员的考核和激励机制，提高核心人员的积极性和创造性，通过引进、内部培养等手段，建立公司人才梯队。同时，推出</w:t>
      </w:r>
      <w:r>
        <w:rPr>
          <w:spacing w:val="-66"/>
        </w:rPr>
        <w:t> </w:t>
      </w:r>
      <w:r>
        <w:rPr>
          <w:spacing w:val="-66"/>
        </w:rPr>
      </w:r>
      <w:r>
        <w:rPr/>
        <w:t>股权激励计划，进一步完善公司法人治理结构，建立、健全公司长效激励约束机制，吸引和留住专业管理人才及核心骨干， 确保公司长期、稳定发展。</w:t>
      </w:r>
    </w:p>
    <w:p>
      <w:pPr>
        <w:pStyle w:val="BodyText"/>
        <w:spacing w:line="314" w:lineRule="auto" w:before="20"/>
        <w:ind w:right="0"/>
        <w:jc w:val="left"/>
      </w:pPr>
      <w:r>
        <w:rPr>
          <w:rFonts w:ascii="Times New Roman" w:hAnsi="Times New Roman" w:cs="Times New Roman" w:eastAsia="Times New Roman" w:hint="default"/>
        </w:rPr>
        <w:t>4</w:t>
      </w:r>
      <w:r>
        <w:rPr/>
        <w:t>、内部控制的风险 </w:t>
      </w:r>
      <w:r>
        <w:rPr>
          <w:spacing w:val="-2"/>
        </w:rPr>
        <w:t>公司在经营过程中，需要与各子公司及其分布在全国各地的终端资产在公司治理结构、员工管理、财务管理、资源管理、业</w:t>
      </w:r>
      <w:r>
        <w:rPr>
          <w:spacing w:val="-66"/>
        </w:rPr>
        <w:t> </w:t>
      </w:r>
      <w:r>
        <w:rPr>
          <w:spacing w:val="-66"/>
        </w:rPr>
      </w:r>
      <w:r>
        <w:rPr>
          <w:spacing w:val="-2"/>
        </w:rPr>
        <w:t>务拓展以及企业文化等方面进行有效融合。若公司采取的一系列管控措施实施不当或者不能得到有效执行，则公司将存在相</w:t>
      </w:r>
      <w:r>
        <w:rPr>
          <w:spacing w:val="-64"/>
        </w:rPr>
        <w:t> </w:t>
      </w:r>
      <w:r>
        <w:rPr>
          <w:spacing w:val="-64"/>
        </w:rPr>
      </w:r>
      <w:r>
        <w:rPr/>
        <w:t>关内部控制制度不能有效执行、执行不到位的风险。 </w:t>
      </w:r>
      <w:r>
        <w:rPr>
          <w:spacing w:val="-2"/>
        </w:rPr>
        <w:t>应对措施：公司针对内部控制制定一系列管理制度，同时，全面建立对员工的培训体系，有效增强各子公司及其终端资产员</w:t>
      </w:r>
      <w:r>
        <w:rPr>
          <w:spacing w:val="-66"/>
        </w:rPr>
        <w:t> </w:t>
      </w:r>
      <w:r>
        <w:rPr>
          <w:spacing w:val="-66"/>
        </w:rPr>
      </w:r>
      <w:r>
        <w:rPr>
          <w:spacing w:val="-2"/>
        </w:rPr>
        <w:t>工的业务素质及技能，有效培养其对上市公司内控管理的认同。在业务管理上统一使用管理软件，加强对各子公司客户服务</w:t>
      </w:r>
      <w:r>
        <w:rPr>
          <w:spacing w:val="-66"/>
        </w:rPr>
        <w:t> </w:t>
      </w:r>
      <w:r>
        <w:rPr>
          <w:spacing w:val="-66"/>
        </w:rPr>
      </w:r>
      <w:r>
        <w:rPr>
          <w:spacing w:val="-2"/>
        </w:rPr>
        <w:t>信息和数据的管理，实现业务管理的现代化、高效化、规模化和标准化发展，并为各子公司及其终端资产提供相关的业务支</w:t>
      </w:r>
      <w:r>
        <w:rPr>
          <w:spacing w:val="-66"/>
        </w:rPr>
        <w:t> </w:t>
      </w:r>
      <w:r>
        <w:rPr>
          <w:spacing w:val="-66"/>
        </w:rPr>
      </w:r>
      <w:r>
        <w:rPr/>
        <w:t>持，增强其在各经营区域内的市场地位及获客能力。</w:t>
      </w:r>
    </w:p>
    <w:p>
      <w:pPr>
        <w:pStyle w:val="BodyText"/>
        <w:spacing w:line="312" w:lineRule="auto" w:before="20"/>
        <w:ind w:right="0"/>
        <w:jc w:val="left"/>
      </w:pPr>
      <w:r>
        <w:rPr>
          <w:rFonts w:ascii="Times New Roman" w:hAnsi="Times New Roman" w:cs="Times New Roman" w:eastAsia="Times New Roman" w:hint="default"/>
        </w:rPr>
        <w:t>5</w:t>
      </w:r>
      <w:r>
        <w:rPr/>
        <w:t>、商誉减值的风险 </w:t>
      </w:r>
      <w:r>
        <w:rPr>
          <w:spacing w:val="-2"/>
        </w:rPr>
        <w:t>公司在并购活动中形成较大金额的商誉，根据《企业会计准则》的规定，上述商誉不作摊销处理，但需要在未来每个会计年</w:t>
      </w:r>
      <w:r>
        <w:rPr>
          <w:spacing w:val="-66"/>
        </w:rPr>
        <w:t> </w:t>
      </w:r>
      <w:r>
        <w:rPr>
          <w:spacing w:val="-66"/>
        </w:rPr>
      </w:r>
      <w:r>
        <w:rPr>
          <w:spacing w:val="-2"/>
        </w:rPr>
        <w:t>度末进行减值测试。如果未来公司所处行业经营情况发生不利变化，或者公司的经营状况、盈利能力没有达到预期，则会存</w:t>
      </w:r>
      <w:r>
        <w:rPr>
          <w:spacing w:val="-66"/>
        </w:rPr>
        <w:t> </w:t>
      </w:r>
      <w:r>
        <w:rPr>
          <w:spacing w:val="-66"/>
        </w:rPr>
      </w:r>
      <w:r>
        <w:rPr/>
        <w:t>在计提商誉减值的风险。 应对措施：作为规模达万亿级的企业服务市场，公司的线上线下协同一体化布局及配套的</w:t>
      </w:r>
      <w:r>
        <w:rPr>
          <w:rFonts w:ascii="Times New Roman" w:hAnsi="Times New Roman" w:cs="Times New Roman" w:eastAsia="Times New Roman" w:hint="default"/>
        </w:rPr>
        <w:t>4S</w:t>
      </w:r>
      <w:r>
        <w:rPr/>
        <w:t>服务体系在激烈的市场竞争中 </w:t>
      </w:r>
      <w:r>
        <w:rPr>
          <w:spacing w:val="-2"/>
        </w:rPr>
        <w:t>抢占了先机。公司将充分发挥行业地位、研发实力、业务布局、渠道、用户等各方面的竞争优势，抓住企业互联网发展的良</w:t>
      </w:r>
      <w:r>
        <w:rPr>
          <w:spacing w:val="-68"/>
        </w:rPr>
        <w:t> </w:t>
      </w:r>
      <w:r>
        <w:rPr>
          <w:spacing w:val="-68"/>
        </w:rPr>
      </w:r>
      <w:r>
        <w:rPr/>
        <w:t>好机遇，构建完善的企业服务生态圈，保持公司的持续竞争力，将商誉对公司未来业绩的影响降到最低程度。</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844"/>
        <w:gridCol w:w="1559"/>
        <w:gridCol w:w="1560"/>
        <w:gridCol w:w="4678"/>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2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月股东户数。</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咨询公司投资并购基金进展情况。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年度业绩预告披露情况。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年度业绩预告披露情况。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咨询公司出售资产及出售股权业务核算情况。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咨询公司企业互联网服务业务发展情况。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年度业绩预计情况。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咨询公司股权激励相关情况。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咨询公司股东股份质押相关情况。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559"/>
        <w:gridCol w:w="1560"/>
        <w:gridCol w:w="4678"/>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咨询公司停牌进展情况。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咨询公司停牌进展情况。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咨询公司停牌进展情况。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咨询公司重大资产收购相关情况。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咨询公司重大资产收购标的相关情况。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咨询公司投资产业并购基金进展情况。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咨询公司一季度业绩预告相关情况。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咨询公司企业互联网业务发展情况。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咨询公司重大资产重组标的业绩完成情况。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咨询公司股票交易复牌情况。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咨询公司年度报告相关情况。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咨询公司重大资产收购进展情况。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p>
          <w:p>
            <w:pPr>
              <w:pStyle w:val="TableParagraph"/>
              <w:spacing w:line="240" w:lineRule="auto" w:before="77"/>
              <w:ind w:left="22" w:right="0"/>
              <w:jc w:val="left"/>
              <w:rPr>
                <w:rFonts w:ascii="宋体" w:hAnsi="宋体" w:cs="宋体" w:eastAsia="宋体" w:hint="default"/>
                <w:sz w:val="18"/>
                <w:szCs w:val="18"/>
              </w:rPr>
            </w:pP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咨询公司重大资产收购进展情况。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咨询公司重大资产收购进展情况。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咨询公司重组问询函回复情况。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咨询公司重组问询函回复以及复牌安排情况。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咨询公司重组问询函回复进展情况。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咨询公司股权激励方案相关情况。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咨询公司标的公司终端资产原控股股东购买股票相关情况。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咨询公司重大资产购买相关进展情况。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咨询公司孙公司终端资产合伙人购买股票相关情况。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p>
          <w:p>
            <w:pPr>
              <w:pStyle w:val="TableParagraph"/>
              <w:spacing w:line="240" w:lineRule="auto" w:before="77"/>
              <w:ind w:left="22" w:right="0"/>
              <w:jc w:val="left"/>
              <w:rPr>
                <w:rFonts w:ascii="宋体" w:hAnsi="宋体" w:cs="宋体" w:eastAsia="宋体" w:hint="default"/>
                <w:sz w:val="18"/>
                <w:szCs w:val="18"/>
              </w:rPr>
            </w:pP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p>
          <w:p>
            <w:pPr>
              <w:pStyle w:val="TableParagraph"/>
              <w:spacing w:line="240" w:lineRule="auto" w:before="77"/>
              <w:ind w:left="22" w:right="0"/>
              <w:jc w:val="left"/>
              <w:rPr>
                <w:rFonts w:ascii="宋体" w:hAnsi="宋体" w:cs="宋体" w:eastAsia="宋体" w:hint="default"/>
                <w:sz w:val="18"/>
                <w:szCs w:val="18"/>
              </w:rPr>
            </w:pP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咨询公司重大资产购买相关进展情况。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咨询公司相关终端资产持股平台进展情况。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p>
          <w:p>
            <w:pPr>
              <w:pStyle w:val="TableParagraph"/>
              <w:spacing w:line="240" w:lineRule="auto" w:before="77"/>
              <w:ind w:left="22" w:right="0"/>
              <w:jc w:val="left"/>
              <w:rPr>
                <w:rFonts w:ascii="宋体" w:hAnsi="宋体" w:cs="宋体" w:eastAsia="宋体" w:hint="default"/>
                <w:sz w:val="18"/>
                <w:szCs w:val="18"/>
              </w:rPr>
            </w:pP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咨询公司第二期员工持股计划安排情况。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咨询公司重大资产购买事项资产过户情况。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咨询公司持股平台购买股票进展情况。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咨询公司持股平台购买股票进展情况。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559"/>
        <w:gridCol w:w="1560"/>
        <w:gridCol w:w="4678"/>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咨询公司证券简称变更情况。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咨询公司年报问询函相关问题回复情况。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咨询公司重大资产购买标的并表情况。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咨询公司半年度业绩情况。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咨询公司半年度业绩情况。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咨询公司半年度业绩情况。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咨询公司股东人数情况。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咨询公司股东大会相关情况。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咨询公司持股平台进展情况。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月末股东人数情况。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咨询公司员工持股计划后续进展情况。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咨询公司收购的终端资产运行情况。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咨询公司百城千店运行情况。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咨询公司资本运作计划情况。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咨询公司上半年度经营情况。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咨询公司收购资产的并表情况。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月份股东人数情况。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咨询公司股东股份质押情况。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咨询公司员工持股计划进展情况。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咨询公司终端资产持股平台进展情况。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咨询公司第三季度经营情况。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咨询公司前三季度业绩预告情况。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咨询公司合并子公司后的业务布局情况。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业务体系发展情况。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咨询公司员工持股计划及股权激励进展情况。</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投资者关系活动记录表详见互动易平台</w:t>
            </w:r>
          </w:p>
          <w:p>
            <w:pPr>
              <w:pStyle w:val="TableParagraph"/>
              <w:spacing w:line="240" w:lineRule="auto" w:before="77"/>
              <w:ind w:left="22" w:right="0"/>
              <w:jc w:val="left"/>
              <w:rPr>
                <w:rFonts w:ascii="宋体" w:hAnsi="宋体" w:cs="宋体" w:eastAsia="宋体" w:hint="default"/>
                <w:sz w:val="18"/>
                <w:szCs w:val="18"/>
              </w:rPr>
            </w:pPr>
            <w:hyperlink r:id="rId17">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咨询公司年度经营业绩情况。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业务布局及发展情况。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咨询公司商誉形成原因及减值情况。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咨询公司终端资产终止合作情况。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月份股东户数。</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日的股东户数。</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年度经营业绩情况。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844"/>
        <w:gridCol w:w="1538"/>
        <w:gridCol w:w="1581"/>
        <w:gridCol w:w="4678"/>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咨询公司子公司和孙公司终端资产处置情况。</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日的股东户数。</w:t>
            </w:r>
          </w:p>
        </w:tc>
      </w:tr>
      <w:tr>
        <w:trPr>
          <w:trHeight w:val="40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72</w:t>
            </w:r>
          </w:p>
        </w:tc>
      </w:tr>
      <w:tr>
        <w:trPr>
          <w:trHeight w:val="40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3583"/>
        <w:jc w:val="center"/>
        <w:rPr>
          <w:b w:val="0"/>
          <w:bCs w:val="0"/>
        </w:rPr>
      </w:pPr>
      <w:bookmarkStart w:name="_TOC_250007" w:id="64"/>
      <w:bookmarkStart w:name="第五节 重要事项" w:id="65"/>
      <w:r>
        <w:rPr>
          <w:b w:val="0"/>
          <w:bCs w:val="0"/>
        </w:rPr>
      </w:r>
      <w:r>
        <w:rPr/>
        <w:t>第五节</w:t>
      </w:r>
      <w:r>
        <w:rPr>
          <w:spacing w:val="-5"/>
        </w:rPr>
        <w:t> </w:t>
      </w:r>
      <w:r>
        <w:rPr/>
        <w:t>重要事项</w:t>
      </w:r>
      <w:bookmarkEnd w:id="6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报告期内，公司没有调整利润分配政策，公司利润分配政策符合《公司章程》的相关规定。</w:t>
      </w:r>
    </w:p>
    <w:tbl>
      <w:tblPr>
        <w:tblW w:w="0" w:type="auto"/>
        <w:jc w:val="left"/>
        <w:tblInd w:w="230" w:type="dxa"/>
        <w:tblLayout w:type="fixed"/>
        <w:tblCellMar>
          <w:top w:w="0" w:type="dxa"/>
          <w:left w:w="0" w:type="dxa"/>
          <w:bottom w:w="0" w:type="dxa"/>
          <w:right w:w="0" w:type="dxa"/>
        </w:tblCellMar>
        <w:tblLook w:val="01E0"/>
      </w:tblPr>
      <w:tblGrid>
        <w:gridCol w:w="6499"/>
        <w:gridCol w:w="2988"/>
      </w:tblGrid>
      <w:tr>
        <w:trPr>
          <w:trHeight w:val="402" w:hRule="exact"/>
        </w:trPr>
        <w:tc>
          <w:tcPr>
            <w:tcW w:w="94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 w:right="8"/>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报告期内未调整或变更现金分红政策</w:t>
            </w:r>
          </w:p>
        </w:tc>
      </w:tr>
    </w:tbl>
    <w:p>
      <w:pPr>
        <w:pStyle w:val="BodyText"/>
        <w:spacing w:line="240" w:lineRule="auto" w:before="43"/>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年度，公司不派发现金股利、不送红股、不以资本公积转增股本。</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年度，公司不派发现金股利、不送红股、不以资本公积转增股本。</w:t>
      </w:r>
    </w:p>
    <w:p>
      <w:pPr>
        <w:pStyle w:val="BodyText"/>
        <w:spacing w:line="240" w:lineRule="auto" w:before="63"/>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年度，公司不派发现金股利、不送红股、不以资本公积转增股本。</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852"/>
        <w:gridCol w:w="962"/>
        <w:gridCol w:w="1196"/>
        <w:gridCol w:w="1374"/>
        <w:gridCol w:w="1195"/>
        <w:gridCol w:w="1534"/>
        <w:gridCol w:w="962"/>
        <w:gridCol w:w="1602"/>
      </w:tblGrid>
      <w:tr>
        <w:trPr>
          <w:trHeight w:val="473"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1" w:right="50"/>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5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 w:right="40"/>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5"/>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9"/>
                <w:sz w:val="18"/>
                <w:szCs w:val="18"/>
              </w:rPr>
              <w:t>现金分红总额（含其</w:t>
            </w:r>
            <w:r>
              <w:rPr>
                <w:rFonts w:ascii="宋体" w:hAnsi="宋体" w:cs="宋体" w:eastAsia="宋体" w:hint="default"/>
                <w:sz w:val="18"/>
                <w:szCs w:val="18"/>
              </w:rPr>
              <w:t> </w:t>
            </w:r>
            <w:r>
              <w:rPr>
                <w:rFonts w:ascii="宋体" w:hAnsi="宋体" w:cs="宋体" w:eastAsia="宋体" w:hint="default"/>
                <w:spacing w:val="-9"/>
                <w:sz w:val="18"/>
                <w:szCs w:val="18"/>
              </w:rPr>
              <w:t>他方式）占合并报表</w:t>
            </w:r>
            <w:r>
              <w:rPr>
                <w:rFonts w:ascii="宋体" w:hAnsi="宋体" w:cs="宋体" w:eastAsia="宋体" w:hint="default"/>
                <w:sz w:val="18"/>
                <w:szCs w:val="18"/>
              </w:rPr>
              <w:t> 中归属于上市公司 普通股股东的净利 润的比率</w:t>
            </w:r>
          </w:p>
        </w:tc>
      </w:tr>
      <w:tr>
        <w:trPr>
          <w:trHeight w:val="156"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9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6" w:right="24"/>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534" w:type="dxa"/>
            <w:vMerge/>
            <w:tcBorders>
              <w:left w:val="single" w:sz="4" w:space="0" w:color="000000"/>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1602" w:type="dxa"/>
            <w:vMerge/>
            <w:tcBorders>
              <w:left w:val="single" w:sz="4" w:space="0" w:color="000000"/>
              <w:right w:val="single" w:sz="4" w:space="0" w:color="000000"/>
            </w:tcBorders>
            <w:shd w:val="clear" w:color="auto" w:fill="D2D2D2"/>
          </w:tcPr>
          <w:p>
            <w:pPr/>
          </w:p>
        </w:tc>
      </w:tr>
      <w:tr>
        <w:trPr>
          <w:trHeight w:val="392"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9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534" w:type="dxa"/>
            <w:vMerge/>
            <w:tcBorders>
              <w:left w:val="single" w:sz="4" w:space="0" w:color="000000"/>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1602" w:type="dxa"/>
            <w:vMerge/>
            <w:tcBorders>
              <w:left w:val="single" w:sz="4" w:space="0" w:color="000000"/>
              <w:right w:val="single" w:sz="4" w:space="0" w:color="000000"/>
            </w:tcBorders>
            <w:shd w:val="clear" w:color="auto" w:fill="D2D2D2"/>
          </w:tcPr>
          <w:p>
            <w:pP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2D2D2"/>
          </w:tcPr>
          <w:p>
            <w:pPr/>
          </w:p>
        </w:tc>
        <w:tc>
          <w:tcPr>
            <w:tcW w:w="962"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534" w:type="dxa"/>
            <w:vMerge/>
            <w:tcBorders>
              <w:left w:val="single" w:sz="4" w:space="0" w:color="000000"/>
              <w:right w:val="single" w:sz="4" w:space="0" w:color="000000"/>
            </w:tcBorders>
            <w:shd w:val="clear" w:color="auto" w:fill="D2D2D2"/>
          </w:tcPr>
          <w:p>
            <w:pPr/>
          </w:p>
        </w:tc>
        <w:tc>
          <w:tcPr>
            <w:tcW w:w="962" w:type="dxa"/>
            <w:vMerge/>
            <w:tcBorders>
              <w:left w:val="single" w:sz="4" w:space="0" w:color="000000"/>
              <w:right w:val="single" w:sz="4" w:space="0" w:color="000000"/>
            </w:tcBorders>
            <w:shd w:val="clear" w:color="auto" w:fill="D2D2D2"/>
          </w:tcPr>
          <w:p>
            <w:pPr/>
          </w:p>
        </w:tc>
        <w:tc>
          <w:tcPr>
            <w:tcW w:w="1602" w:type="dxa"/>
            <w:vMerge/>
            <w:tcBorders>
              <w:left w:val="single" w:sz="4" w:space="0" w:color="000000"/>
              <w:right w:val="single" w:sz="4" w:space="0" w:color="000000"/>
            </w:tcBorders>
            <w:shd w:val="clear" w:color="auto" w:fill="D2D2D2"/>
          </w:tcPr>
          <w:p>
            <w:pPr/>
          </w:p>
        </w:tc>
      </w:tr>
      <w:tr>
        <w:trPr>
          <w:trHeight w:val="473"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534"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93,282,489.53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64,215,586.67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45,818,308.29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7"/>
      <w:bookmarkEnd w:id="67"/>
      <w:r>
        <w:rPr>
          <w:b w:val="0"/>
          <w:bCs w:val="0"/>
        </w:rPr>
      </w:r>
      <w:r>
        <w:rPr/>
        <w:t>二、本报告期利润分配及资本公积金转增股本情况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5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
          <w:szCs w:val="2"/>
        </w:rPr>
      </w:pPr>
      <w:r>
        <w:rPr/>
        <w:pict>
          <v:group style="position:absolute;margin-left:537.280029pt;margin-top:382.059998pt;width:55.8pt;height:141.450pt;mso-position-horizontal-relative:page;mso-position-vertical-relative:page;z-index:-1039552" coordorigin="10746,7641" coordsize="1116,2829">
            <v:group style="position:absolute;left:10746;top:7993;width:1116;height:2478" coordorigin="10746,7993" coordsize="1116,2478">
              <v:shape style="position:absolute;left:10746;top:7993;width:1116;height:2478" coordorigin="10746,7993" coordsize="1116,2478" path="m10746,10470l11862,10470,11862,7993,10746,7993,10746,10470xe" filled="true" fillcolor="#ffffff" stroked="false">
                <v:path arrowok="t"/>
                <v:fill type="solid"/>
              </v:shape>
            </v:group>
            <v:group style="position:absolute;left:10768;top:7641;width:1071;height:352" coordorigin="10768,7641" coordsize="1071,352">
              <v:shape style="position:absolute;left:10768;top:7641;width:1071;height:352" coordorigin="10768,7641" coordsize="1071,352" path="m10768,7993l11839,7993,11839,7641,10768,7641,10768,7993xe" filled="true" fillcolor="#ffffff" stroked="false">
                <v:path arrowok="t"/>
                <v:fill type="solid"/>
              </v:shape>
            </v:group>
            <w10:wrap type="none"/>
          </v:group>
        </w:pict>
      </w:r>
    </w:p>
    <w:p>
      <w:pPr>
        <w:spacing w:line="20" w:lineRule="exact"/>
        <w:ind w:left="2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260" w:right="0"/>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60"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562"/>
        <w:gridCol w:w="1559"/>
        <w:gridCol w:w="1126"/>
        <w:gridCol w:w="5202"/>
        <w:gridCol w:w="1126"/>
        <w:gridCol w:w="1122"/>
        <w:gridCol w:w="2556"/>
      </w:tblGrid>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2482" w:hRule="exact"/>
        </w:trPr>
        <w:tc>
          <w:tcPr>
            <w:tcW w:w="15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16" w:right="84"/>
              <w:jc w:val="both"/>
              <w:rPr>
                <w:rFonts w:ascii="宋体" w:hAnsi="宋体" w:cs="宋体" w:eastAsia="宋体" w:hint="default"/>
                <w:sz w:val="18"/>
                <w:szCs w:val="18"/>
              </w:rPr>
            </w:pPr>
            <w:r>
              <w:rPr>
                <w:rFonts w:ascii="宋体" w:hAnsi="宋体" w:cs="宋体" w:eastAsia="宋体" w:hint="default"/>
                <w:sz w:val="18"/>
                <w:szCs w:val="18"/>
              </w:rPr>
              <w:t>百达永信投资有限 公司；彭聪；广西 泰达新原股权投资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202" w:type="dxa"/>
            <w:vMerge w:val="restart"/>
            <w:tcBorders>
              <w:top w:val="single" w:sz="4" w:space="0" w:color="000000"/>
              <w:left w:val="single" w:sz="4" w:space="0" w:color="000000"/>
              <w:right w:val="single" w:sz="9" w:space="0" w:color="FFFFFF"/>
            </w:tcBorders>
          </w:tcPr>
          <w:p>
            <w:pPr>
              <w:pStyle w:val="TableParagraph"/>
              <w:spacing w:line="312"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一、避免同业竞争的承诺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、为避免承诺人及承诺人控股或实际 </w:t>
            </w:r>
            <w:r>
              <w:rPr>
                <w:rFonts w:ascii="宋体" w:hAnsi="宋体" w:cs="宋体" w:eastAsia="宋体" w:hint="default"/>
                <w:spacing w:val="-3"/>
                <w:sz w:val="18"/>
                <w:szCs w:val="18"/>
              </w:rPr>
              <w:t>控制的其他公司或者其他企业或经济组织（不包括上市公司控制的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企业，以下统称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承诺人的关联企业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）与上市公司发生潜在的同业 </w:t>
            </w:r>
            <w:r>
              <w:rPr>
                <w:rFonts w:ascii="宋体" w:hAnsi="宋体" w:cs="宋体" w:eastAsia="宋体" w:hint="default"/>
                <w:spacing w:val="-3"/>
                <w:sz w:val="18"/>
                <w:szCs w:val="18"/>
              </w:rPr>
              <w:t>竞争，承诺人及承诺人的关联企业不会以任何方式直接或间接从事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与上市公司及其下属企业相同、相似的业务，包括但不限于不在中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国境内外通过投资、并购、联营、兼并、合作、受托经营或以其他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方式从事与上市公司及其下属企业相同、相似或构成实质竞争的业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、如承诺人及承诺人的关联企业获得的任何商业机会与上市 </w:t>
            </w:r>
            <w:r>
              <w:rPr>
                <w:rFonts w:ascii="宋体" w:hAnsi="宋体" w:cs="宋体" w:eastAsia="宋体" w:hint="default"/>
                <w:spacing w:val="-3"/>
                <w:sz w:val="18"/>
                <w:szCs w:val="18"/>
              </w:rPr>
              <w:t>公司主营业务有竞争或可能发生竞争的，则承诺人及承诺人的关联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企业将立即通知上市公司，并将该商业机会优先转给上市公司。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承诺人保证将不直接或间接从事、参与或投资与上市公司的生产</w:t>
            </w:r>
            <w:r>
              <w:rPr>
                <w:rFonts w:ascii="宋体" w:hAnsi="宋体" w:cs="宋体" w:eastAsia="宋体" w:hint="default"/>
                <w:sz w:val="18"/>
                <w:szCs w:val="18"/>
              </w:rPr>
              <w:t> 经营相竞争的任何经营活动。</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、本承诺将不利用对上市公司及其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下属企业的了解和知悉的信息协助任何第三方从事、参与或投资与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上市公司相竞争的业务或项目。</w:t>
            </w:r>
            <w:r>
              <w:rPr>
                <w:rFonts w:ascii="宋体" w:hAnsi="宋体" w:cs="宋体" w:eastAsia="宋体" w:hint="default"/>
                <w:spacing w:val="-2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、如果承诺人违反上述承诺，则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因此而取得的相关收益将全部归上市公司所有，如因此给上市公司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及其他股东造成损失的，则承诺人将及时、足额赔偿上市公司及其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他股东因此遭受的全部损失。 上述承诺在承诺人与上市公司存在 关联关系期间内持续有效且不可变更或撤销。 二、减少和规范关</w:t>
            </w:r>
          </w:p>
        </w:tc>
        <w:tc>
          <w:tcPr>
            <w:tcW w:w="1126"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82"/>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703" w:hRule="exact"/>
        </w:trPr>
        <w:tc>
          <w:tcPr>
            <w:tcW w:w="15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559"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5202" w:type="dxa"/>
            <w:vMerge/>
            <w:tcBorders>
              <w:left w:val="single" w:sz="4" w:space="0" w:color="000000"/>
              <w:right w:val="single" w:sz="9" w:space="0" w:color="FFFFFF"/>
            </w:tcBorders>
          </w:tcPr>
          <w:p>
            <w:pPr/>
          </w:p>
        </w:tc>
        <w:tc>
          <w:tcPr>
            <w:tcW w:w="1126" w:type="dxa"/>
            <w:vMerge/>
            <w:tcBorders>
              <w:left w:val="single" w:sz="9" w:space="0" w:color="FFFFFF"/>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2482" w:hRule="exact"/>
        </w:trPr>
        <w:tc>
          <w:tcPr>
            <w:tcW w:w="1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202" w:type="dxa"/>
            <w:vMerge/>
            <w:tcBorders>
              <w:left w:val="single" w:sz="4" w:space="0" w:color="000000"/>
              <w:bottom w:val="single" w:sz="4" w:space="0" w:color="000000"/>
              <w:right w:val="single" w:sz="9" w:space="0" w:color="FFFFFF"/>
            </w:tcBorders>
          </w:tcPr>
          <w:p>
            <w:pPr/>
          </w:p>
        </w:tc>
        <w:tc>
          <w:tcPr>
            <w:tcW w:w="1126" w:type="dxa"/>
            <w:vMerge/>
            <w:tcBorders>
              <w:left w:val="single" w:sz="9" w:space="0" w:color="FFFFFF"/>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2556" w:type="dxa"/>
            <w:vMerge/>
            <w:tcBorders>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67" w:footer="979" w:top="1060" w:bottom="1160" w:left="1180" w:right="1180"/>
          <w:pgNumType w:start="33"/>
        </w:sectPr>
      </w:pPr>
    </w:p>
    <w:p>
      <w:pPr>
        <w:spacing w:line="240" w:lineRule="auto" w:before="4"/>
        <w:rPr>
          <w:rFonts w:ascii="Times New Roman" w:hAnsi="Times New Roman" w:cs="Times New Roman" w:eastAsia="Times New Roman" w:hint="default"/>
          <w:sz w:val="3"/>
          <w:szCs w:val="3"/>
        </w:rPr>
      </w:pPr>
      <w:r>
        <w:rPr/>
        <w:pict>
          <v:shape style="position:absolute;margin-left:513.145996pt;margin-top:340.540009pt;width:79.95pt;height:77pt;mso-position-horizontal-relative:page;mso-position-vertical-relative:page;z-index:-1039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控股、</w:t>
                  </w:r>
                </w:p>
              </w:txbxContent>
            </v:textbox>
            <w10:wrap type="none"/>
          </v:shape>
        </w:pict>
      </w:r>
      <w:r>
        <w:rPr/>
        <w:pict>
          <v:group style="position:absolute;margin-left:537.280029pt;margin-top:57.180008pt;width:55.8pt;height:360.4pt;mso-position-horizontal-relative:page;mso-position-vertical-relative:page;z-index:-1039504" coordorigin="10746,1144" coordsize="1116,7208">
            <v:group style="position:absolute;left:10746;top:1144;width:1116;height:5658" coordorigin="10746,1144" coordsize="1116,5658">
              <v:shape style="position:absolute;left:10746;top:1144;width:1116;height:5658" coordorigin="10746,1144" coordsize="1116,5658" path="m10746,6801l11862,6801,11862,1144,10746,1144,10746,6801xe" filled="true" fillcolor="#ffffff" stroked="false">
                <v:path arrowok="t"/>
                <v:fill type="solid"/>
              </v:shape>
            </v:group>
            <v:group style="position:absolute;left:10746;top:6811;width:1116;height:1540" coordorigin="10746,6811" coordsize="1116,1540">
              <v:shape style="position:absolute;left:10746;top:6811;width:1116;height:1540" coordorigin="10746,6811" coordsize="1116,1540" path="m10746,8351l11862,8351,11862,6811,10746,6811,10746,8351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36"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vMerge w:val="restart"/>
            <w:tcBorders>
              <w:top w:val="single" w:sz="15" w:space="0" w:color="000000"/>
              <w:left w:val="single" w:sz="4" w:space="0" w:color="000000"/>
              <w:right w:val="single" w:sz="4" w:space="0" w:color="000000"/>
            </w:tcBorders>
          </w:tcPr>
          <w:p>
            <w:pPr/>
          </w:p>
        </w:tc>
        <w:tc>
          <w:tcPr>
            <w:tcW w:w="1126" w:type="dxa"/>
            <w:vMerge w:val="restart"/>
            <w:tcBorders>
              <w:top w:val="single" w:sz="15" w:space="0" w:color="000000"/>
              <w:left w:val="single" w:sz="4" w:space="0" w:color="000000"/>
              <w:right w:val="single" w:sz="4" w:space="0" w:color="000000"/>
            </w:tcBorders>
          </w:tcPr>
          <w:p>
            <w:pPr/>
          </w:p>
        </w:tc>
        <w:tc>
          <w:tcPr>
            <w:tcW w:w="52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、承诺人将充分尊重上市公司的独立法人地位，</w:t>
            </w:r>
          </w:p>
        </w:tc>
        <w:tc>
          <w:tcPr>
            <w:tcW w:w="1126" w:type="dxa"/>
            <w:tcBorders>
              <w:top w:val="single" w:sz="15" w:space="0" w:color="000000"/>
              <w:left w:val="single" w:sz="4" w:space="0" w:color="000000"/>
              <w:bottom w:val="nil" w:sz="6" w:space="0" w:color="auto"/>
              <w:right w:val="single" w:sz="4" w:space="0" w:color="000000"/>
            </w:tcBorders>
          </w:tcPr>
          <w:p>
            <w:pPr/>
          </w:p>
        </w:tc>
        <w:tc>
          <w:tcPr>
            <w:tcW w:w="1122" w:type="dxa"/>
            <w:vMerge w:val="restart"/>
            <w:tcBorders>
              <w:top w:val="single" w:sz="15" w:space="0" w:color="000000"/>
              <w:left w:val="single" w:sz="4" w:space="0" w:color="000000"/>
              <w:right w:val="single" w:sz="4" w:space="0" w:color="000000"/>
            </w:tcBorders>
          </w:tcPr>
          <w:p>
            <w:pPr/>
          </w:p>
        </w:tc>
        <w:tc>
          <w:tcPr>
            <w:tcW w:w="2556" w:type="dxa"/>
            <w:vMerge w:val="restart"/>
            <w:tcBorders>
              <w:top w:val="single" w:sz="15"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保障上市公司独立经营、自主决策。</w:t>
            </w:r>
            <w:r>
              <w:rPr>
                <w:rFonts w:ascii="宋体" w:hAnsi="宋体" w:cs="宋体" w:eastAsia="宋体" w:hint="default"/>
                <w:spacing w:val="-18"/>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、承诺人保证承诺人及承诺</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人控股或实际控制的其他公司或者其他企业或经济组</w:t>
            </w:r>
            <w:r>
              <w:rPr>
                <w:rFonts w:ascii="宋体" w:hAnsi="宋体" w:cs="宋体" w:eastAsia="宋体" w:hint="default"/>
                <w:spacing w:val="-75"/>
                <w:sz w:val="18"/>
                <w:szCs w:val="18"/>
              </w:rPr>
              <w:t>织</w:t>
            </w:r>
            <w:r>
              <w:rPr>
                <w:rFonts w:ascii="宋体" w:hAnsi="宋体" w:cs="宋体" w:eastAsia="宋体" w:hint="default"/>
                <w:sz w:val="18"/>
                <w:szCs w:val="18"/>
              </w:rPr>
              <w:t>（不包括上</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市公司控制的企业，以下统称</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承诺人的关联企业</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，今后原则上</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不与上市公司发生关联交易。</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、如果上市公司在今后的经营活动</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中必须与承诺人或承诺人的关联企业发生不可避免的关联交易</w:t>
            </w:r>
            <w:r>
              <w:rPr>
                <w:rFonts w:ascii="宋体" w:hAnsi="宋体" w:cs="宋体" w:eastAsia="宋体" w:hint="default"/>
                <w:spacing w:val="-75"/>
                <w:sz w:val="18"/>
                <w:szCs w:val="18"/>
              </w:rPr>
              <w:t>，</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诺人将促使此等交易严格按照国家有关法律法规</w:t>
            </w:r>
            <w:r>
              <w:rPr>
                <w:rFonts w:ascii="宋体" w:hAnsi="宋体" w:cs="宋体" w:eastAsia="宋体" w:hint="default"/>
                <w:spacing w:val="-75"/>
                <w:sz w:val="18"/>
                <w:szCs w:val="18"/>
              </w:rPr>
              <w:t>、</w:t>
            </w:r>
            <w:r>
              <w:rPr>
                <w:rFonts w:ascii="宋体" w:hAnsi="宋体" w:cs="宋体" w:eastAsia="宋体" w:hint="default"/>
                <w:sz w:val="18"/>
                <w:szCs w:val="18"/>
              </w:rPr>
              <w:t>上市公司章程和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中国证监会的有关规定履行有关程序，与上市公司依法签订协议</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及时依法进行信息披露和办理相关报批手续；保证按照市场化原</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则、公允价格进行公平操作，且本公司及本公司的关联企业将不会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要求或接受上市公司给予比在任何一项市场公平交易中第三者更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优惠的条件</w:t>
            </w:r>
            <w:r>
              <w:rPr>
                <w:rFonts w:ascii="宋体" w:hAnsi="宋体" w:cs="宋体" w:eastAsia="宋体" w:hint="default"/>
                <w:spacing w:val="-75"/>
                <w:sz w:val="18"/>
                <w:szCs w:val="18"/>
              </w:rPr>
              <w:t>，</w:t>
            </w:r>
            <w:r>
              <w:rPr>
                <w:rFonts w:ascii="宋体" w:hAnsi="宋体" w:cs="宋体" w:eastAsia="宋体" w:hint="default"/>
                <w:sz w:val="18"/>
                <w:szCs w:val="18"/>
              </w:rPr>
              <w:t>保证不通过关联交易损害上市公司及其他股东的合法</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、承诺人承诺将不会利用上市公司的股东地位，损害上市</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公司及其他股东的合法权益。</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、本公司将杜绝一切非法占有上市</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公司的资金、资产的行为，在任何情况下，不要求上市公司及其下</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属企业向本公司以及本公司的关联企业提供任何形式的担保和资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8"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金支持。</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、如违反上述承诺给上市公司造成损失，本公司将向上</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5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市公司作出充分的赔偿或补偿。</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2556"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、本公司及控制的其他企业目前不存在自营、与他人共同经营或</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为他人经营与顺利办及其子公司相同、相似业务的情形。</w:t>
            </w:r>
            <w:r>
              <w:rPr>
                <w:rFonts w:ascii="宋体" w:hAnsi="宋体" w:cs="宋体" w:eastAsia="宋体" w:hint="default"/>
                <w:spacing w:val="-49"/>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接或间接持有顺利办权益的期间内</w:t>
            </w:r>
            <w:r>
              <w:rPr>
                <w:rFonts w:ascii="宋体" w:hAnsi="宋体" w:cs="宋体" w:eastAsia="宋体" w:hint="default"/>
                <w:spacing w:val="-82"/>
                <w:sz w:val="18"/>
                <w:szCs w:val="18"/>
              </w:rPr>
              <w:t>，</w:t>
            </w:r>
            <w:r>
              <w:rPr>
                <w:rFonts w:ascii="宋体" w:hAnsi="宋体" w:cs="宋体" w:eastAsia="宋体" w:hint="default"/>
                <w:sz w:val="18"/>
                <w:szCs w:val="18"/>
              </w:rPr>
              <w:t>本公司将不会采取参股、</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联营、合营、合作或者其他任何方式直接或间接从事与顺利办及其</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2"/>
              <w:jc w:val="both"/>
              <w:rPr>
                <w:rFonts w:ascii="宋体" w:hAnsi="宋体" w:cs="宋体" w:eastAsia="宋体" w:hint="default"/>
                <w:sz w:val="18"/>
                <w:szCs w:val="18"/>
              </w:rPr>
            </w:pPr>
            <w:r>
              <w:rPr>
                <w:rFonts w:ascii="宋体" w:hAnsi="宋体" w:cs="宋体" w:eastAsia="宋体" w:hint="default"/>
                <w:spacing w:val="-3"/>
                <w:sz w:val="18"/>
                <w:szCs w:val="18"/>
              </w:rPr>
              <w:t>子公司所从事的业务范围相同、相似或构成实质竞争的业务，也不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会协助、促使或代表任何第三方以任何方式直接或间接从事与顺利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办及其子公司业务范围相同、相似或构成实质竞争的业务；本公司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将促使本公司控制的其他企业比照前述规定履行不竞争的义务。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、如因国家政策调整等不可抗力原因导致本公司或本公司控制的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其他企业将来从事的业务与顺利办及其子公司之间的同业竞争可</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能构成或不可避免时</w:t>
            </w:r>
            <w:r>
              <w:rPr>
                <w:rFonts w:ascii="宋体" w:hAnsi="宋体" w:cs="宋体" w:eastAsia="宋体" w:hint="default"/>
                <w:spacing w:val="-75"/>
                <w:sz w:val="18"/>
                <w:szCs w:val="18"/>
              </w:rPr>
              <w:t>，</w:t>
            </w:r>
            <w:r>
              <w:rPr>
                <w:rFonts w:ascii="宋体" w:hAnsi="宋体" w:cs="宋体" w:eastAsia="宋体" w:hint="default"/>
                <w:sz w:val="18"/>
                <w:szCs w:val="18"/>
              </w:rPr>
              <w:t>则本公司将在顺利办及其子公司提出异议后</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及时转让或终止上述业务或促使本公司控制的其他企业及时转让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513.145996pt;margin-top:235.820007pt;width:79.95pt;height:93.65pt;mso-position-horizontal-relative:page;mso-position-vertical-relative:page;z-index:-1039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pStyle w:val="BodyText"/>
                    <w:spacing w:line="240" w:lineRule="auto"/>
                    <w:ind w:left="0" w:right="0"/>
                    <w:jc w:val="left"/>
                  </w:pPr>
                  <w:r>
                    <w:rPr/>
                    <w:t>控股、</w:t>
                  </w:r>
                </w:p>
              </w:txbxContent>
            </v:textbox>
            <w10:wrap type="none"/>
          </v:shape>
        </w:pict>
      </w:r>
      <w:r>
        <w:rPr/>
        <w:pict>
          <v:group style="position:absolute;margin-left:537.280029pt;margin-top:163.100006pt;width:55.8pt;height:166.35pt;mso-position-horizontal-relative:page;mso-position-vertical-relative:page;z-index:-1039456" coordorigin="10746,3262" coordsize="1116,3327">
            <v:group style="position:absolute;left:10746;top:3615;width:1116;height:1092" coordorigin="10746,3615" coordsize="1116,1092">
              <v:shape style="position:absolute;left:10746;top:3615;width:1116;height:1092" coordorigin="10746,3615" coordsize="1116,1092" path="m10746,4707l11862,4707,11862,3615,10746,3615,10746,4707xe" filled="true" fillcolor="#ffffff" stroked="false">
                <v:path arrowok="t"/>
                <v:fill type="solid"/>
              </v:shape>
            </v:group>
            <v:group style="position:absolute;left:10768;top:3262;width:1071;height:353" coordorigin="10768,3262" coordsize="1071,353">
              <v:shape style="position:absolute;left:10768;top:3262;width:1071;height:353" coordorigin="10768,3262" coordsize="1071,353" path="m10768,3615l11839,3615,11839,3262,10768,3262,10768,3615xe" filled="true" fillcolor="#ffffff" stroked="false">
                <v:path arrowok="t"/>
                <v:fill type="solid"/>
              </v:shape>
            </v:group>
            <v:group style="position:absolute;left:10746;top:4716;width:1116;height:1873" coordorigin="10746,4716" coordsize="1116,1873">
              <v:shape style="position:absolute;left:10746;top:4716;width:1116;height:1873" coordorigin="10746,4716" coordsize="1116,1873" path="m10746,6589l11862,6589,11862,4716,10746,4716,10746,6589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689"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或终止上述业务；如顺利办及其子公司进一步要求，顺利办及其子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公司享有上述业务在同等条件下的优先受让权。</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6" w:type="dxa"/>
            <w:tcBorders>
              <w:top w:val="single" w:sz="15" w:space="0" w:color="000000"/>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、本公司及控制的其他企业将采取措施尽量减少并避免与顺利办</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及其子公司发生关联交易；对于无法避免的关联交易，将依法与顺</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309" w:lineRule="auto" w:before="10"/>
              <w:ind w:left="22" w:right="10"/>
              <w:jc w:val="left"/>
              <w:rPr>
                <w:rFonts w:ascii="宋体" w:hAnsi="宋体" w:cs="宋体" w:eastAsia="宋体" w:hint="default"/>
                <w:sz w:val="18"/>
                <w:szCs w:val="18"/>
              </w:rPr>
            </w:pPr>
            <w:r>
              <w:rPr>
                <w:rFonts w:ascii="宋体" w:hAnsi="宋体" w:cs="宋体" w:eastAsia="宋体" w:hint="default"/>
                <w:spacing w:val="-3"/>
                <w:sz w:val="18"/>
                <w:szCs w:val="18"/>
              </w:rPr>
              <w:t>利办及其子公司签订关联交易合同，参照市场通行的标准，公允确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定关联交易的价格。 </w:t>
            </w:r>
            <w:r>
              <w:rPr>
                <w:rFonts w:ascii="Times New Roman" w:hAnsi="Times New Roman" w:cs="Times New Roman" w:eastAsia="Times New Roman" w:hint="default"/>
                <w:sz w:val="18"/>
                <w:szCs w:val="18"/>
              </w:rPr>
              <w:t>2</w:t>
            </w:r>
            <w:r>
              <w:rPr>
                <w:rFonts w:ascii="宋体" w:hAnsi="宋体" w:cs="宋体" w:eastAsia="宋体" w:hint="default"/>
                <w:sz w:val="18"/>
                <w:szCs w:val="18"/>
              </w:rPr>
              <w:t>、严格按相关规定履行必要的关联董事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 </w:t>
            </w:r>
            <w:r>
              <w:rPr>
                <w:rFonts w:ascii="宋体" w:hAnsi="宋体" w:cs="宋体" w:eastAsia="宋体" w:hint="default"/>
                <w:spacing w:val="-3"/>
                <w:sz w:val="18"/>
                <w:szCs w:val="18"/>
              </w:rPr>
              <w:t>联股东回避表决等义务，遵守批准关联交易的法定程序和信息披露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义务。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、保证不通过关联交易损害顺利办及其他股东的合法权益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、如本公司违反上述承诺，顺利办及其子公司、顺利办其他股东</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02" w:lineRule="exact"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0"/>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有权要求本公司赔偿因此遭受的全部损失</w:t>
            </w:r>
            <w:r>
              <w:rPr>
                <w:rFonts w:ascii="宋体" w:hAnsi="宋体" w:cs="宋体" w:eastAsia="宋体" w:hint="default"/>
                <w:spacing w:val="-75"/>
                <w:sz w:val="18"/>
                <w:szCs w:val="18"/>
              </w:rPr>
              <w:t>；</w:t>
            </w:r>
            <w:r>
              <w:rPr>
                <w:rFonts w:ascii="宋体" w:hAnsi="宋体" w:cs="宋体" w:eastAsia="宋体" w:hint="default"/>
                <w:sz w:val="18"/>
                <w:szCs w:val="18"/>
              </w:rPr>
              <w:t>同时本公司因违反上述</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承诺所取得的收益归顺利办所有。</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、本公司及控制的其他企业目前不存在自营、与他人共同经营或</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为他人经营与顺利办及其子公司相同、相似业务的情形。</w:t>
            </w:r>
            <w:r>
              <w:rPr>
                <w:rFonts w:ascii="宋体" w:hAnsi="宋体" w:cs="宋体" w:eastAsia="宋体" w:hint="default"/>
                <w:spacing w:val="-49"/>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接或间接持有顺利办权益的期间内</w:t>
            </w:r>
            <w:r>
              <w:rPr>
                <w:rFonts w:ascii="宋体" w:hAnsi="宋体" w:cs="宋体" w:eastAsia="宋体" w:hint="default"/>
                <w:spacing w:val="-82"/>
                <w:sz w:val="18"/>
                <w:szCs w:val="18"/>
              </w:rPr>
              <w:t>，</w:t>
            </w:r>
            <w:r>
              <w:rPr>
                <w:rFonts w:ascii="宋体" w:hAnsi="宋体" w:cs="宋体" w:eastAsia="宋体" w:hint="default"/>
                <w:sz w:val="18"/>
                <w:szCs w:val="18"/>
              </w:rPr>
              <w:t>本公司将不会采取参股、</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联营、合营、合作或者其他任何方式直接或间接从事与顺利办及其</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子公司所从事的业务范围相同、相似或构成实质竞争的业务，也不</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会协助、促使或代表任何第三方以任何方式直接或间接从事与顺利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办及其子公司业务范围相同、相似或构成实质竞争的业务；本公司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将促使本公司控制的其他企业比照前述规定履行不竞争的义务。 </w:t>
            </w:r>
            <w:r>
              <w:rPr>
                <w:rFonts w:ascii="Times New Roman" w:hAnsi="Times New Roman" w:cs="Times New Roman" w:eastAsia="Times New Roman" w:hint="default"/>
                <w:sz w:val="18"/>
                <w:szCs w:val="18"/>
              </w:rPr>
              <w:t>3</w:t>
            </w:r>
            <w:r>
              <w:rPr>
                <w:rFonts w:ascii="宋体" w:hAnsi="宋体" w:cs="宋体" w:eastAsia="宋体" w:hint="default"/>
                <w:sz w:val="18"/>
                <w:szCs w:val="18"/>
              </w:rPr>
              <w:t>、如因国家政策调整等不可抗力原因导致本公司或本公司控制的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其他企业将来从事的业务与顺利办及其子公司之间的同业竞争可</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能构成或不可避免时</w:t>
            </w:r>
            <w:r>
              <w:rPr>
                <w:rFonts w:ascii="宋体" w:hAnsi="宋体" w:cs="宋体" w:eastAsia="宋体" w:hint="default"/>
                <w:spacing w:val="-75"/>
                <w:sz w:val="18"/>
                <w:szCs w:val="18"/>
              </w:rPr>
              <w:t>，</w:t>
            </w:r>
            <w:r>
              <w:rPr>
                <w:rFonts w:ascii="宋体" w:hAnsi="宋体" w:cs="宋体" w:eastAsia="宋体" w:hint="default"/>
                <w:sz w:val="18"/>
                <w:szCs w:val="18"/>
              </w:rPr>
              <w:t>则本公司将在顺利办及其子公司提出异议后</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及时转让或终止上述业务或促使本公司控制的其他企业及时转让</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或终止上述业务；如顺利办及其子公司进一步要求，顺利办及其子</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公司享有上述业务在同等条件下的优先受让权。</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、本公司及控制的其他企业将采取措施尽量减少并避免与顺利办 </w:t>
            </w:r>
            <w:r>
              <w:rPr>
                <w:rFonts w:ascii="宋体" w:hAnsi="宋体" w:cs="宋体" w:eastAsia="宋体" w:hint="default"/>
                <w:spacing w:val="-3"/>
                <w:sz w:val="18"/>
                <w:szCs w:val="18"/>
              </w:rPr>
              <w:t>及其子公司发生关联交易；对于无法避免的关联交易，将依法与顺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利办及其子公司签订关联交易合同，参照市场通行的标准，公允确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定关联交易的价格。 </w:t>
            </w:r>
            <w:r>
              <w:rPr>
                <w:rFonts w:ascii="Times New Roman" w:hAnsi="Times New Roman" w:cs="Times New Roman" w:eastAsia="Times New Roman" w:hint="default"/>
                <w:sz w:val="18"/>
                <w:szCs w:val="18"/>
              </w:rPr>
              <w:t>2</w:t>
            </w:r>
            <w:r>
              <w:rPr>
                <w:rFonts w:ascii="宋体" w:hAnsi="宋体" w:cs="宋体" w:eastAsia="宋体" w:hint="default"/>
                <w:sz w:val="18"/>
                <w:szCs w:val="18"/>
              </w:rPr>
              <w:t>、严格按相关规定履行必要的关联董事</w:t>
            </w:r>
            <w:r>
              <w:rPr>
                <w:rFonts w:ascii="Times New Roman" w:hAnsi="Times New Roman" w:cs="Times New Roman" w:eastAsia="Times New Roman" w:hint="default"/>
                <w:sz w:val="18"/>
                <w:szCs w:val="18"/>
              </w:rPr>
              <w:t>/</w:t>
            </w:r>
            <w:r>
              <w:rPr>
                <w:rFonts w:ascii="宋体" w:hAnsi="宋体" w:cs="宋体" w:eastAsia="宋体" w:hint="default"/>
                <w:sz w:val="18"/>
                <w:szCs w:val="18"/>
              </w:rPr>
              <w:t>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11"/>
        <w:rPr>
          <w:rFonts w:ascii="Times New Roman" w:hAnsi="Times New Roman" w:cs="Times New Roman" w:eastAsia="Times New Roman" w:hint="default"/>
          <w:sz w:val="4"/>
          <w:szCs w:val="4"/>
        </w:rPr>
      </w:pPr>
      <w:r>
        <w:rPr/>
        <w:pict>
          <v:shape style="position:absolute;margin-left:333.079987pt;margin-top:57.180008pt;width:260pt;height:80.1pt;mso-position-horizontal-relative:page;mso-position-vertical-relative:page;z-index:-1039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jc w:val="left"/>
                  </w:pPr>
                  <w:r>
                    <w:rPr/>
                    <w:t>不通过关联交易损害顺利办及其他股东的合法权益。</w:t>
                  </w:r>
                </w:p>
              </w:txbxContent>
            </v:textbox>
            <w10:wrap type="none"/>
          </v:shape>
        </w:pict>
      </w:r>
      <w:r>
        <w:rPr/>
        <w:pict>
          <v:shape style="position:absolute;margin-left:486.014008pt;margin-top:137.720001pt;width:107.1pt;height:178.4pt;mso-position-horizontal-relative:page;mso-position-vertical-relative:page;z-index:-1039408" type="#_x0000_t202" filled="false" stroked="false">
            <v:textbox inset="0,0,0,0">
              <w:txbxContent>
                <w:p>
                  <w:pPr>
                    <w:pStyle w:val="BodyText"/>
                    <w:spacing w:line="240" w:lineRule="auto" w:before="51"/>
                    <w:ind w:left="0" w:right="0"/>
                    <w:jc w:val="left"/>
                  </w:pPr>
                  <w:r>
                    <w:rPr/>
                    <w:t>（包括劳动、</w:t>
                  </w:r>
                </w:p>
              </w:txbxContent>
            </v:textbox>
            <w10:wrap type="none"/>
          </v:shape>
        </w:pict>
      </w:r>
      <w:r>
        <w:rPr/>
        <w:pict>
          <v:group style="position:absolute;margin-left:537.280029pt;margin-top:57.180008pt;width:55.8pt;height:258.95pt;mso-position-horizontal-relative:page;mso-position-vertical-relative:page;z-index:-1039384" coordorigin="10746,1144" coordsize="1116,5179">
            <v:group style="position:absolute;left:10746;top:1144;width:1116;height:1602" coordorigin="10746,1144" coordsize="1116,1602">
              <v:shape style="position:absolute;left:10746;top:1144;width:1116;height:1602" coordorigin="10746,1144" coordsize="1116,1602" path="m10746,2745l11862,2745,11862,1144,10746,1144,10746,2745xe" filled="true" fillcolor="#ffffff" stroked="false">
                <v:path arrowok="t"/>
                <v:fill type="solid"/>
              </v:shape>
            </v:group>
            <v:group style="position:absolute;left:10746;top:2754;width:1116;height:3568" coordorigin="10746,2754" coordsize="1116,3568">
              <v:shape style="position:absolute;left:10746;top:2754;width:1116;height:3568" coordorigin="10746,2754" coordsize="1116,3568" path="m10746,6322l11862,6322,11862,2754,10746,2754,10746,6322xe" filled="true" fillcolor="#ffffff" stroked="false">
                <v:path arrowok="t"/>
                <v:fill type="solid"/>
              </v:shape>
            </v:group>
            <w10:wrap type="none"/>
          </v:group>
        </w:pict>
      </w:r>
      <w:r>
        <w:rPr/>
        <w:pict>
          <v:group style="position:absolute;margin-left:537.280029pt;margin-top:333.760010pt;width:55.8pt;height:196pt;mso-position-horizontal-relative:page;mso-position-vertical-relative:page;z-index:-1039360" coordorigin="10746,6675" coordsize="1116,3920">
            <v:group style="position:absolute;left:10746;top:7027;width:1116;height:3568" coordorigin="10746,7027" coordsize="1116,3568">
              <v:shape style="position:absolute;left:10746;top:7027;width:1116;height:3568" coordorigin="10746,7027" coordsize="1116,3568" path="m10746,10595l11862,10595,11862,7027,10746,7027,10746,10595xe" filled="true" fillcolor="#ffffff" stroked="false">
                <v:path arrowok="t"/>
                <v:fill type="solid"/>
              </v:shape>
            </v:group>
            <v:group style="position:absolute;left:10768;top:6675;width:1071;height:352" coordorigin="10768,6675" coordsize="1071,352">
              <v:shape style="position:absolute;left:10768;top:6675;width:1071;height:352" coordorigin="10768,6675" coordsize="1071,352" path="m10768,7027l11839,7027,11839,6675,10768,6675,10768,7027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1625"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联股东回避表决等义务，遵守批准关联交易的法定程序和信息披露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义务。</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、如本公司违反上述承诺，顺利办及其子公司、顺利办其他股东 </w:t>
            </w:r>
            <w:r>
              <w:rPr>
                <w:rFonts w:ascii="宋体" w:hAnsi="宋体" w:cs="宋体" w:eastAsia="宋体" w:hint="default"/>
                <w:spacing w:val="-3"/>
                <w:sz w:val="18"/>
                <w:szCs w:val="18"/>
              </w:rPr>
              <w:t>有权要求本公司赔偿因此遭受的全部损失；同时本公司因违反上述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承诺所取得的收益归顺利办所有。</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9" w:type="dxa"/>
            <w:tcBorders>
              <w:top w:val="single" w:sz="15" w:space="0" w:color="000000"/>
              <w:left w:val="single" w:sz="4" w:space="0" w:color="000000"/>
              <w:bottom w:val="single" w:sz="4" w:space="0" w:color="000000"/>
              <w:right w:val="single" w:sz="4" w:space="0" w:color="000000"/>
            </w:tcBorders>
          </w:tcPr>
          <w:p>
            <w:pPr/>
          </w:p>
        </w:tc>
      </w:tr>
      <w:tr>
        <w:trPr>
          <w:trHeight w:val="785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百达永信投资有限 公司；彭聪；广西 泰达新原股权投资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2" w:right="14"/>
              <w:jc w:val="left"/>
              <w:rPr>
                <w:rFonts w:ascii="宋体" w:hAnsi="宋体" w:cs="宋体" w:eastAsia="宋体" w:hint="default"/>
                <w:sz w:val="18"/>
                <w:szCs w:val="18"/>
              </w:rPr>
            </w:pPr>
            <w:r>
              <w:rPr>
                <w:rFonts w:ascii="宋体" w:hAnsi="宋体" w:cs="宋体" w:eastAsia="宋体" w:hint="default"/>
                <w:spacing w:val="-10"/>
                <w:sz w:val="18"/>
                <w:szCs w:val="18"/>
              </w:rPr>
              <w:t>一、人员独立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、保证上市公司的生产经营与行政管理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人事及工资管理等）完全独立于本公司及本公司的关联方。</w:t>
            </w:r>
            <w:r>
              <w:rPr>
                <w:rFonts w:ascii="宋体" w:hAnsi="宋体" w:cs="宋体" w:eastAsia="宋体" w:hint="default"/>
                <w:spacing w:val="-39"/>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、保</w:t>
            </w:r>
            <w:r>
              <w:rPr>
                <w:rFonts w:ascii="宋体" w:hAnsi="宋体" w:cs="宋体" w:eastAsia="宋体" w:hint="default"/>
                <w:spacing w:val="-26"/>
                <w:sz w:val="18"/>
                <w:szCs w:val="18"/>
              </w:rPr>
              <w:t> </w:t>
            </w:r>
            <w:r>
              <w:rPr>
                <w:rFonts w:ascii="宋体" w:hAnsi="宋体" w:cs="宋体" w:eastAsia="宋体" w:hint="default"/>
                <w:spacing w:val="-3"/>
                <w:sz w:val="18"/>
                <w:szCs w:val="18"/>
              </w:rPr>
              <w:t>证上市公司的总经理、副总经理、财务负责人、董事会秘书等高级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管理人员的独立性，不在本公司控制的其他企业中担任除董事、监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事以外的职务，不在本公司控制的其他企业领取薪酬；保证上市公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司的财务人员不在本公司控制的其他企业中兼职。</w:t>
            </w:r>
            <w:r>
              <w:rPr>
                <w:rFonts w:ascii="宋体" w:hAnsi="宋体" w:cs="宋体" w:eastAsia="宋体" w:hint="default"/>
                <w:spacing w:val="-35"/>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、保证本公司</w:t>
            </w:r>
            <w:r>
              <w:rPr>
                <w:rFonts w:ascii="宋体" w:hAnsi="宋体" w:cs="宋体" w:eastAsia="宋体" w:hint="default"/>
                <w:sz w:val="18"/>
                <w:szCs w:val="18"/>
              </w:rPr>
              <w:t> </w:t>
            </w:r>
            <w:r>
              <w:rPr>
                <w:rFonts w:ascii="宋体" w:hAnsi="宋体" w:cs="宋体" w:eastAsia="宋体" w:hint="default"/>
                <w:spacing w:val="-3"/>
                <w:sz w:val="18"/>
                <w:szCs w:val="18"/>
              </w:rPr>
              <w:t>及关联方提名出任上市公司董事、监事和高级管理人员的人选都通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过合法的程序进行，本公司及关联方不干预上市公司董事会和股东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大会已经作出的人事任免决定。 二、资产独立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 </w:t>
            </w:r>
            <w:r>
              <w:rPr>
                <w:rFonts w:ascii="宋体" w:hAnsi="宋体" w:cs="宋体" w:eastAsia="宋体" w:hint="default"/>
                <w:spacing w:val="-3"/>
                <w:sz w:val="18"/>
                <w:szCs w:val="18"/>
              </w:rPr>
              <w:t>具有独立完整的资产、其资产全部能处于上市公司的控制之下，并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为上市公司独立拥有和运营。</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、确保上市公司与本公司及其关联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方之间产权关系明确，上市公司对所属资产拥有完整的所有权，确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保上市公司资产的独立完整。</w:t>
            </w:r>
            <w:r>
              <w:rPr>
                <w:rFonts w:ascii="宋体" w:hAnsi="宋体" w:cs="宋体" w:eastAsia="宋体" w:hint="default"/>
                <w:spacing w:val="-3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、本公司及其关联方本次交易前没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有、交易完成后也不以任何方式违规占用上市公司的资金、资产 </w:t>
            </w:r>
            <w:r>
              <w:rPr>
                <w:rFonts w:ascii="宋体" w:hAnsi="宋体" w:cs="宋体" w:eastAsia="宋体" w:hint="default"/>
                <w:spacing w:val="-7"/>
                <w:sz w:val="18"/>
                <w:szCs w:val="18"/>
              </w:rPr>
              <w:t>三、财务独立</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、保证上市公司拥有独立的财务部门和独立的财务 核算体系。</w:t>
            </w:r>
            <w:r>
              <w:rPr>
                <w:rFonts w:ascii="宋体" w:hAnsi="宋体" w:cs="宋体" w:eastAsia="宋体" w:hint="default"/>
                <w:spacing w:val="-1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、保证上市公司具有规范、独立的财务会计制度和对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分公司、子公司的财务管理制度。</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、保证上市公司独立在银行开 户，不与本公司及其关联方共用一个银行账户。</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、保证上市公司</w:t>
            </w:r>
            <w:r>
              <w:rPr>
                <w:rFonts w:ascii="宋体" w:hAnsi="宋体" w:cs="宋体" w:eastAsia="宋体" w:hint="default"/>
                <w:sz w:val="18"/>
                <w:szCs w:val="18"/>
              </w:rPr>
              <w:t> 能够作出独立的财务决策，不干预上市公司的资金使用。</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、保证</w:t>
            </w:r>
            <w:r>
              <w:rPr>
                <w:rFonts w:ascii="宋体" w:hAnsi="宋体" w:cs="宋体" w:eastAsia="宋体" w:hint="default"/>
                <w:sz w:val="18"/>
                <w:szCs w:val="18"/>
              </w:rPr>
              <w:t> </w:t>
            </w:r>
            <w:r>
              <w:rPr>
                <w:rFonts w:ascii="宋体" w:hAnsi="宋体" w:cs="宋体" w:eastAsia="宋体" w:hint="default"/>
                <w:spacing w:val="-3"/>
                <w:sz w:val="18"/>
                <w:szCs w:val="18"/>
              </w:rPr>
              <w:t>上市公司的财务人员独立，不在本公司（本公司控制企业）及其关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联方处兼职和领取报酬。 </w:t>
            </w:r>
            <w:r>
              <w:rPr>
                <w:rFonts w:ascii="Times New Roman" w:hAnsi="Times New Roman" w:cs="Times New Roman" w:eastAsia="Times New Roman" w:hint="default"/>
                <w:sz w:val="18"/>
                <w:szCs w:val="18"/>
              </w:rPr>
              <w:t>6</w:t>
            </w:r>
            <w:r>
              <w:rPr>
                <w:rFonts w:ascii="宋体" w:hAnsi="宋体" w:cs="宋体" w:eastAsia="宋体" w:hint="default"/>
                <w:sz w:val="18"/>
                <w:szCs w:val="18"/>
              </w:rPr>
              <w:t>、保证上市公司依法独立纳税。 四、 机构独立</w:t>
            </w:r>
            <w:r>
              <w:rPr>
                <w:rFonts w:ascii="宋体" w:hAnsi="宋体" w:cs="宋体" w:eastAsia="宋体" w:hint="default"/>
                <w:spacing w:val="19"/>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、保证上市公司拥有健全的股份公司法人治理结构，拥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有独立、完整的组织机构，独立行使经营管理职权，与本公司控制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的其他企业间不存在机构混同的情形。</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、保证上市公司的股东大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会、董事会、独立董事、监事会、总经理等依照法律、法规和公司</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12" w:lineRule="exact"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8"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3"/>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2873"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章程独立行使职权。 五、业务独立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、保证上市公司拥有独立开 </w:t>
            </w:r>
            <w:r>
              <w:rPr>
                <w:rFonts w:ascii="宋体" w:hAnsi="宋体" w:cs="宋体" w:eastAsia="宋体" w:hint="default"/>
                <w:spacing w:val="-3"/>
                <w:sz w:val="18"/>
                <w:szCs w:val="18"/>
              </w:rPr>
              <w:t>展经营活动的资产、人员、资质和能力，具有面向市场独立自主持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续经营的能力。</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、除通过行使股东权利之外，不对上市公司的业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务活动进行干预。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、保证本公司及本公司控制的其他企业避免从 事与上市公司具有实质性竞争的业务。</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、保证尽量减少本公司及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本公司控制的其他企业与上市公司的关联交易；在进行确有必要且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无法避免的关联交易时，保证按市场化原则和公允价格进行公平操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作，并按相关法律法规以及规范性文件的规定履行交易程序及信息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披露义务。</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9" w:type="dxa"/>
            <w:tcBorders>
              <w:top w:val="single" w:sz="15" w:space="0" w:color="000000"/>
              <w:left w:val="single" w:sz="4" w:space="0" w:color="000000"/>
              <w:bottom w:val="single" w:sz="4" w:space="0" w:color="000000"/>
              <w:right w:val="single" w:sz="4" w:space="0" w:color="000000"/>
            </w:tcBorders>
          </w:tcPr>
          <w:p>
            <w:pPr/>
          </w:p>
        </w:tc>
      </w:tr>
      <w:tr>
        <w:trPr>
          <w:trHeight w:val="66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pacing w:val="-4"/>
                <w:sz w:val="18"/>
                <w:szCs w:val="18"/>
              </w:rPr>
              <w:t>一、保证上市公司人员独立</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、上市公司的高级管理人员专职在上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市公司任职、并在上市公司领取薪酬，不会在本企业或本企业控制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的其他公司、企业或经济组织（以下统称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本企业的关联企业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）担</w:t>
            </w:r>
            <w:r>
              <w:rPr>
                <w:rFonts w:ascii="宋体" w:hAnsi="宋体" w:cs="宋体" w:eastAsia="宋体" w:hint="default"/>
                <w:spacing w:val="-14"/>
                <w:sz w:val="18"/>
                <w:szCs w:val="18"/>
              </w:rPr>
              <w:t> </w:t>
            </w:r>
            <w:r>
              <w:rPr>
                <w:rFonts w:ascii="宋体" w:hAnsi="宋体" w:cs="宋体" w:eastAsia="宋体" w:hint="default"/>
                <w:sz w:val="18"/>
                <w:szCs w:val="18"/>
              </w:rPr>
              <w:t>任除董事、监事以外的职务，保持上市公司人员的独立性。</w:t>
            </w:r>
            <w:r>
              <w:rPr>
                <w:rFonts w:ascii="宋体" w:hAnsi="宋体" w:cs="宋体" w:eastAsia="宋体" w:hint="default"/>
                <w:spacing w:val="-44"/>
                <w:sz w:val="18"/>
                <w:szCs w:val="18"/>
              </w:rPr>
              <w:t> </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、上</w:t>
            </w:r>
            <w:r>
              <w:rPr>
                <w:rFonts w:ascii="宋体" w:hAnsi="宋体" w:cs="宋体" w:eastAsia="宋体" w:hint="default"/>
                <w:spacing w:val="-18"/>
                <w:sz w:val="18"/>
                <w:szCs w:val="18"/>
              </w:rPr>
              <w:t> </w:t>
            </w:r>
            <w:r>
              <w:rPr>
                <w:rFonts w:ascii="宋体" w:hAnsi="宋体" w:cs="宋体" w:eastAsia="宋体" w:hint="default"/>
                <w:spacing w:val="-3"/>
                <w:sz w:val="18"/>
                <w:szCs w:val="18"/>
              </w:rPr>
              <w:t>市公司具有完整的独立的劳动、人事管理体系，该等体系独立于本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企业及本企业的关联企业。</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、本企业推荐出任上市公司董事和高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级管理人员的人选（如有）均通过合法程序进行，本企业不干预上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市公司董事会和股东大会已做出的人事任免决定。 二、保证上市 公司资产独立、完整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、上市公司具有完整的经营性资产，且资 </w:t>
            </w:r>
            <w:r>
              <w:rPr>
                <w:rFonts w:ascii="宋体" w:hAnsi="宋体" w:cs="宋体" w:eastAsia="宋体" w:hint="default"/>
                <w:spacing w:val="-3"/>
                <w:sz w:val="18"/>
                <w:szCs w:val="18"/>
              </w:rPr>
              <w:t>产全部处于上市公司及其子公司的控制之下，并为上市公司及其子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公司独立拥有和运营。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、本企业及本企业的关联企业不违规占用 </w:t>
            </w:r>
            <w:r>
              <w:rPr>
                <w:rFonts w:ascii="宋体" w:hAnsi="宋体" w:cs="宋体" w:eastAsia="宋体" w:hint="default"/>
                <w:spacing w:val="-3"/>
                <w:sz w:val="18"/>
                <w:szCs w:val="18"/>
              </w:rPr>
              <w:t>上市公司的资金、资产及其他资源，不以上市公司的资产为本企业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或本企业的关联企业的债务提供担保。 三、保证上市公司机构独 立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、上市公司依法建立和完善法人治理结构，建立独立、完整 的组织机构。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、上市公司与本企业及本企业的关联企业之间在办 公机构和生产经营场所等方面完全分开。 四、保证上市公司业务 独立</w:t>
            </w:r>
            <w:r>
              <w:rPr>
                <w:rFonts w:ascii="宋体" w:hAnsi="宋体" w:cs="宋体" w:eastAsia="宋体" w:hint="default"/>
                <w:spacing w:val="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、上市公司拥有独立开展经营活动的资产、人员、资质以及</w:t>
            </w:r>
            <w:r>
              <w:rPr>
                <w:rFonts w:ascii="宋体" w:hAnsi="宋体" w:cs="宋体" w:eastAsia="宋体" w:hint="default"/>
                <w:sz w:val="18"/>
                <w:szCs w:val="18"/>
              </w:rPr>
              <w:t> </w:t>
            </w:r>
            <w:r>
              <w:rPr>
                <w:rFonts w:ascii="宋体" w:hAnsi="宋体" w:cs="宋体" w:eastAsia="宋体" w:hint="default"/>
                <w:spacing w:val="-3"/>
                <w:sz w:val="18"/>
                <w:szCs w:val="18"/>
              </w:rPr>
              <w:t>具有独立面向市场自主经营的能力，在经营业务方面具有独立运作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的能力。</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、除通过行使合法的股东权利外，不以任何方式干预上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市公司的经营业务活动。</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、依据减少并规范关联交易的原则，采</w:t>
            </w:r>
            <w:r>
              <w:rPr>
                <w:rFonts w:ascii="宋体" w:hAnsi="宋体" w:cs="宋体" w:eastAsia="宋体" w:hint="default"/>
                <w:sz w:val="18"/>
                <w:szCs w:val="18"/>
              </w:rPr>
              <w:t> 取合法方式减少或消除本企业及本企业的关联企业与上市公司之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3"/>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531.099976pt;margin-top:57.180008pt;width:62pt;height:142.5pt;mso-position-horizontal-relative:page;mso-position-vertical-relative:page;z-index:-1039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shape style="position:absolute;margin-left:531.099976pt;margin-top:344.559998pt;width:62pt;height:109.25pt;mso-position-horizontal-relative:page;mso-position-vertical-relative:page;z-index:-1039288"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220.880005pt;margin-top:200.12001pt;width:55.8pt;height:137.25pt;mso-position-horizontal-relative:page;mso-position-vertical-relative:page;z-index:-1039264" coordorigin="4418,4002" coordsize="1116,2745">
            <v:group style="position:absolute;left:4418;top:4002;width:1116;height:2341" coordorigin="4418,4002" coordsize="1116,2341">
              <v:shape style="position:absolute;left:4418;top:4002;width:1116;height:2341" coordorigin="4418,4002" coordsize="1116,2341" path="m4418,6343l5534,6343,5534,4002,4418,4002,4418,6343xe" filled="true" fillcolor="#ffffff" stroked="false">
                <v:path arrowok="t"/>
                <v:fill type="solid"/>
              </v:shape>
            </v:group>
            <v:group style="position:absolute;left:4429;top:6343;width:2;height:393" coordorigin="4429,6343" coordsize="2,393">
              <v:shape style="position:absolute;left:4429;top:6343;width:2;height:393" coordorigin="4429,6343" coordsize="0,393" path="m4429,6343l4429,6735e" filled="false" stroked="true" strokeweight="1.140pt" strokecolor="#ffffff">
                <v:path arrowok="t"/>
              </v:shape>
            </v:group>
            <v:group style="position:absolute;left:4440;top:6343;width:1071;height:393" coordorigin="4440,6343" coordsize="1071,393">
              <v:shape style="position:absolute;left:4440;top:6343;width:1071;height:393" coordorigin="4440,6343" coordsize="1071,393" path="m4440,6735l5511,6735,5511,6343,4440,6343,4440,6735xe" filled="true" fillcolor="#ffffff" stroked="false">
                <v:path arrowok="t"/>
                <v:fill type="solid"/>
              </v:shape>
            </v:group>
            <w10:wrap type="none"/>
          </v:group>
        </w:pict>
      </w:r>
      <w:r>
        <w:rPr/>
        <w:pict>
          <v:group style="position:absolute;margin-left:537.280029pt;margin-top:344.559998pt;width:55.8pt;height:109.25pt;mso-position-horizontal-relative:page;mso-position-vertical-relative:page;z-index:-1039240" coordorigin="10746,6891" coordsize="1116,2185">
            <v:shape style="position:absolute;left:10746;top:6891;width:1116;height:2185" coordorigin="10746,6891" coordsize="1116,2185" path="m10746,9076l11862,9076,11862,6891,10746,6891,10746,9076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32"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vMerge w:val="restart"/>
            <w:tcBorders>
              <w:top w:val="single" w:sz="15" w:space="0" w:color="000000"/>
              <w:left w:val="single" w:sz="4" w:space="0" w:color="000000"/>
              <w:right w:val="single" w:sz="4" w:space="0" w:color="000000"/>
            </w:tcBorders>
          </w:tcPr>
          <w:p>
            <w:pPr/>
          </w:p>
        </w:tc>
        <w:tc>
          <w:tcPr>
            <w:tcW w:w="1126" w:type="dxa"/>
            <w:vMerge w:val="restart"/>
            <w:tcBorders>
              <w:top w:val="single" w:sz="15" w:space="0" w:color="000000"/>
              <w:left w:val="single" w:sz="4" w:space="0" w:color="000000"/>
              <w:right w:val="single" w:sz="4" w:space="0" w:color="000000"/>
            </w:tcBorders>
          </w:tcPr>
          <w:p>
            <w:pPr/>
          </w:p>
        </w:tc>
        <w:tc>
          <w:tcPr>
            <w:tcW w:w="52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间的关联交易；对于确有必要存在的关联交易，其关联交易价格按</w:t>
            </w:r>
          </w:p>
        </w:tc>
        <w:tc>
          <w:tcPr>
            <w:tcW w:w="1126" w:type="dxa"/>
            <w:vMerge w:val="restart"/>
            <w:tcBorders>
              <w:top w:val="single" w:sz="15" w:space="0" w:color="000000"/>
              <w:left w:val="single" w:sz="4" w:space="0" w:color="000000"/>
              <w:right w:val="single" w:sz="4" w:space="0" w:color="000000"/>
            </w:tcBorders>
          </w:tcPr>
          <w:p>
            <w:pPr>
              <w:pStyle w:val="TableParagraph"/>
              <w:spacing w:line="284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55.8pt;height:142.5pt;mso-position-horizontal-relative:char;mso-position-vertical-relative:line" coordorigin="0,0" coordsize="1116,2850">
                  <v:group style="position:absolute;left:0;top:0;width:1116;height:2850" coordorigin="0,0" coordsize="1116,2850">
                    <v:shape style="position:absolute;left:0;top:0;width:1116;height:2850" coordorigin="0,0" coordsize="1116,2850" path="m0,2849l1116,2849,1116,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122" w:type="dxa"/>
            <w:vMerge w:val="restart"/>
            <w:tcBorders>
              <w:top w:val="single" w:sz="15" w:space="0" w:color="000000"/>
              <w:left w:val="single" w:sz="4" w:space="0" w:color="000000"/>
              <w:right w:val="single" w:sz="4" w:space="0" w:color="000000"/>
            </w:tcBorders>
          </w:tcPr>
          <w:p>
            <w:pPr/>
          </w:p>
        </w:tc>
        <w:tc>
          <w:tcPr>
            <w:tcW w:w="2556" w:type="dxa"/>
            <w:vMerge w:val="restart"/>
            <w:tcBorders>
              <w:top w:val="single" w:sz="15"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照公平合理及市场化原则确定</w:t>
            </w:r>
            <w:r>
              <w:rPr>
                <w:rFonts w:ascii="宋体" w:hAnsi="宋体" w:cs="宋体" w:eastAsia="宋体" w:hint="default"/>
                <w:spacing w:val="-75"/>
                <w:sz w:val="18"/>
                <w:szCs w:val="18"/>
              </w:rPr>
              <w:t>，</w:t>
            </w:r>
            <w:r>
              <w:rPr>
                <w:rFonts w:ascii="宋体" w:hAnsi="宋体" w:cs="宋体" w:eastAsia="宋体" w:hint="default"/>
                <w:sz w:val="18"/>
                <w:szCs w:val="18"/>
              </w:rPr>
              <w:t>确保上市公司及其他股东利益不受</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到损害并及时履行信息披露义务。 </w:t>
            </w:r>
            <w:r>
              <w:rPr>
                <w:rFonts w:ascii="宋体" w:hAnsi="宋体" w:cs="宋体" w:eastAsia="宋体" w:hint="default"/>
                <w:spacing w:val="-4"/>
                <w:sz w:val="18"/>
                <w:szCs w:val="18"/>
              </w:rPr>
              <w:t>五、保证上市公司财务独立</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上市公司拥有独立的财务会计部门</w:t>
            </w:r>
            <w:r>
              <w:rPr>
                <w:rFonts w:ascii="宋体" w:hAnsi="宋体" w:cs="宋体" w:eastAsia="宋体" w:hint="default"/>
                <w:spacing w:val="-75"/>
                <w:sz w:val="18"/>
                <w:szCs w:val="18"/>
              </w:rPr>
              <w:t>，</w:t>
            </w:r>
            <w:r>
              <w:rPr>
                <w:rFonts w:ascii="宋体" w:hAnsi="宋体" w:cs="宋体" w:eastAsia="宋体" w:hint="default"/>
                <w:sz w:val="18"/>
                <w:szCs w:val="18"/>
              </w:rPr>
              <w:t>建立独立的财务核算体系和财</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务管理制度。</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、上市公司独立在银行开户，不与本企业及本企业</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的关联企业共用银行账户。</w:t>
            </w:r>
            <w:r>
              <w:rPr>
                <w:rFonts w:ascii="宋体" w:hAnsi="宋体" w:cs="宋体" w:eastAsia="宋体" w:hint="default"/>
                <w:spacing w:val="-10"/>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、上市公司独立作出财务决策，本企</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业及本企业的关联企业不干预上市公司的资金使用。</w:t>
            </w:r>
            <w:r>
              <w:rPr>
                <w:rFonts w:ascii="宋体" w:hAnsi="宋体" w:cs="宋体" w:eastAsia="宋体" w:hint="default"/>
                <w:spacing w:val="-33"/>
                <w:sz w:val="18"/>
                <w:szCs w:val="18"/>
              </w:rPr>
              <w:t>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、上市公司</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依法独立纳税。</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、上市公司的财务人员独立，不在本企业及本企</w:t>
            </w:r>
          </w:p>
        </w:tc>
        <w:tc>
          <w:tcPr>
            <w:tcW w:w="1126" w:type="dxa"/>
            <w:vMerge/>
            <w:tcBorders>
              <w:left w:val="single" w:sz="4" w:space="0" w:color="000000"/>
              <w:right w:val="single" w:sz="4" w:space="0" w:color="000000"/>
            </w:tcBorders>
          </w:tcPr>
          <w:p>
            <w:pPr/>
          </w:p>
        </w:tc>
        <w:tc>
          <w:tcPr>
            <w:tcW w:w="1122" w:type="dxa"/>
            <w:vMerge/>
            <w:tcBorders>
              <w:left w:val="single" w:sz="4" w:space="0" w:color="000000"/>
              <w:right w:val="single" w:sz="4" w:space="0" w:color="000000"/>
            </w:tcBorders>
          </w:tcPr>
          <w:p>
            <w:pPr/>
          </w:p>
        </w:tc>
        <w:tc>
          <w:tcPr>
            <w:tcW w:w="2556" w:type="dxa"/>
            <w:vMerge/>
            <w:tcBorders>
              <w:left w:val="single" w:sz="4" w:space="0" w:color="000000"/>
              <w:right w:val="single" w:sz="4" w:space="0" w:color="000000"/>
            </w:tcBorders>
          </w:tcPr>
          <w:p>
            <w:pPr/>
          </w:p>
        </w:tc>
      </w:tr>
      <w:tr>
        <w:trPr>
          <w:trHeight w:val="35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业的关联企业兼职和领取报酬。</w:t>
            </w:r>
          </w:p>
        </w:tc>
        <w:tc>
          <w:tcPr>
            <w:tcW w:w="1126" w:type="dxa"/>
            <w:vMerge/>
            <w:tcBorders>
              <w:left w:val="single" w:sz="4" w:space="0" w:color="000000"/>
              <w:bottom w:val="single" w:sz="4" w:space="0" w:color="000000"/>
              <w:right w:val="single" w:sz="4" w:space="0" w:color="000000"/>
            </w:tcBorders>
          </w:tcPr>
          <w:p>
            <w:pPr/>
          </w:p>
        </w:tc>
        <w:tc>
          <w:tcPr>
            <w:tcW w:w="1122" w:type="dxa"/>
            <w:vMerge/>
            <w:tcBorders>
              <w:left w:val="single" w:sz="4" w:space="0" w:color="000000"/>
              <w:bottom w:val="single" w:sz="4" w:space="0" w:color="000000"/>
              <w:right w:val="single" w:sz="4" w:space="0" w:color="000000"/>
            </w:tcBorders>
          </w:tcPr>
          <w:p>
            <w:pPr/>
          </w:p>
        </w:tc>
        <w:tc>
          <w:tcPr>
            <w:tcW w:w="2556" w:type="dxa"/>
            <w:vMerge/>
            <w:tcBorders>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、本人承诺忠实、勤勉地履行职责，维护公司和全体股东的合法</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、本人承诺不无偿或以不公平条件向其他单位或者个人输</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送利益，也不得采用其他方式损害公司利益。</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、本人承诺对本人</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职务消费行为进行约束。</w:t>
            </w:r>
            <w:r>
              <w:rPr>
                <w:rFonts w:ascii="宋体" w:hAnsi="宋体" w:cs="宋体" w:eastAsia="宋体" w:hint="default"/>
                <w:spacing w:val="-22"/>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、本人承诺不动用公司资产从事与履行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职责无关的投资、消费活动。</w:t>
            </w:r>
            <w:r>
              <w:rPr>
                <w:rFonts w:ascii="宋体" w:hAnsi="宋体" w:cs="宋体" w:eastAsia="宋体" w:hint="default"/>
                <w:spacing w:val="-18"/>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、本人承诺在自身职责和权限范围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75"/>
                <w:sz w:val="18"/>
                <w:szCs w:val="18"/>
              </w:rPr>
              <w:t>，</w:t>
            </w:r>
            <w:r>
              <w:rPr>
                <w:rFonts w:ascii="宋体" w:hAnsi="宋体" w:cs="宋体" w:eastAsia="宋体" w:hint="default"/>
                <w:sz w:val="18"/>
                <w:szCs w:val="18"/>
              </w:rPr>
              <w:t>全力促使公司董事会或者考核与薪酬委员会制定的薪酬制度与</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彭聪；黄海勇；赵</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公司填补回报措施的执行情况相挂钩</w:t>
            </w:r>
            <w:r>
              <w:rPr>
                <w:rFonts w:ascii="宋体" w:hAnsi="宋体" w:cs="宋体" w:eastAsia="宋体" w:hint="default"/>
                <w:spacing w:val="-75"/>
                <w:sz w:val="18"/>
                <w:szCs w:val="18"/>
              </w:rPr>
              <w:t>，</w:t>
            </w:r>
            <w:r>
              <w:rPr>
                <w:rFonts w:ascii="宋体" w:hAnsi="宋体" w:cs="宋体" w:eastAsia="宋体" w:hint="default"/>
                <w:sz w:val="18"/>
                <w:szCs w:val="18"/>
              </w:rPr>
              <w:t>并对公司董事会和股东大会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截至目前，该承诺正在履行期</w:t>
            </w:r>
          </w:p>
        </w:tc>
      </w:tr>
      <w:tr>
        <w:trPr>
          <w:trHeight w:val="629"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pacing w:val="-4"/>
                <w:sz w:val="18"/>
                <w:szCs w:val="18"/>
              </w:rPr>
              <w:t>侠；连杰；王爱俭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韩传模；俞丽辉；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审议的相关议案投票赞成（如有表决权）。</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、如公司拟实施股权 </w:t>
            </w:r>
            <w:r>
              <w:rPr>
                <w:rFonts w:ascii="宋体" w:hAnsi="宋体" w:cs="宋体" w:eastAsia="宋体" w:hint="default"/>
                <w:spacing w:val="-3"/>
                <w:sz w:val="18"/>
                <w:szCs w:val="18"/>
              </w:rPr>
              <w:t>激励，本人承诺在自身职责和权限范围内，全力促使公司拟公布的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股权激励行权条件与公司填补回报措施的执行情况相挂钩</w:t>
            </w:r>
            <w:r>
              <w:rPr>
                <w:rFonts w:ascii="宋体" w:hAnsi="宋体" w:cs="宋体" w:eastAsia="宋体" w:hint="default"/>
                <w:spacing w:val="-75"/>
                <w:sz w:val="18"/>
                <w:szCs w:val="18"/>
              </w:rPr>
              <w:t>，</w:t>
            </w:r>
            <w:r>
              <w:rPr>
                <w:rFonts w:ascii="宋体" w:hAnsi="宋体" w:cs="宋体" w:eastAsia="宋体" w:hint="default"/>
                <w:sz w:val="18"/>
                <w:szCs w:val="18"/>
              </w:rPr>
              <w:t>并对公</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日完成第七届董事会换届事项。</w:t>
            </w: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司董事会和股东大会审议的相关议案投票赞</w:t>
            </w:r>
            <w:r>
              <w:rPr>
                <w:rFonts w:ascii="宋体" w:hAnsi="宋体" w:cs="宋体" w:eastAsia="宋体" w:hint="default"/>
                <w:spacing w:val="-38"/>
                <w:sz w:val="18"/>
                <w:szCs w:val="18"/>
              </w:rPr>
              <w:t>成</w:t>
            </w:r>
            <w:r>
              <w:rPr>
                <w:rFonts w:ascii="宋体" w:hAnsi="宋体" w:cs="宋体" w:eastAsia="宋体" w:hint="default"/>
                <w:sz w:val="18"/>
                <w:szCs w:val="18"/>
              </w:rPr>
              <w:t>（如有表决权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作为填补回报措施相关责任主体之一</w:t>
            </w:r>
            <w:r>
              <w:rPr>
                <w:rFonts w:ascii="宋体" w:hAnsi="宋体" w:cs="宋体" w:eastAsia="宋体" w:hint="default"/>
                <w:spacing w:val="-75"/>
                <w:sz w:val="18"/>
                <w:szCs w:val="18"/>
              </w:rPr>
              <w:t>，</w:t>
            </w:r>
            <w:r>
              <w:rPr>
                <w:rFonts w:ascii="宋体" w:hAnsi="宋体" w:cs="宋体" w:eastAsia="宋体" w:hint="default"/>
                <w:sz w:val="18"/>
                <w:szCs w:val="18"/>
              </w:rPr>
              <w:t>本人承诺严格履行本人所作</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出的上述承诺事项，确保公司填补回报措施能够得到切实履行。本</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人若违反上述承诺或拒不履行上述承诺</w:t>
            </w:r>
            <w:r>
              <w:rPr>
                <w:rFonts w:ascii="宋体" w:hAnsi="宋体" w:cs="宋体" w:eastAsia="宋体" w:hint="default"/>
                <w:spacing w:val="-75"/>
                <w:sz w:val="18"/>
                <w:szCs w:val="18"/>
              </w:rPr>
              <w:t>，</w:t>
            </w:r>
            <w:r>
              <w:rPr>
                <w:rFonts w:ascii="宋体" w:hAnsi="宋体" w:cs="宋体" w:eastAsia="宋体" w:hint="default"/>
                <w:sz w:val="18"/>
                <w:szCs w:val="18"/>
              </w:rPr>
              <w:t>本人同意接受中国证监会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和深圳证券交易所等证券监管机构按照其制定或发布的有关规定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规则，对本人作出相关处罚或采取相关管理措施。</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、本次收购完成后，快马财税如有需要，本人将采用担保、保证 等增信方式为快马财税获取外部融资提供支持。</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、本次收购完成</w:t>
            </w:r>
            <w:r>
              <w:rPr>
                <w:rFonts w:ascii="宋体" w:hAnsi="宋体" w:cs="宋体" w:eastAsia="宋体" w:hint="default"/>
                <w:sz w:val="18"/>
                <w:szCs w:val="18"/>
              </w:rPr>
              <w:t> </w:t>
            </w:r>
            <w:r>
              <w:rPr>
                <w:rFonts w:ascii="宋体" w:hAnsi="宋体" w:cs="宋体" w:eastAsia="宋体" w:hint="default"/>
                <w:spacing w:val="-3"/>
                <w:sz w:val="18"/>
                <w:szCs w:val="18"/>
              </w:rPr>
              <w:t>后，如快马财税需要资金支持，本人将个人名下上述所持上市公司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所有股份通过质押方式获得融资，并将该资金优先提供给快马财税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group style="position:absolute;margin-left:537.280029pt;margin-top:126.62001pt;width:55.8pt;height:46.8pt;mso-position-horizontal-relative:page;mso-position-vertical-relative:page;z-index:-1039216" coordorigin="10746,2532" coordsize="1116,936">
            <v:shape style="position:absolute;left:10746;top:2532;width:1116;height:936" coordorigin="10746,2532" coordsize="1116,936" path="m10746,3468l11862,3468,11862,2532,10746,2532,10746,3468xe" filled="true" fillcolor="#ffffff" stroked="false">
              <v:path arrowok="t"/>
              <v:fill type="solid"/>
            </v:shape>
            <w10:wrap type="none"/>
          </v:group>
        </w:pict>
      </w:r>
      <w:r>
        <w:rPr/>
        <w:pict>
          <v:group style="position:absolute;margin-left:538.419983pt;margin-top:320.320007pt;width:53.55pt;height:17.650pt;mso-position-horizontal-relative:page;mso-position-vertical-relative:page;z-index:-1039192" coordorigin="10768,6406" coordsize="1071,353">
            <v:shape style="position:absolute;left:10768;top:6406;width:1071;height:353" coordorigin="10768,6406" coordsize="1071,353" path="m10768,6759l11839,6759,11839,6406,10768,6406,10768,6759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7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使用。</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6"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百达永信投资有限 公司；彭聪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未来公司实际经营过程中若有融资需求，可以采用担保、保证以及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所持股份抵押等增信方式为公司获取外部融资提供支持。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5"/>
                <w:sz w:val="18"/>
                <w:szCs w:val="18"/>
              </w:rPr>
              <w:t>、</w:t>
            </w:r>
            <w:r>
              <w:rPr>
                <w:rFonts w:ascii="宋体" w:hAnsi="宋体" w:cs="宋体" w:eastAsia="宋体" w:hint="default"/>
                <w:sz w:val="18"/>
                <w:szCs w:val="18"/>
              </w:rPr>
              <w:t>本人取得本次发行股份自发行结束并上市之日起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月内不转</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让。前述锁定期届满后，股份解锁事宜按照中国证券监督管理委员</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连良桂；智尚田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会、深圳证券交易所的有关规定执行。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、本次股份发行结束后 本人持有的基于本次交易认购的上市公司股份由于上市公司送红 </w:t>
            </w:r>
            <w:r>
              <w:rPr>
                <w:rFonts w:ascii="宋体" w:hAnsi="宋体" w:cs="宋体" w:eastAsia="宋体" w:hint="default"/>
                <w:spacing w:val="-3"/>
                <w:sz w:val="18"/>
                <w:szCs w:val="18"/>
              </w:rPr>
              <w:t>股、转增股本等原因而增加的，增加的股份亦应遵守上述锁定期限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安排。</w:t>
            </w:r>
            <w:r>
              <w:rPr>
                <w:rFonts w:ascii="宋体" w:hAnsi="宋体" w:cs="宋体" w:eastAsia="宋体" w:hint="default"/>
                <w:spacing w:val="-24"/>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、本人同意若前述认购股份的锁定期的规定与证券监管机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构的最新监管规定不相符的</w:t>
            </w:r>
            <w:r>
              <w:rPr>
                <w:rFonts w:ascii="宋体" w:hAnsi="宋体" w:cs="宋体" w:eastAsia="宋体" w:hint="default"/>
                <w:spacing w:val="-75"/>
                <w:sz w:val="18"/>
                <w:szCs w:val="18"/>
              </w:rPr>
              <w:t>，</w:t>
            </w:r>
            <w:r>
              <w:rPr>
                <w:rFonts w:ascii="宋体" w:hAnsi="宋体" w:cs="宋体" w:eastAsia="宋体" w:hint="default"/>
                <w:sz w:val="18"/>
                <w:szCs w:val="18"/>
              </w:rPr>
              <w:t>本人将根据相关监管规定对锁定期进</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行相应调整。</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日，百达永信投</w:t>
            </w: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资有限公司解除限售股份数为</w:t>
            </w: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自新增股份发行上市之日起十二个月内不以任何形式转让</w:t>
            </w:r>
            <w:r>
              <w:rPr>
                <w:rFonts w:ascii="宋体" w:hAnsi="宋体" w:cs="宋体" w:eastAsia="宋体" w:hint="default"/>
                <w:spacing w:val="-75"/>
                <w:sz w:val="18"/>
                <w:szCs w:val="18"/>
              </w:rPr>
              <w:t>；</w:t>
            </w:r>
            <w:r>
              <w:rPr>
                <w:rFonts w:ascii="宋体" w:hAnsi="宋体" w:cs="宋体" w:eastAsia="宋体" w:hint="default"/>
                <w:sz w:val="18"/>
                <w:szCs w:val="18"/>
              </w:rPr>
              <w:t>自新增</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27,461,004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股、彭聪解除限售股</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百达永信投资有限</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股份发行上市之日起十二个月后，解锁全部取得股份的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30%</w:t>
            </w:r>
            <w:r>
              <w:rPr>
                <w:rFonts w:ascii="宋体" w:hAnsi="宋体" w:cs="宋体" w:eastAsia="宋体" w:hint="default"/>
                <w:spacing w:val="-8"/>
                <w:sz w:val="18"/>
                <w:szCs w:val="18"/>
              </w:rPr>
              <w:t>；自新</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4,678,196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公司；彭聪</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44"/>
              <w:jc w:val="left"/>
              <w:rPr>
                <w:rFonts w:ascii="宋体" w:hAnsi="宋体" w:cs="宋体" w:eastAsia="宋体" w:hint="default"/>
                <w:sz w:val="18"/>
                <w:szCs w:val="18"/>
              </w:rPr>
            </w:pPr>
            <w:r>
              <w:rPr>
                <w:rFonts w:ascii="宋体" w:hAnsi="宋体" w:cs="宋体" w:eastAsia="宋体" w:hint="default"/>
                <w:sz w:val="18"/>
                <w:szCs w:val="18"/>
              </w:rPr>
              <w:t>增股份发行上市之日起二十四个月后，解锁全部取得股份的</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宋体" w:hAnsi="宋体" w:cs="宋体" w:eastAsia="宋体" w:hint="default"/>
                <w:sz w:val="18"/>
                <w:szCs w:val="18"/>
              </w:rPr>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日，彭聪解除限售股份数</w:t>
            </w: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自新增股份发行上市之日起三十六个月后，解锁全部剩余股份。</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42,200,000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股。截至目前，该</w:t>
            </w: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承诺正在履行期内，履行期间不</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存在违背承诺的情形。</w:t>
            </w:r>
          </w:p>
        </w:tc>
      </w:tr>
      <w:tr>
        <w:trPr>
          <w:trHeight w:val="1026"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广西泰达新原股权 投资有限公司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自新增股份发行上市之日起锁定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367"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本次重大资产重组实施完毕后，顺利办在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根据瑞华会计师事务所（特殊普</w:t>
            </w:r>
          </w:p>
        </w:tc>
      </w:tr>
      <w:tr>
        <w:trPr>
          <w:trHeight w:val="31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百达永信投资有限</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和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年度预测实现的合并报表范围扣除非经常性损益后归属</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4"/>
                <w:sz w:val="18"/>
                <w:szCs w:val="18"/>
              </w:rPr>
              <w:t>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公司；彭聪；广西</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业绩承诺及</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于母公司所有者的净利润分别不低于 </w:t>
            </w:r>
            <w:r>
              <w:rPr>
                <w:rFonts w:ascii="Times New Roman" w:hAnsi="Times New Roman" w:cs="Times New Roman" w:eastAsia="Times New Roman" w:hint="default"/>
                <w:sz w:val="18"/>
                <w:szCs w:val="18"/>
              </w:rPr>
              <w:t>8,000.00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9,400.00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具的瑞华核字</w:t>
            </w:r>
            <w:r>
              <w:rPr>
                <w:rFonts w:ascii="Times New Roman" w:hAnsi="Times New Roman" w:cs="Times New Roman" w:eastAsia="Times New Roman" w:hint="default"/>
                <w:sz w:val="18"/>
                <w:szCs w:val="18"/>
              </w:rPr>
              <w:t>[2017]63050004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泰达新原股权投资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10,700.00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2"/>
                <w:sz w:val="18"/>
                <w:szCs w:val="18"/>
              </w:rPr>
              <w:t>。</w:t>
            </w:r>
            <w:r>
              <w:rPr>
                <w:rFonts w:ascii="宋体" w:hAnsi="宋体" w:cs="宋体" w:eastAsia="宋体" w:hint="default"/>
                <w:sz w:val="18"/>
                <w:szCs w:val="18"/>
              </w:rPr>
              <w:t>如本次发行股份购买资产交易未能在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核查报告。本次重大资产重组标</w:t>
            </w: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内实施完毕，盈利补偿期间则相应往后顺延为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2019</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的公司神州易桥（北京）财税科</w:t>
            </w:r>
          </w:p>
        </w:tc>
      </w:tr>
      <w:tr>
        <w:trPr>
          <w:trHeight w:val="34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年。其中，</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年度承诺扣非净利润不低于 </w:t>
            </w:r>
            <w:r>
              <w:rPr>
                <w:rFonts w:ascii="Times New Roman" w:hAnsi="Times New Roman" w:cs="Times New Roman" w:eastAsia="Times New Roman" w:hint="default"/>
                <w:sz w:val="18"/>
                <w:szCs w:val="18"/>
              </w:rPr>
              <w:t>11,300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年度实现扣除</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180" w:right="118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7242"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9"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非经常性损益后归属于母公司 所有者的净利润为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8,348.75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元，完成率为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104.36%</w:t>
            </w:r>
            <w:r>
              <w:rPr>
                <w:rFonts w:ascii="宋体" w:hAnsi="宋体" w:cs="宋体" w:eastAsia="宋体" w:hint="default"/>
                <w:sz w:val="18"/>
                <w:szCs w:val="18"/>
              </w:rPr>
              <w:t>，已完成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 </w:t>
            </w:r>
            <w:r>
              <w:rPr>
                <w:rFonts w:ascii="宋体" w:hAnsi="宋体" w:cs="宋体" w:eastAsia="宋体" w:hint="default"/>
                <w:spacing w:val="-2"/>
                <w:sz w:val="18"/>
                <w:szCs w:val="18"/>
              </w:rPr>
              <w:t>根据瑞华会计师事务所（特殊普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 具的瑞华核字</w:t>
            </w:r>
            <w:r>
              <w:rPr>
                <w:rFonts w:ascii="Times New Roman" w:hAnsi="Times New Roman" w:cs="Times New Roman" w:eastAsia="Times New Roman" w:hint="default"/>
                <w:sz w:val="18"/>
                <w:szCs w:val="18"/>
              </w:rPr>
              <w:t>[2018]63050007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 </w:t>
            </w:r>
            <w:r>
              <w:rPr>
                <w:rFonts w:ascii="宋体" w:hAnsi="宋体" w:cs="宋体" w:eastAsia="宋体" w:hint="default"/>
                <w:spacing w:val="-2"/>
                <w:sz w:val="18"/>
                <w:szCs w:val="18"/>
              </w:rPr>
              <w:t>核查报告。本次重大资产重组标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的公司神州易桥（北京）财税科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年度实现扣除 非经常性损益后归属于母公司 所有者的净利润为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11,969.37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元，完成率为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127.33%</w:t>
            </w:r>
            <w:r>
              <w:rPr>
                <w:rFonts w:ascii="宋体" w:hAnsi="宋体" w:cs="宋体" w:eastAsia="宋体" w:hint="default"/>
                <w:sz w:val="18"/>
                <w:szCs w:val="18"/>
              </w:rPr>
              <w:t>，已完成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年度业绩承诺。 </w:t>
            </w:r>
            <w:r>
              <w:rPr>
                <w:rFonts w:ascii="宋体" w:hAnsi="宋体" w:cs="宋体" w:eastAsia="宋体" w:hint="default"/>
                <w:spacing w:val="-2"/>
                <w:sz w:val="18"/>
                <w:szCs w:val="18"/>
              </w:rPr>
              <w:t>根据瑞华会计师事务所（特殊普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w:t>
            </w:r>
            <w:r>
              <w:rPr>
                <w:rFonts w:ascii="宋体" w:hAnsi="宋体" w:cs="宋体" w:eastAsia="宋体" w:hint="default"/>
                <w:spacing w:val="1"/>
                <w:sz w:val="18"/>
                <w:szCs w:val="18"/>
              </w:rPr>
              <w:t> </w:t>
            </w:r>
            <w:r>
              <w:rPr>
                <w:rFonts w:ascii="宋体" w:hAnsi="宋体" w:cs="宋体" w:eastAsia="宋体" w:hint="default"/>
                <w:spacing w:val="-2"/>
                <w:sz w:val="18"/>
                <w:szCs w:val="18"/>
              </w:rPr>
              <w:t>具的《业绩承诺实现情况的专项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审核报告》（瑞华核字</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[2019]63050008</w:t>
            </w:r>
            <w:r>
              <w:rPr>
                <w:rFonts w:ascii="Times New Roman" w:hAnsi="Times New Roman" w:cs="Times New Roman" w:eastAsia="Times New Roman" w:hint="default"/>
                <w:sz w:val="18"/>
                <w:szCs w:val="18"/>
              </w:rPr>
              <w:t>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年神</w:t>
            </w:r>
            <w:r>
              <w:rPr>
                <w:rFonts w:ascii="宋体" w:hAnsi="宋体" w:cs="宋体" w:eastAsia="宋体" w:hint="default"/>
                <w:sz w:val="18"/>
                <w:szCs w:val="18"/>
              </w:rPr>
            </w:r>
          </w:p>
          <w:p>
            <w:pPr>
              <w:pStyle w:val="TableParagraph"/>
              <w:spacing w:line="319" w:lineRule="auto" w:before="7"/>
              <w:ind w:left="22" w:right="23"/>
              <w:jc w:val="left"/>
              <w:rPr>
                <w:rFonts w:ascii="宋体" w:hAnsi="宋体" w:cs="宋体" w:eastAsia="宋体" w:hint="default"/>
                <w:sz w:val="18"/>
                <w:szCs w:val="18"/>
              </w:rPr>
            </w:pPr>
            <w:r>
              <w:rPr>
                <w:rFonts w:ascii="宋体" w:hAnsi="宋体" w:cs="宋体" w:eastAsia="宋体" w:hint="default"/>
                <w:spacing w:val="-2"/>
                <w:sz w:val="18"/>
                <w:szCs w:val="18"/>
              </w:rPr>
              <w:t>州易桥（北京）财税科技有限公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司未完成该年度的业绩承诺，但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累计完成承诺，累计完成率 </w:t>
            </w:r>
            <w:r>
              <w:rPr>
                <w:rFonts w:ascii="Times New Roman" w:hAnsi="Times New Roman" w:cs="Times New Roman" w:eastAsia="Times New Roman" w:hint="default"/>
                <w:sz w:val="18"/>
                <w:szCs w:val="18"/>
              </w:rPr>
              <w:t>103.23%</w:t>
            </w:r>
            <w:r>
              <w:rPr>
                <w:rFonts w:ascii="宋体" w:hAnsi="宋体" w:cs="宋体" w:eastAsia="宋体" w:hint="default"/>
                <w:sz w:val="18"/>
                <w:szCs w:val="18"/>
              </w:rPr>
              <w:t>。</w:t>
            </w:r>
          </w:p>
        </w:tc>
      </w:tr>
      <w:tr>
        <w:trPr>
          <w:trHeight w:val="2234"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霍尔果斯神州易桥股权投资合伙企业（有限合伙）保证在《关于终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端资产之盈利补偿协议》生效之日起，对承诺扣非净利润的实现承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担保证责任。承诺终端资产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扣非净利润合计金额分别为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24,445.79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29,327.35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35,182.22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万元。在盈利补偿期间内，如果终端资产的实际扣非净 </w:t>
            </w:r>
            <w:r>
              <w:rPr>
                <w:rFonts w:ascii="宋体" w:hAnsi="宋体" w:cs="宋体" w:eastAsia="宋体" w:hint="default"/>
                <w:spacing w:val="-3"/>
                <w:sz w:val="18"/>
                <w:szCs w:val="18"/>
              </w:rPr>
              <w:t>利润小于承诺扣非净利润，则霍尔果斯神州易桥股权投资合伙企业</w:t>
            </w:r>
          </w:p>
          <w:p>
            <w:pPr>
              <w:pStyle w:val="TableParagraph"/>
              <w:spacing w:line="240" w:lineRule="auto" w:before="26"/>
              <w:ind w:left="22" w:right="0"/>
              <w:jc w:val="left"/>
              <w:rPr>
                <w:rFonts w:ascii="宋体" w:hAnsi="宋体" w:cs="宋体" w:eastAsia="宋体" w:hint="default"/>
                <w:sz w:val="18"/>
                <w:szCs w:val="18"/>
              </w:rPr>
            </w:pPr>
            <w:r>
              <w:rPr>
                <w:rFonts w:ascii="宋体" w:hAnsi="宋体" w:cs="宋体" w:eastAsia="宋体" w:hint="default"/>
                <w:spacing w:val="-3"/>
                <w:sz w:val="18"/>
                <w:szCs w:val="18"/>
              </w:rPr>
              <w:t>（有限合伙）应按照盈利补偿协议约定履行补偿义务。霍尔果斯神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
                <w:sz w:val="18"/>
                <w:szCs w:val="18"/>
              </w:rPr>
              <w:t>根据《盈利补偿协议》及终端资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产经审计的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年财务报表，</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终端资产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年承诺扣非净利</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润合计为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24,445.79 </w:t>
            </w:r>
            <w:r>
              <w:rPr>
                <w:rFonts w:ascii="宋体" w:hAnsi="宋体" w:cs="宋体" w:eastAsia="宋体" w:hint="default"/>
                <w:sz w:val="18"/>
                <w:szCs w:val="18"/>
              </w:rPr>
              <w:t>万元，实际</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完成</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29,161.76</w:t>
            </w:r>
            <w:r>
              <w:rPr>
                <w:rFonts w:ascii="Times New Roman" w:hAnsi="Times New Roman" w:cs="Times New Roman" w:eastAsia="Times New Roman" w:hint="default"/>
                <w:spacing w:val="-21"/>
                <w:sz w:val="18"/>
                <w:szCs w:val="18"/>
              </w:rPr>
              <w:t> </w:t>
            </w:r>
            <w:r>
              <w:rPr>
                <w:rFonts w:ascii="宋体" w:hAnsi="宋体" w:cs="宋体" w:eastAsia="宋体" w:hint="default"/>
                <w:spacing w:val="-15"/>
                <w:sz w:val="18"/>
                <w:szCs w:val="18"/>
              </w:rPr>
              <w:t>万元，已完成</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6"/>
                <w:sz w:val="18"/>
                <w:szCs w:val="18"/>
              </w:rPr>
              <w:t>年度业绩承诺。</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年末因公司 对霍尔果斯快马财税管理服务</w:t>
            </w:r>
          </w:p>
        </w:tc>
      </w:tr>
    </w:tbl>
    <w:p>
      <w:pPr>
        <w:spacing w:after="0" w:line="300" w:lineRule="auto"/>
        <w:jc w:val="both"/>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group style="position:absolute;margin-left:537.280029pt;margin-top:328.960022pt;width:55.8pt;height:62.4pt;mso-position-horizontal-relative:page;mso-position-vertical-relative:page;z-index:-1039168" coordorigin="10746,6579" coordsize="1116,1248">
            <v:shape style="position:absolute;left:10746;top:6579;width:1116;height:1248" coordorigin="10746,6579" coordsize="1116,1248" path="m10746,7827l11862,7827,11862,6579,10746,6579,10746,7827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349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州易桥股权投资合伙企业（有限合伙）用于补偿的金额总和最高不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超过霍尔果斯神州易桥股权投资合伙企业（有限合伙）因霍尔果斯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快马财税管理服务有限公司与其签订的《股权转让协议》约定而获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得的交易总对价。</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9"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4"/>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有限公司部分终端资产进行了 整合优化，并签署了《终止合作 </w:t>
            </w:r>
            <w:r>
              <w:rPr>
                <w:rFonts w:ascii="宋体" w:hAnsi="宋体" w:cs="宋体" w:eastAsia="宋体" w:hint="default"/>
                <w:spacing w:val="-7"/>
                <w:sz w:val="18"/>
                <w:szCs w:val="18"/>
              </w:rPr>
              <w:t>协议》。因此，终止合作的终端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承诺无需由霍尔果斯神州易桥 股权投资合伙企业（有限合伙） 承担保证责任。根据《盈利补偿 </w:t>
            </w:r>
            <w:r>
              <w:rPr>
                <w:rFonts w:ascii="宋体" w:hAnsi="宋体" w:cs="宋体" w:eastAsia="宋体" w:hint="default"/>
                <w:spacing w:val="-6"/>
                <w:sz w:val="18"/>
                <w:szCs w:val="18"/>
              </w:rPr>
              <w:t>协议》及终端资产经审计的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p>
          <w:p>
            <w:pPr>
              <w:pStyle w:val="TableParagraph"/>
              <w:spacing w:line="30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年度财务报表，终端资产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2"/>
                <w:sz w:val="18"/>
                <w:szCs w:val="18"/>
              </w:rPr>
              <w:t>年度业绩承诺已完成。其他承诺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正在履行中。</w:t>
            </w:r>
          </w:p>
        </w:tc>
      </w:tr>
      <w:tr>
        <w:trPr>
          <w:trHeight w:val="3210"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顺利办信息服务股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本次暂时补充流动资金的闲置募集资金将用于与主营业务相关的 </w:t>
            </w:r>
            <w:r>
              <w:rPr>
                <w:rFonts w:ascii="宋体" w:hAnsi="宋体" w:cs="宋体" w:eastAsia="宋体" w:hint="default"/>
                <w:spacing w:val="-3"/>
                <w:sz w:val="18"/>
                <w:szCs w:val="18"/>
              </w:rPr>
              <w:t>经营活动，不会通过直接或间接的安排用于新股配售、申购或者用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于股票及其衍生品种、可转债券等交易，不存在变相改变募集资金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用途和损害公司及股东利益的情形。在本次使用闲置募集资金暂时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补充流动资金前，公司在过去十二月内未进行高风险投资或者为他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人提供财务资助，且在未来十二个月内，使用闲置募集资金暂时补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充流动资金期间不进行高风险投资或者为他人提供财务资助。本次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暂时补充流动资金的使用期限届满前，公司将及时把资金归还至募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集资金专户，不影响募集资金投资项目的正常进行。若募集资金投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资项目因发展需要，公司将及时归还募集资金，以确保项目进度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3"/>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285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顺利办信息服务股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本次暂时补充流动资金的闲置募集资金将用于与主营业务相关的 </w:t>
            </w:r>
            <w:r>
              <w:rPr>
                <w:rFonts w:ascii="宋体" w:hAnsi="宋体" w:cs="宋体" w:eastAsia="宋体" w:hint="default"/>
                <w:spacing w:val="-3"/>
                <w:sz w:val="18"/>
                <w:szCs w:val="18"/>
              </w:rPr>
              <w:t>经营活动，不会通过直接或间接的安排用于新股配售、申购或者用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于股票及其衍生品种、可转债券等交易，不存在变相改变募集资金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用途和损害公司及股东利益的情形。在本次使用闲置募集资金暂时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补充流动资金前，公司在过去十二月内未进行高风险投资或者为他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人提供财务资助，且在未来十二个月内，使用闲置募集资金暂时补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充流动资金期间不进行高风险投资或者为他人提供财务资助。本次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暂时补充流动资金的使用期限届满前，公司将及时把资金归还至募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集资金专户，不影响募集资金投资项目的正常进行。若募集资金投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3"/>
              <w:jc w:val="both"/>
              <w:rPr>
                <w:rFonts w:ascii="宋体" w:hAnsi="宋体" w:cs="宋体" w:eastAsia="宋体" w:hint="default"/>
                <w:sz w:val="18"/>
                <w:szCs w:val="18"/>
              </w:rPr>
            </w:pPr>
            <w:r>
              <w:rPr>
                <w:rFonts w:ascii="宋体" w:hAnsi="宋体" w:cs="宋体" w:eastAsia="宋体" w:hint="default"/>
                <w:spacing w:val="-2"/>
                <w:sz w:val="18"/>
                <w:szCs w:val="18"/>
              </w:rPr>
              <w:t>资金已全部归还，该承诺已履行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完毕，履行期间未发生违背承诺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的情形。</w:t>
            </w:r>
          </w:p>
        </w:tc>
      </w:tr>
    </w:tbl>
    <w:p>
      <w:pPr>
        <w:spacing w:after="0" w:line="319" w:lineRule="auto"/>
        <w:jc w:val="both"/>
        <w:rPr>
          <w:rFonts w:ascii="宋体" w:hAnsi="宋体" w:cs="宋体" w:eastAsia="宋体" w:hint="default"/>
          <w:sz w:val="18"/>
          <w:szCs w:val="18"/>
        </w:rPr>
        <w:sectPr>
          <w:pgSz w:w="16840" w:h="11910" w:orient="landscape"/>
          <w:pgMar w:header="867" w:footer="979" w:top="1060" w:bottom="1200" w:left="1180" w:right="1180"/>
        </w:sectPr>
      </w:pPr>
    </w:p>
    <w:p>
      <w:pPr>
        <w:pStyle w:val="BodyText"/>
        <w:spacing w:line="240" w:lineRule="auto" w:before="88"/>
        <w:ind w:left="4386" w:right="0"/>
        <w:jc w:val="left"/>
      </w:pPr>
      <w:r>
        <w:rPr/>
        <w:t>资项目因发展需要，公司将及时归还募集资金，以确保项目进度。</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6840" w:h="11910" w:orient="landscape"/>
          <w:pgMar w:header="867" w:footer="979" w:top="1060" w:bottom="1160" w:left="1180" w:right="11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1701" w:right="-20"/>
        <w:jc w:val="left"/>
      </w:pPr>
      <w:r>
        <w:rPr/>
        <w:t>顺利办信息服务股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78" w:right="-20"/>
        <w:jc w:val="left"/>
      </w:pPr>
      <w:r>
        <w:rPr/>
        <w:t>募集资金使</w:t>
      </w:r>
    </w:p>
    <w:p>
      <w:pPr>
        <w:pStyle w:val="BodyText"/>
        <w:spacing w:line="316" w:lineRule="auto" w:before="44"/>
        <w:ind w:left="185" w:right="-12"/>
        <w:jc w:val="left"/>
      </w:pPr>
      <w:r>
        <w:rPr/>
        <w:br w:type="column"/>
      </w:r>
      <w:r>
        <w:rPr/>
        <w:t>本次暂时补充流动资金的闲置募集资金将用于与主营业务相关的 </w:t>
      </w:r>
      <w:r>
        <w:rPr>
          <w:spacing w:val="-3"/>
        </w:rPr>
        <w:t>经营活动，不会通过直接或间接的安排用于新股配售、申购或者用</w:t>
      </w:r>
      <w:r>
        <w:rPr>
          <w:spacing w:val="-79"/>
        </w:rPr>
        <w:t> </w:t>
      </w:r>
      <w:r>
        <w:rPr>
          <w:spacing w:val="-79"/>
        </w:rPr>
      </w:r>
      <w:r>
        <w:rPr>
          <w:spacing w:val="-3"/>
        </w:rPr>
        <w:t>于股票及其衍生品种、可转债券等交易，不存在变相改变募集资金</w:t>
      </w:r>
      <w:r>
        <w:rPr>
          <w:spacing w:val="-79"/>
        </w:rPr>
        <w:t> </w:t>
      </w:r>
      <w:r>
        <w:rPr>
          <w:spacing w:val="-79"/>
        </w:rPr>
      </w:r>
      <w:r>
        <w:rPr>
          <w:spacing w:val="-3"/>
        </w:rPr>
        <w:t>用途和损害公司及股东利益的情形。在本次使用闲置募集资金暂时</w:t>
      </w:r>
      <w:r>
        <w:rPr>
          <w:spacing w:val="-78"/>
        </w:rPr>
        <w:t> </w:t>
      </w:r>
      <w:r>
        <w:rPr>
          <w:spacing w:val="-78"/>
        </w:rPr>
      </w:r>
      <w:r>
        <w:rPr>
          <w:spacing w:val="-3"/>
        </w:rPr>
        <w:t>补充流动资金前，公司在过去十二月内未进行高风险投资或者为他</w:t>
      </w:r>
      <w:r>
        <w:rPr>
          <w:spacing w:val="-33"/>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08 </w:t>
      </w:r>
      <w:r>
        <w:rPr/>
        <w:t>月</w:t>
      </w:r>
      <w:r>
        <w:rPr>
          <w:spacing w:val="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04 </w:t>
      </w:r>
      <w:r>
        <w:rPr/>
        <w:t>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0" w:lineRule="atLeast" w:before="120"/>
        <w:ind w:left="47" w:right="131"/>
        <w:jc w:val="left"/>
      </w:pPr>
      <w:r>
        <w:rPr>
          <w:spacing w:val="-2"/>
        </w:rPr>
        <w:t>资金已全部归还，该承诺已履行</w:t>
      </w:r>
      <w:r>
        <w:rPr>
          <w:spacing w:val="-82"/>
        </w:rPr>
        <w:t> </w:t>
      </w:r>
      <w:r>
        <w:rPr>
          <w:spacing w:val="-82"/>
        </w:rPr>
      </w:r>
      <w:r>
        <w:rPr>
          <w:spacing w:val="-2"/>
        </w:rPr>
        <w:t>完毕，履行期间未发生违背承诺</w:t>
      </w:r>
    </w:p>
    <w:p>
      <w:pPr>
        <w:spacing w:after="0" w:line="310" w:lineRule="atLeast"/>
        <w:jc w:val="left"/>
        <w:sectPr>
          <w:type w:val="continuous"/>
          <w:pgSz w:w="16840" w:h="11910" w:orient="landscape"/>
          <w:pgMar w:top="1060" w:bottom="1160" w:left="1180" w:right="1180"/>
          <w:cols w:num="4" w:equalWidth="0">
            <w:col w:w="3142" w:space="40"/>
            <w:col w:w="979" w:space="40"/>
            <w:col w:w="7548" w:space="40"/>
            <w:col w:w="2691"/>
          </w:cols>
        </w:sectPr>
      </w:pPr>
    </w:p>
    <w:p>
      <w:pPr>
        <w:pStyle w:val="BodyText"/>
        <w:spacing w:line="157" w:lineRule="exact"/>
        <w:ind w:left="1701" w:right="-20"/>
        <w:jc w:val="left"/>
      </w:pPr>
      <w:r>
        <w:rPr/>
        <w:t>份有限公司</w:t>
      </w:r>
    </w:p>
    <w:p>
      <w:pPr>
        <w:spacing w:line="157" w:lineRule="exact" w:before="0"/>
        <w:ind w:left="6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用承诺</w:t>
      </w:r>
    </w:p>
    <w:p>
      <w:pPr>
        <w:pStyle w:val="BodyText"/>
        <w:spacing w:line="171" w:lineRule="exact"/>
        <w:ind w:left="545" w:right="0"/>
        <w:jc w:val="both"/>
      </w:pPr>
      <w:r>
        <w:rPr>
          <w:spacing w:val="-3"/>
        </w:rPr>
        <w:br w:type="column"/>
      </w:r>
      <w:r>
        <w:rPr>
          <w:spacing w:val="-3"/>
        </w:rPr>
        <w:t>人提供财务资助，且在未来十二个月内，使用闲置募集资金暂时补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日</w:t>
      </w:r>
    </w:p>
    <w:p>
      <w:pPr>
        <w:pStyle w:val="BodyText"/>
        <w:spacing w:line="319" w:lineRule="auto" w:before="61"/>
        <w:ind w:left="545" w:right="384"/>
        <w:jc w:val="both"/>
      </w:pPr>
      <w:r>
        <w:rPr>
          <w:spacing w:val="-3"/>
        </w:rPr>
        <w:t>充流动资金期间不进行高风险投资或者为他人提供财务资助。本次</w:t>
      </w:r>
      <w:r>
        <w:rPr>
          <w:spacing w:val="-78"/>
        </w:rPr>
        <w:t> </w:t>
      </w:r>
      <w:r>
        <w:rPr>
          <w:spacing w:val="-78"/>
        </w:rPr>
      </w:r>
      <w:r>
        <w:rPr>
          <w:spacing w:val="-3"/>
        </w:rPr>
        <w:t>暂时补充流动资金的使用期限届满前，公司将及时把资金归还至募</w:t>
      </w:r>
      <w:r>
        <w:rPr>
          <w:spacing w:val="-78"/>
        </w:rPr>
        <w:t> </w:t>
      </w:r>
      <w:r>
        <w:rPr>
          <w:spacing w:val="-78"/>
        </w:rPr>
      </w:r>
      <w:r>
        <w:rPr>
          <w:spacing w:val="-3"/>
        </w:rPr>
        <w:t>集资金专户，不影响募集资金投资项目的正常进行。若募集资金投</w:t>
      </w:r>
      <w:r>
        <w:rPr>
          <w:spacing w:val="-79"/>
        </w:rPr>
        <w:t> </w:t>
      </w:r>
      <w:r>
        <w:rPr>
          <w:spacing w:val="-79"/>
        </w:rPr>
      </w:r>
      <w:r>
        <w:rPr/>
        <w:t>资项目因发展需要，公司将及时归还募集资金，以确保项目进度。</w:t>
      </w:r>
    </w:p>
    <w:p>
      <w:pPr>
        <w:pStyle w:val="BodyText"/>
        <w:spacing w:line="171" w:lineRule="exact"/>
        <w:ind w:left="682" w:right="-20"/>
        <w:jc w:val="left"/>
      </w:pPr>
      <w:r>
        <w:rPr/>
        <w:br w:type="column"/>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p>
    <w:p>
      <w:pPr>
        <w:pStyle w:val="BodyText"/>
        <w:spacing w:line="240" w:lineRule="auto" w:before="77"/>
        <w:ind w:left="676" w:right="130"/>
        <w:jc w:val="left"/>
      </w:pPr>
      <w:r>
        <w:rPr/>
        <w:br w:type="column"/>
      </w:r>
      <w:r>
        <w:rPr/>
        <w:t>的情形。</w:t>
      </w:r>
    </w:p>
    <w:p>
      <w:pPr>
        <w:spacing w:after="0" w:line="240" w:lineRule="auto"/>
        <w:jc w:val="left"/>
        <w:sectPr>
          <w:type w:val="continuous"/>
          <w:pgSz w:w="16840" w:h="11910" w:orient="landscape"/>
          <w:pgMar w:top="1060" w:bottom="1160" w:left="1180" w:right="1180"/>
          <w:cols w:num="5" w:equalWidth="0">
            <w:col w:w="2602" w:space="40"/>
            <w:col w:w="1159" w:space="40"/>
            <w:col w:w="6153" w:space="40"/>
            <w:col w:w="1087" w:space="40"/>
            <w:col w:w="3319"/>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left="1701" w:right="-20"/>
        <w:jc w:val="left"/>
      </w:pPr>
      <w:r>
        <w:rPr/>
        <w:t>西藏华毓创业投资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left="78" w:right="-20"/>
        <w:jc w:val="left"/>
      </w:pPr>
      <w:r>
        <w:rPr/>
        <w:t>股份限售承</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240" w:lineRule="auto"/>
        <w:ind w:left="185" w:right="-12"/>
        <w:jc w:val="left"/>
        <w:rPr>
          <w:rFonts w:ascii="Times New Roman" w:hAnsi="Times New Roman" w:cs="Times New Roman" w:eastAsia="Times New Roman" w:hint="default"/>
        </w:rPr>
      </w:pPr>
      <w:r>
        <w:rPr>
          <w:rFonts w:ascii="Times New Roman" w:hAnsi="Times New Roman" w:cs="Times New Roman" w:eastAsia="Times New Roman" w:hint="default"/>
        </w:rPr>
        <w:t>1</w:t>
      </w:r>
      <w:r>
        <w:rPr>
          <w:spacing w:val="-90"/>
        </w:rPr>
        <w:t>、</w:t>
      </w:r>
      <w:r>
        <w:rPr/>
        <w:t>西藏华毓创业投资管理有限公司承诺在</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2017</w:t>
      </w:r>
    </w:p>
    <w:p>
      <w:pPr>
        <w:pStyle w:val="BodyText"/>
        <w:spacing w:line="240" w:lineRule="auto" w:before="61"/>
        <w:ind w:left="185" w:right="-12"/>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日期间，通过大宗交易或集中竞价交易方式减持公司股</w:t>
      </w:r>
    </w:p>
    <w:p>
      <w:pPr>
        <w:pStyle w:val="BodyText"/>
        <w:spacing w:line="240" w:lineRule="auto" w:before="64"/>
        <w:ind w:left="185" w:right="-16"/>
        <w:jc w:val="left"/>
      </w:pPr>
      <w:r>
        <w:rPr/>
        <w:t>份不超过公司股份总数的</w:t>
      </w:r>
      <w:r>
        <w:rPr>
          <w:spacing w:val="-46"/>
        </w:rPr>
        <w:t> </w:t>
      </w:r>
      <w:r>
        <w:rPr>
          <w:rFonts w:ascii="Times New Roman" w:hAnsi="Times New Roman" w:cs="Times New Roman" w:eastAsia="Times New Roman" w:hint="default"/>
        </w:rPr>
        <w:t>3%</w:t>
      </w:r>
      <w:r>
        <w:rPr/>
        <w:t>，所得款项全部用于支持交易对方支</w:t>
      </w:r>
      <w:r>
        <w:rPr>
          <w:spacing w:val="-3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月</w:t>
      </w:r>
    </w:p>
    <w:p>
      <w:pPr>
        <w:pStyle w:val="BodyText"/>
        <w:spacing w:line="309" w:lineRule="auto" w:before="107"/>
        <w:ind w:left="47" w:right="157"/>
        <w:jc w:val="left"/>
      </w:pPr>
      <w:r>
        <w:rPr/>
        <w:br w:type="column"/>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月末，西藏华毓创业 投资管理有限公司通过深圳证 券交易所大宗交易系统减持所</w:t>
      </w:r>
    </w:p>
    <w:p>
      <w:pPr>
        <w:pStyle w:val="BodyText"/>
        <w:spacing w:line="212" w:lineRule="exact" w:before="24"/>
        <w:ind w:left="47" w:right="131"/>
        <w:jc w:val="left"/>
      </w:pPr>
      <w:r>
        <w:rPr/>
        <w:t>持公司股份，占公司总股本的</w:t>
      </w:r>
    </w:p>
    <w:p>
      <w:pPr>
        <w:spacing w:after="0" w:line="212" w:lineRule="exact"/>
        <w:jc w:val="left"/>
        <w:sectPr>
          <w:type w:val="continuous"/>
          <w:pgSz w:w="16840" w:h="11910" w:orient="landscape"/>
          <w:pgMar w:top="1060" w:bottom="1160" w:left="1180" w:right="1180"/>
          <w:cols w:num="4" w:equalWidth="0">
            <w:col w:w="3142" w:space="40"/>
            <w:col w:w="979" w:space="40"/>
            <w:col w:w="7548" w:space="40"/>
            <w:col w:w="2691"/>
          </w:cols>
        </w:sectPr>
      </w:pPr>
    </w:p>
    <w:p>
      <w:pPr>
        <w:pStyle w:val="BodyText"/>
        <w:tabs>
          <w:tab w:pos="3260" w:val="left" w:leader="none"/>
        </w:tabs>
        <w:spacing w:line="181" w:lineRule="exact"/>
        <w:ind w:left="1701" w:right="-20"/>
        <w:jc w:val="left"/>
      </w:pPr>
      <w:r>
        <w:rPr/>
        <w:t>管理有限公司</w:t>
        <w:tab/>
        <w:t>诺</w:t>
      </w:r>
    </w:p>
    <w:p>
      <w:pPr>
        <w:pStyle w:val="BodyText"/>
        <w:spacing w:line="195" w:lineRule="exact"/>
        <w:ind w:left="905" w:right="-18"/>
        <w:jc w:val="left"/>
      </w:pPr>
      <w:r>
        <w:rPr/>
        <w:br w:type="column"/>
      </w:r>
      <w:r>
        <w:rPr/>
        <w:t>付本次交易的剩余对价</w:t>
      </w:r>
      <w:r>
        <w:rPr>
          <w:spacing w:val="8"/>
        </w:rPr>
        <w:t>。</w:t>
      </w:r>
      <w:r>
        <w:rPr>
          <w:rFonts w:ascii="Times New Roman" w:hAnsi="Times New Roman" w:cs="Times New Roman" w:eastAsia="Times New Roman" w:hint="default"/>
        </w:rPr>
        <w:t>2</w:t>
      </w:r>
      <w:r>
        <w:rPr>
          <w:spacing w:val="-83"/>
        </w:rPr>
        <w:t>、</w:t>
      </w:r>
      <w:r>
        <w:rPr/>
        <w:t>西藏华毓创业投资管理有限公司承诺</w:t>
      </w:r>
      <w:r>
        <w:rPr>
          <w:spacing w:val="-34"/>
        </w:rPr>
        <w:t>：</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日</w:t>
      </w:r>
    </w:p>
    <w:p>
      <w:pPr>
        <w:pStyle w:val="BodyText"/>
        <w:spacing w:line="240" w:lineRule="auto" w:before="61"/>
        <w:ind w:left="905" w:right="-18"/>
        <w:jc w:val="left"/>
      </w:pPr>
      <w:r>
        <w:rPr/>
        <w:t>自上述减持期间截止日后的六个月内，即从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日至</w:t>
      </w:r>
    </w:p>
    <w:p>
      <w:pPr>
        <w:pStyle w:val="BodyText"/>
        <w:spacing w:line="240" w:lineRule="auto" w:before="64"/>
        <w:ind w:left="905" w:right="-18"/>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8 </w:t>
      </w:r>
      <w:r>
        <w:rPr/>
        <w:t>日期间，不再减持顺利办股份。</w:t>
      </w:r>
    </w:p>
    <w:p>
      <w:pPr>
        <w:pStyle w:val="BodyText"/>
        <w:spacing w:line="195" w:lineRule="exact"/>
        <w:ind w:left="682" w:right="-20"/>
        <w:jc w:val="left"/>
      </w:pPr>
      <w:r>
        <w:rPr/>
        <w:br w:type="column"/>
      </w:r>
      <w:r>
        <w:rPr>
          <w:rFonts w:ascii="Times New Roman" w:hAnsi="Times New Roman" w:cs="Times New Roman" w:eastAsia="Times New Roman" w:hint="default"/>
        </w:rPr>
        <w:t>08</w:t>
      </w:r>
      <w:r>
        <w:rPr>
          <w:rFonts w:ascii="Times New Roman" w:hAnsi="Times New Roman" w:cs="Times New Roman" w:eastAsia="Times New Roman" w:hint="default"/>
          <w:spacing w:val="-1"/>
        </w:rPr>
        <w:t> </w:t>
      </w:r>
      <w:r>
        <w:rPr/>
        <w:t>日</w:t>
      </w:r>
    </w:p>
    <w:p>
      <w:pPr>
        <w:pStyle w:val="BodyText"/>
        <w:spacing w:line="309" w:lineRule="auto" w:before="100"/>
        <w:ind w:left="676" w:right="130"/>
        <w:jc w:val="left"/>
      </w:pPr>
      <w:r>
        <w:rPr/>
        <w:br w:type="column"/>
      </w:r>
      <w:r>
        <w:rPr>
          <w:rFonts w:ascii="Times New Roman" w:hAnsi="Times New Roman" w:cs="Times New Roman" w:eastAsia="Times New Roman" w:hint="default"/>
        </w:rPr>
        <w:t>2%</w:t>
      </w:r>
      <w:r>
        <w:rPr/>
        <w:t>，减持计划已实施完毕。</w:t>
      </w:r>
      <w:r>
        <w:rPr>
          <w:w w:val="99"/>
        </w:rPr>
        <w:t> </w:t>
      </w:r>
      <w:r>
        <w:rPr>
          <w:spacing w:val="-2"/>
        </w:rPr>
        <w:t>该承诺已履行完毕，履行期间未</w:t>
      </w:r>
      <w:r>
        <w:rPr>
          <w:spacing w:val="-83"/>
        </w:rPr>
        <w:t> </w:t>
      </w:r>
      <w:r>
        <w:rPr>
          <w:spacing w:val="-83"/>
        </w:rPr>
      </w:r>
      <w:r>
        <w:rPr/>
        <w:t>发生违背承诺的情形。</w:t>
      </w:r>
    </w:p>
    <w:p>
      <w:pPr>
        <w:spacing w:after="0" w:line="309" w:lineRule="auto"/>
        <w:jc w:val="left"/>
        <w:sectPr>
          <w:type w:val="continuous"/>
          <w:pgSz w:w="16840" w:h="11910" w:orient="landscape"/>
          <w:pgMar w:top="1060" w:bottom="1160" w:left="1180" w:right="1180"/>
          <w:cols w:num="4" w:equalWidth="0">
            <w:col w:w="3441" w:space="40"/>
            <w:col w:w="6513" w:space="40"/>
            <w:col w:w="1087" w:space="40"/>
            <w:col w:w="3319"/>
          </w:cols>
        </w:sectPr>
      </w:pPr>
    </w:p>
    <w:p>
      <w:pPr>
        <w:pStyle w:val="BodyText"/>
        <w:spacing w:line="316" w:lineRule="auto" w:before="114"/>
        <w:ind w:left="1701" w:right="-20"/>
        <w:jc w:val="left"/>
      </w:pPr>
      <w:r>
        <w:rPr/>
        <w:t>连良桂；天津泰达 科技投资股份有限</w:t>
      </w:r>
    </w:p>
    <w:p>
      <w:pPr>
        <w:pStyle w:val="BodyText"/>
        <w:spacing w:line="213" w:lineRule="exact" w:before="19"/>
        <w:ind w:left="1701" w:right="-20"/>
        <w:jc w:val="left"/>
      </w:pPr>
      <w:r>
        <w:rPr/>
        <w:t>公司；广西泰达新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pStyle w:val="BodyText"/>
        <w:spacing w:line="240" w:lineRule="auto"/>
        <w:ind w:left="78" w:right="-20"/>
        <w:jc w:val="left"/>
      </w:pPr>
      <w:r>
        <w:rPr/>
        <w:t>股份限售承</w:t>
      </w:r>
    </w:p>
    <w:p>
      <w:pPr>
        <w:spacing w:line="240" w:lineRule="auto" w:before="2"/>
        <w:rPr>
          <w:rFonts w:ascii="宋体" w:hAnsi="宋体" w:cs="宋体" w:eastAsia="宋体" w:hint="default"/>
          <w:sz w:val="26"/>
          <w:szCs w:val="26"/>
        </w:rPr>
      </w:pPr>
      <w:r>
        <w:rPr/>
        <w:br w:type="column"/>
      </w:r>
      <w:r>
        <w:rPr>
          <w:rFonts w:ascii="宋体"/>
          <w:sz w:val="26"/>
        </w:rPr>
      </w:r>
    </w:p>
    <w:p>
      <w:pPr>
        <w:pStyle w:val="BodyText"/>
        <w:spacing w:line="320" w:lineRule="atLeast"/>
        <w:ind w:left="185" w:right="-18"/>
        <w:jc w:val="left"/>
      </w:pPr>
      <w:r>
        <w:rPr/>
        <w:t>天津泰达科技投资股份有限公司、广西泰达新原股权投资有限公 </w:t>
      </w:r>
      <w:r>
        <w:rPr>
          <w:spacing w:val="-4"/>
        </w:rPr>
        <w:t>司、连良桂先生承诺在本次顺利办股票复牌之日起</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个月内无任何</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26"/>
          <w:szCs w:val="26"/>
        </w:rPr>
      </w:pPr>
    </w:p>
    <w:p>
      <w:pPr>
        <w:pStyle w:val="BodyText"/>
        <w:spacing w:line="240" w:lineRule="auto"/>
        <w:ind w:left="16"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spacing w:val="-3"/>
        </w:rPr>
        <w:t>11 </w:t>
      </w:r>
      <w:r>
        <w:rPr/>
        <w:t>月</w:t>
      </w:r>
      <w:r>
        <w:rPr>
          <w:spacing w:val="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05</w:t>
      </w:r>
      <w:r>
        <w:rPr>
          <w:rFonts w:ascii="Times New Roman" w:hAnsi="Times New Roman" w:cs="Times New Roman" w:eastAsia="Times New Roman" w:hint="default"/>
          <w:spacing w:val="-3"/>
        </w:rPr>
        <w:t> </w:t>
      </w:r>
      <w:r>
        <w:rPr/>
        <w:t>月</w:t>
      </w:r>
      <w:r>
        <w:rPr>
          <w:spacing w:val="-7"/>
        </w:rPr>
        <w:t> </w:t>
      </w:r>
      <w:r>
        <w:rPr/>
        <w:t>该承诺已履行完毕，履行期间未</w:t>
      </w:r>
    </w:p>
    <w:p>
      <w:pPr>
        <w:spacing w:after="0" w:line="240" w:lineRule="auto"/>
        <w:jc w:val="left"/>
        <w:sectPr>
          <w:type w:val="continuous"/>
          <w:pgSz w:w="16840" w:h="11910" w:orient="landscape"/>
          <w:pgMar w:top="1060" w:bottom="1160" w:left="1180" w:right="1180"/>
          <w:cols w:num="4" w:equalWidth="0">
            <w:col w:w="3142" w:space="40"/>
            <w:col w:w="979" w:space="40"/>
            <w:col w:w="5332" w:space="40"/>
            <w:col w:w="4907"/>
          </w:cols>
        </w:sectPr>
      </w:pPr>
    </w:p>
    <w:p>
      <w:pPr>
        <w:pStyle w:val="BodyText"/>
        <w:spacing w:line="103" w:lineRule="exact"/>
        <w:ind w:left="3260" w:right="-20"/>
        <w:jc w:val="left"/>
      </w:pPr>
      <w:r>
        <w:rPr/>
        <w:t>诺</w:t>
      </w:r>
    </w:p>
    <w:p>
      <w:pPr>
        <w:pStyle w:val="BodyText"/>
        <w:spacing w:line="195" w:lineRule="exact"/>
        <w:ind w:left="1701" w:right="-20"/>
        <w:jc w:val="left"/>
      </w:pPr>
      <w:r>
        <w:rPr/>
        <w:t>原股权投资有限公</w:t>
      </w:r>
    </w:p>
    <w:p>
      <w:pPr>
        <w:pStyle w:val="BodyText"/>
        <w:spacing w:line="240" w:lineRule="auto" w:before="77"/>
        <w:ind w:left="1681" w:right="1539"/>
        <w:jc w:val="center"/>
      </w:pPr>
      <w:r>
        <w:rPr/>
        <w:t>司</w:t>
      </w:r>
    </w:p>
    <w:p>
      <w:pPr>
        <w:pStyle w:val="BodyText"/>
        <w:spacing w:line="240" w:lineRule="auto" w:before="64"/>
        <w:ind w:left="905" w:right="-20"/>
        <w:jc w:val="left"/>
      </w:pPr>
      <w:r>
        <w:rPr/>
        <w:br w:type="column"/>
      </w:r>
      <w:r>
        <w:rPr/>
        <w:t>减持计划。</w:t>
      </w:r>
    </w:p>
    <w:p>
      <w:pPr>
        <w:pStyle w:val="BodyText"/>
        <w:spacing w:line="157" w:lineRule="exact"/>
        <w:ind w:left="0" w:right="0"/>
        <w:jc w:val="right"/>
      </w:pPr>
      <w:r>
        <w:rPr/>
        <w:br w:type="column"/>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日</w:t>
      </w:r>
    </w:p>
    <w:p>
      <w:pPr>
        <w:pStyle w:val="BodyText"/>
        <w:spacing w:line="157" w:lineRule="exact"/>
        <w:ind w:left="682" w:right="-20"/>
        <w:jc w:val="left"/>
      </w:pPr>
      <w:r>
        <w:rPr/>
        <w:br w:type="column"/>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日</w:t>
      </w:r>
    </w:p>
    <w:p>
      <w:pPr>
        <w:pStyle w:val="BodyText"/>
        <w:spacing w:line="144" w:lineRule="exact"/>
        <w:ind w:left="676" w:right="130"/>
        <w:jc w:val="left"/>
      </w:pPr>
      <w:r>
        <w:rPr/>
        <w:br w:type="column"/>
      </w:r>
      <w:r>
        <w:rPr/>
        <w:t>发生违背承诺的情形。</w:t>
      </w:r>
    </w:p>
    <w:p>
      <w:pPr>
        <w:spacing w:after="0" w:line="144" w:lineRule="exact"/>
        <w:jc w:val="left"/>
        <w:sectPr>
          <w:type w:val="continuous"/>
          <w:pgSz w:w="16840" w:h="11910" w:orient="landscape"/>
          <w:pgMar w:top="1060" w:bottom="1160" w:left="1180" w:right="1180"/>
          <w:cols w:num="5" w:equalWidth="0">
            <w:col w:w="3441" w:space="40"/>
            <w:col w:w="1806" w:space="2600"/>
            <w:col w:w="2107" w:space="40"/>
            <w:col w:w="1087" w:space="40"/>
            <w:col w:w="331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60" w:left="1180" w:right="1180"/>
        </w:sectPr>
      </w:pPr>
    </w:p>
    <w:p>
      <w:pPr>
        <w:pStyle w:val="BodyText"/>
        <w:spacing w:line="310" w:lineRule="exact" w:before="6"/>
        <w:ind w:left="1701" w:right="855"/>
        <w:jc w:val="left"/>
      </w:pPr>
      <w:r>
        <w:rPr/>
        <w:t>彭聪；黄海勇；赵 </w:t>
      </w:r>
      <w:r>
        <w:rPr>
          <w:spacing w:val="-4"/>
        </w:rPr>
        <w:t>侠；连杰；俞丽辉；</w:t>
      </w:r>
    </w:p>
    <w:p>
      <w:pPr>
        <w:pStyle w:val="BodyText"/>
        <w:spacing w:line="95" w:lineRule="exact"/>
        <w:ind w:left="0" w:right="0"/>
        <w:jc w:val="right"/>
      </w:pPr>
      <w:r>
        <w:rPr/>
        <w:t>股份限售承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10" w:lineRule="exact"/>
        <w:ind w:left="185" w:right="0"/>
        <w:jc w:val="left"/>
      </w:pPr>
      <w:r>
        <w:rPr>
          <w:spacing w:val="-3"/>
        </w:rPr>
        <w:t>公司董事、监事、高级管理人员承诺在本次顺利办股票复牌之日起</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05</w:t>
      </w:r>
      <w:r>
        <w:rPr>
          <w:rFonts w:ascii="Times New Roman" w:hAnsi="Times New Roman" w:cs="Times New Roman" w:eastAsia="Times New Roman" w:hint="default"/>
          <w:spacing w:val="-2"/>
        </w:rPr>
        <w:t> </w:t>
      </w:r>
      <w:r>
        <w:rPr/>
        <w:t>月</w:t>
      </w:r>
      <w:r>
        <w:rPr>
          <w:spacing w:val="-5"/>
        </w:rPr>
        <w:t> </w:t>
      </w:r>
      <w:r>
        <w:rPr/>
        <w:t>该承诺已履行完毕，履行期间未</w:t>
      </w:r>
    </w:p>
    <w:p>
      <w:pPr>
        <w:spacing w:after="0" w:line="210" w:lineRule="exact"/>
        <w:jc w:val="left"/>
        <w:sectPr>
          <w:type w:val="continuous"/>
          <w:pgSz w:w="16840" w:h="11910" w:orient="landscape"/>
          <w:pgMar w:top="1060" w:bottom="1160" w:left="1180" w:right="1180"/>
          <w:cols w:num="2" w:equalWidth="0">
            <w:col w:w="4161" w:space="40"/>
            <w:col w:w="10279"/>
          </w:cols>
        </w:sectPr>
      </w:pPr>
    </w:p>
    <w:p>
      <w:pPr>
        <w:pStyle w:val="BodyText"/>
        <w:spacing w:line="141" w:lineRule="exact"/>
        <w:ind w:left="1701" w:right="-20"/>
        <w:jc w:val="left"/>
      </w:pPr>
      <w:r>
        <w:rPr/>
        <w:t>袁军；韩传模；于</w:t>
      </w:r>
    </w:p>
    <w:p>
      <w:pPr>
        <w:pStyle w:val="BodyText"/>
        <w:spacing w:line="171" w:lineRule="exact"/>
        <w:ind w:left="0" w:right="0"/>
        <w:jc w:val="right"/>
      </w:pPr>
      <w:r>
        <w:rPr/>
        <w:t>诺</w:t>
      </w:r>
    </w:p>
    <w:p>
      <w:pPr>
        <w:pStyle w:val="BodyText"/>
        <w:spacing w:line="210" w:lineRule="exact" w:before="101"/>
        <w:ind w:left="905" w:right="-19"/>
        <w:jc w:val="left"/>
      </w:pPr>
      <w:r>
        <w:rPr/>
        <w:br w:type="column"/>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个月内无任何减持计划。</w:t>
      </w:r>
    </w:p>
    <w:p>
      <w:pPr>
        <w:pStyle w:val="BodyText"/>
        <w:spacing w:line="210" w:lineRule="exact" w:before="101"/>
        <w:ind w:left="0" w:right="0"/>
        <w:jc w:val="right"/>
      </w:pPr>
      <w:r>
        <w:rPr/>
        <w:br w:type="column"/>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w:t>
      </w:r>
    </w:p>
    <w:p>
      <w:pPr>
        <w:pStyle w:val="BodyText"/>
        <w:spacing w:line="210" w:lineRule="exact" w:before="101"/>
        <w:ind w:left="682" w:right="-20"/>
        <w:jc w:val="left"/>
      </w:pPr>
      <w:r>
        <w:rPr/>
        <w:br w:type="column"/>
      </w:r>
      <w:r>
        <w:rPr>
          <w:rFonts w:ascii="Times New Roman" w:hAnsi="Times New Roman" w:cs="Times New Roman" w:eastAsia="Times New Roman" w:hint="default"/>
        </w:rPr>
        <w:t>07</w:t>
      </w:r>
      <w:r>
        <w:rPr>
          <w:rFonts w:ascii="Times New Roman" w:hAnsi="Times New Roman" w:cs="Times New Roman" w:eastAsia="Times New Roman" w:hint="default"/>
          <w:spacing w:val="-1"/>
        </w:rPr>
        <w:t> </w:t>
      </w:r>
      <w:r>
        <w:rPr/>
        <w:t>日</w:t>
      </w:r>
    </w:p>
    <w:p>
      <w:pPr>
        <w:pStyle w:val="BodyText"/>
        <w:spacing w:line="210" w:lineRule="exact" w:before="101"/>
        <w:ind w:left="676" w:right="130"/>
        <w:jc w:val="left"/>
      </w:pPr>
      <w:r>
        <w:rPr/>
        <w:br w:type="column"/>
      </w:r>
      <w:r>
        <w:rPr/>
        <w:t>发生违背承诺的情形。</w:t>
      </w:r>
    </w:p>
    <w:p>
      <w:pPr>
        <w:spacing w:after="0" w:line="210" w:lineRule="exact"/>
        <w:jc w:val="left"/>
        <w:sectPr>
          <w:type w:val="continuous"/>
          <w:pgSz w:w="16840" w:h="11910" w:orient="landscape"/>
          <w:pgMar w:top="1060" w:bottom="1160" w:left="1180" w:right="1180"/>
          <w:cols w:num="5" w:equalWidth="0">
            <w:col w:w="3441" w:space="40"/>
            <w:col w:w="3021" w:space="1386"/>
            <w:col w:w="2107" w:space="40"/>
            <w:col w:w="1087" w:space="40"/>
            <w:col w:w="3318"/>
          </w:cols>
        </w:sectPr>
      </w:pPr>
    </w:p>
    <w:p>
      <w:pPr>
        <w:pStyle w:val="BodyText"/>
        <w:spacing w:line="180" w:lineRule="exact"/>
        <w:ind w:left="1701" w:right="0"/>
        <w:jc w:val="left"/>
      </w:pPr>
      <w:r>
        <w:rPr/>
        <w:pict>
          <v:group style="position:absolute;margin-left:64.379997pt;margin-top:55.260006pt;width:713.1pt;height:477.7pt;mso-position-horizontal-relative:page;mso-position-vertical-relative:page;z-index:-1039144" coordorigin="1288,1105" coordsize="14262,9554">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298;top:1144;width:1550;height:353" coordorigin="1298,1144" coordsize="1550,353">
              <v:shape style="position:absolute;left:1298;top:1144;width:1550;height:353" coordorigin="1298,1144" coordsize="1550,353" path="m1298,1496l2848,1496,2848,1144,1298,1144,1298,1496xe" filled="true" fillcolor="#d2d2d2" stroked="false">
                <v:path arrowok="t"/>
                <v:fill type="solid"/>
              </v:shape>
            </v:group>
            <v:group style="position:absolute;left:10746;top:1144;width:1116;height:353" coordorigin="10746,1144" coordsize="1116,353">
              <v:shape style="position:absolute;left:10746;top:1144;width:1116;height:353" coordorigin="10746,1144" coordsize="1116,353" path="m10746,1496l11862,1496,11862,1144,10746,1144,10746,1496xe" filled="true" fillcolor="#ffffff" stroked="false">
                <v:path arrowok="t"/>
                <v:fill type="solid"/>
              </v:shape>
            </v:group>
            <v:group style="position:absolute;left:1297;top:1139;width:1552;height:2" coordorigin="1297,1139" coordsize="1552,2">
              <v:shape style="position:absolute;left:1297;top:1139;width:1552;height:2" coordorigin="1297,1139" coordsize="1552,0" path="m1297,1139l2849,1139e" filled="false" stroked="true" strokeweight=".48pt" strokecolor="#000000">
                <v:path arrowok="t"/>
              </v:shape>
            </v:group>
            <v:group style="position:absolute;left:2859;top:1139;width:1550;height:2" coordorigin="2859,1139" coordsize="1550,2">
              <v:shape style="position:absolute;left:2859;top:1139;width:1550;height:2" coordorigin="2859,1139" coordsize="1550,0" path="m2859,1139l4408,1139e" filled="false" stroked="true" strokeweight=".48pt" strokecolor="#000000">
                <v:path arrowok="t"/>
              </v:shape>
            </v:group>
            <v:group style="position:absolute;left:4418;top:1139;width:1116;height:2" coordorigin="4418,1139" coordsize="1116,2">
              <v:shape style="position:absolute;left:4418;top:1139;width:1116;height:2" coordorigin="4418,1139" coordsize="1116,0" path="m4418,1139l5534,1139e" filled="false" stroked="true" strokeweight=".48pt" strokecolor="#000000">
                <v:path arrowok="t"/>
              </v:shape>
            </v:group>
            <v:group style="position:absolute;left:5543;top:1139;width:5193;height:2" coordorigin="5543,1139" coordsize="5193,2">
              <v:shape style="position:absolute;left:5543;top:1139;width:5193;height:2" coordorigin="5543,1139" coordsize="5193,0" path="m5543,1139l10736,1139e" filled="false" stroked="true" strokeweight=".48pt" strokecolor="#000000">
                <v:path arrowok="t"/>
              </v:shape>
            </v:group>
            <v:group style="position:absolute;left:10746;top:1139;width:1116;height:2" coordorigin="10746,1139" coordsize="1116,2">
              <v:shape style="position:absolute;left:10746;top:1139;width:1116;height:2" coordorigin="10746,1139" coordsize="1116,0" path="m10746,1139l11862,1139e" filled="false" stroked="true" strokeweight=".48pt" strokecolor="#000000">
                <v:path arrowok="t"/>
              </v:shape>
            </v:group>
            <v:group style="position:absolute;left:11871;top:1139;width:1113;height:2" coordorigin="11871,1139" coordsize="1113,2">
              <v:shape style="position:absolute;left:11871;top:1139;width:1113;height:2" coordorigin="11871,1139" coordsize="1113,0" path="m11871,1139l12984,1139e" filled="false" stroked="true" strokeweight=".48pt" strokecolor="#000000">
                <v:path arrowok="t"/>
              </v:shape>
            </v:group>
            <v:group style="position:absolute;left:12993;top:1139;width:2547;height:2" coordorigin="12993,1139" coordsize="2547,2">
              <v:shape style="position:absolute;left:12993;top:1139;width:2547;height:2" coordorigin="12993,1139" coordsize="2547,0" path="m12993,1139l15540,1139e" filled="false" stroked="true" strokeweight=".48pt" strokecolor="#000000">
                <v:path arrowok="t"/>
              </v:shape>
            </v:group>
            <v:group style="position:absolute;left:1298;top:1496;width:1550;height:3211" coordorigin="1298,1496" coordsize="1550,3211">
              <v:shape style="position:absolute;left:1298;top:1496;width:1550;height:3211" coordorigin="1298,1496" coordsize="1550,3211" path="m1298,4707l2848,4707,2848,1496,1298,1496,1298,4707xe" filled="true" fillcolor="#d2d2d2" stroked="false">
                <v:path arrowok="t"/>
                <v:fill type="solid"/>
              </v:shape>
            </v:group>
            <v:group style="position:absolute;left:10746;top:3459;width:1116;height:1248" coordorigin="10746,3459" coordsize="1116,1248">
              <v:shape style="position:absolute;left:10746;top:3459;width:1116;height:1248" coordorigin="10746,3459" coordsize="1116,1248" path="m10746,4707l11862,4707,11862,3459,10746,3459,10746,4707xe" filled="true" fillcolor="#ffffff" stroked="false">
                <v:path arrowok="t"/>
                <v:fill type="solid"/>
              </v:shape>
            </v:group>
            <v:group style="position:absolute;left:2859;top:1501;width:1550;height:2" coordorigin="2859,1501" coordsize="1550,2">
              <v:shape style="position:absolute;left:2859;top:1501;width:1550;height:2" coordorigin="2859,1501" coordsize="1550,0" path="m2859,1501l4408,1501e" filled="false" stroked="true" strokeweight=".48pt" strokecolor="#000000">
                <v:path arrowok="t"/>
              </v:shape>
            </v:group>
            <v:group style="position:absolute;left:4418;top:1501;width:1116;height:2" coordorigin="4418,1501" coordsize="1116,2">
              <v:shape style="position:absolute;left:4418;top:1501;width:1116;height:2" coordorigin="4418,1501" coordsize="1116,0" path="m4418,1501l5534,1501e" filled="false" stroked="true" strokeweight=".48pt" strokecolor="#000000">
                <v:path arrowok="t"/>
              </v:shape>
            </v:group>
            <v:group style="position:absolute;left:5543;top:1501;width:5193;height:2" coordorigin="5543,1501" coordsize="5193,2">
              <v:shape style="position:absolute;left:5543;top:1501;width:5193;height:2" coordorigin="5543,1501" coordsize="5193,0" path="m5543,1501l10736,1501e" filled="false" stroked="true" strokeweight=".48pt" strokecolor="#000000">
                <v:path arrowok="t"/>
              </v:shape>
            </v:group>
            <v:group style="position:absolute;left:10746;top:1501;width:1116;height:2" coordorigin="10746,1501" coordsize="1116,2">
              <v:shape style="position:absolute;left:10746;top:1501;width:1116;height:2" coordorigin="10746,1501" coordsize="1116,0" path="m10746,1501l11862,1501e" filled="false" stroked="true" strokeweight=".48pt" strokecolor="#000000">
                <v:path arrowok="t"/>
              </v:shape>
            </v:group>
            <v:group style="position:absolute;left:11871;top:1501;width:1113;height:2" coordorigin="11871,1501" coordsize="1113,2">
              <v:shape style="position:absolute;left:11871;top:1501;width:1113;height:2" coordorigin="11871,1501" coordsize="1113,0" path="m11871,1501l12984,1501e" filled="false" stroked="true" strokeweight=".48pt" strokecolor="#000000">
                <v:path arrowok="t"/>
              </v:shape>
            </v:group>
            <v:group style="position:absolute;left:12993;top:1501;width:2547;height:2" coordorigin="12993,1501" coordsize="2547,2">
              <v:shape style="position:absolute;left:12993;top:1501;width:2547;height:2" coordorigin="12993,1501" coordsize="2547,0" path="m12993,1501l15540,1501e" filled="false" stroked="true" strokeweight=".48pt" strokecolor="#000000">
                <v:path arrowok="t"/>
              </v:shape>
            </v:group>
            <v:group style="position:absolute;left:1298;top:4707;width:1550;height:2275" coordorigin="1298,4707" coordsize="1550,2275">
              <v:shape style="position:absolute;left:1298;top:4707;width:1550;height:2275" coordorigin="1298,4707" coordsize="1550,2275" path="m1298,6981l2848,6981,2848,4707,1298,4707,1298,6981xe" filled="true" fillcolor="#d2d2d2" stroked="false">
                <v:path arrowok="t"/>
                <v:fill type="solid"/>
              </v:shape>
            </v:group>
            <v:group style="position:absolute;left:10757;top:5497;width:2;height:705" coordorigin="10757,5497" coordsize="2,705">
              <v:shape style="position:absolute;left:10757;top:5497;width:2;height:705" coordorigin="10757,5497" coordsize="0,705" path="m10757,5497l10757,6201e" filled="false" stroked="true" strokeweight="1.140pt" strokecolor="#ffffff">
                <v:path arrowok="t"/>
              </v:shape>
            </v:group>
            <v:group style="position:absolute;left:10768;top:5848;width:1071;height:353" coordorigin="10768,5848" coordsize="1071,353">
              <v:shape style="position:absolute;left:10768;top:5848;width:1071;height:353" coordorigin="10768,5848" coordsize="1071,353" path="m10768,6201l11839,6201,11839,5848,10768,5848,10768,6201xe" filled="true" fillcolor="#ffffff" stroked="false">
                <v:path arrowok="t"/>
                <v:fill type="solid"/>
              </v:shape>
            </v:group>
            <v:group style="position:absolute;left:2859;top:4712;width:1550;height:2" coordorigin="2859,4712" coordsize="1550,2">
              <v:shape style="position:absolute;left:2859;top:4712;width:1550;height:2" coordorigin="2859,4712" coordsize="1550,0" path="m2859,4712l4408,4712e" filled="false" stroked="true" strokeweight=".48pt" strokecolor="#000000">
                <v:path arrowok="t"/>
              </v:shape>
            </v:group>
            <v:group style="position:absolute;left:4418;top:4712;width:1116;height:2" coordorigin="4418,4712" coordsize="1116,2">
              <v:shape style="position:absolute;left:4418;top:4712;width:1116;height:2" coordorigin="4418,4712" coordsize="1116,0" path="m4418,4712l5534,4712e" filled="false" stroked="true" strokeweight=".48pt" strokecolor="#000000">
                <v:path arrowok="t"/>
              </v:shape>
            </v:group>
            <v:group style="position:absolute;left:5543;top:4712;width:5193;height:2" coordorigin="5543,4712" coordsize="5193,2">
              <v:shape style="position:absolute;left:5543;top:4712;width:5193;height:2" coordorigin="5543,4712" coordsize="5193,0" path="m5543,4712l10736,4712e" filled="false" stroked="true" strokeweight=".48pt" strokecolor="#000000">
                <v:path arrowok="t"/>
              </v:shape>
            </v:group>
            <v:group style="position:absolute;left:10746;top:4712;width:1116;height:2" coordorigin="10746,4712" coordsize="1116,2">
              <v:shape style="position:absolute;left:10746;top:4712;width:1116;height:2" coordorigin="10746,4712" coordsize="1116,0" path="m10746,4712l11862,4712e" filled="false" stroked="true" strokeweight=".48pt" strokecolor="#000000">
                <v:path arrowok="t"/>
              </v:shape>
            </v:group>
            <v:group style="position:absolute;left:11871;top:4712;width:1113;height:2" coordorigin="11871,4712" coordsize="1113,2">
              <v:shape style="position:absolute;left:11871;top:4712;width:1113;height:2" coordorigin="11871,4712" coordsize="1113,0" path="m11871,4712l12984,4712e" filled="false" stroked="true" strokeweight=".48pt" strokecolor="#000000">
                <v:path arrowok="t"/>
              </v:shape>
            </v:group>
            <v:group style="position:absolute;left:12993;top:4712;width:2547;height:2" coordorigin="12993,4712" coordsize="2547,2">
              <v:shape style="position:absolute;left:12993;top:4712;width:2547;height:2" coordorigin="12993,4712" coordsize="2547,0" path="m12993,4712l15540,4712e" filled="false" stroked="true" strokeweight=".48pt" strokecolor="#000000">
                <v:path arrowok="t"/>
              </v:shape>
            </v:group>
            <v:group style="position:absolute;left:1298;top:6981;width:1550;height:1651" coordorigin="1298,6981" coordsize="1550,1651">
              <v:shape style="position:absolute;left:1298;top:6981;width:1550;height:1651" coordorigin="1298,6981" coordsize="1550,1651" path="m1298,8632l2848,8632,2848,6981,1298,6981,1298,8632xe" filled="true" fillcolor="#d2d2d2" stroked="false">
                <v:path arrowok="t"/>
                <v:fill type="solid"/>
              </v:shape>
            </v:group>
            <v:group style="position:absolute;left:2859;top:6986;width:1550;height:2" coordorigin="2859,6986" coordsize="1550,2">
              <v:shape style="position:absolute;left:2859;top:6986;width:1550;height:2" coordorigin="2859,6986" coordsize="1550,0" path="m2859,6986l4408,6986e" filled="false" stroked="true" strokeweight=".47998pt" strokecolor="#000000">
                <v:path arrowok="t"/>
              </v:shape>
            </v:group>
            <v:group style="position:absolute;left:4418;top:6986;width:1116;height:2" coordorigin="4418,6986" coordsize="1116,2">
              <v:shape style="position:absolute;left:4418;top:6986;width:1116;height:2" coordorigin="4418,6986" coordsize="1116,0" path="m4418,6986l5534,6986e" filled="false" stroked="true" strokeweight=".47998pt" strokecolor="#000000">
                <v:path arrowok="t"/>
              </v:shape>
            </v:group>
            <v:group style="position:absolute;left:5543;top:6986;width:5193;height:2" coordorigin="5543,6986" coordsize="5193,2">
              <v:shape style="position:absolute;left:5543;top:6986;width:5193;height:2" coordorigin="5543,6986" coordsize="5193,0" path="m5543,6986l10736,6986e" filled="false" stroked="true" strokeweight=".47998pt" strokecolor="#000000">
                <v:path arrowok="t"/>
              </v:shape>
            </v:group>
            <v:group style="position:absolute;left:10746;top:6986;width:1116;height:2" coordorigin="10746,6986" coordsize="1116,2">
              <v:shape style="position:absolute;left:10746;top:6986;width:1116;height:2" coordorigin="10746,6986" coordsize="1116,0" path="m10746,6986l11862,6986e" filled="false" stroked="true" strokeweight=".47998pt" strokecolor="#000000">
                <v:path arrowok="t"/>
              </v:shape>
            </v:group>
            <v:group style="position:absolute;left:11871;top:6986;width:1113;height:2" coordorigin="11871,6986" coordsize="1113,2">
              <v:shape style="position:absolute;left:11871;top:6986;width:1113;height:2" coordorigin="11871,6986" coordsize="1113,0" path="m11871,6986l12984,6986e" filled="false" stroked="true" strokeweight=".47998pt" strokecolor="#000000">
                <v:path arrowok="t"/>
              </v:shape>
            </v:group>
            <v:group style="position:absolute;left:12993;top:6986;width:2547;height:2" coordorigin="12993,6986" coordsize="2547,2">
              <v:shape style="position:absolute;left:12993;top:6986;width:2547;height:2" coordorigin="12993,6986" coordsize="2547,0" path="m12993,6986l15540,6986e" filled="false" stroked="true" strokeweight=".47998pt" strokecolor="#000000">
                <v:path arrowok="t"/>
              </v:shape>
            </v:group>
            <v:group style="position:absolute;left:1298;top:8632;width:1550;height:1650" coordorigin="1298,8632" coordsize="1550,1650">
              <v:shape style="position:absolute;left:1298;top:8632;width:1550;height:1650" coordorigin="1298,8632" coordsize="1550,1650" path="m1298,10282l2848,10282,2848,8632,1298,8632,1298,10282xe" filled="true" fillcolor="#d2d2d2" stroked="false">
                <v:path arrowok="t"/>
                <v:fill type="solid"/>
              </v:shape>
            </v:group>
            <v:group style="position:absolute;left:4418;top:8641;width:1116;height:468" coordorigin="4418,8641" coordsize="1116,468">
              <v:shape style="position:absolute;left:4418;top:8641;width:1116;height:468" coordorigin="4418,8641" coordsize="1116,468" path="m4418,9109l5534,9109,5534,8641,4418,8641,4418,9109xe" filled="true" fillcolor="#ffffff" stroked="false">
                <v:path arrowok="t"/>
                <v:fill type="solid"/>
              </v:shape>
            </v:group>
            <v:group style="position:absolute;left:4429;top:9109;width:2;height:705" coordorigin="4429,9109" coordsize="2,705">
              <v:shape style="position:absolute;left:4429;top:9109;width:2;height:705" coordorigin="4429,9109" coordsize="0,705" path="m4429,9109l4429,9814e" filled="false" stroked="true" strokeweight="1.140pt" strokecolor="#ffffff">
                <v:path arrowok="t"/>
              </v:shape>
            </v:group>
            <v:group style="position:absolute;left:4418;top:9814;width:1116;height:468" coordorigin="4418,9814" coordsize="1116,468">
              <v:shape style="position:absolute;left:4418;top:9814;width:1116;height:468" coordorigin="4418,9814" coordsize="1116,468" path="m4418,10282l5534,10282,5534,9814,4418,9814,4418,10282xe" filled="true" fillcolor="#ffffff" stroked="false">
                <v:path arrowok="t"/>
                <v:fill type="solid"/>
              </v:shape>
            </v:group>
            <v:group style="position:absolute;left:4440;top:9109;width:1071;height:352" coordorigin="4440,9109" coordsize="1071,352">
              <v:shape style="position:absolute;left:4440;top:9109;width:1071;height:352" coordorigin="4440,9109" coordsize="1071,352" path="m4440,9461l5511,9461,5511,9109,4440,9109,4440,9461xe" filled="true" fillcolor="#ffffff" stroked="false">
                <v:path arrowok="t"/>
                <v:fill type="solid"/>
              </v:shape>
            </v:group>
            <v:group style="position:absolute;left:4440;top:9461;width:1071;height:353" coordorigin="4440,9461" coordsize="1071,353">
              <v:shape style="position:absolute;left:4440;top:9461;width:1071;height:353" coordorigin="4440,9461" coordsize="1071,353" path="m4440,9814l5511,9814,5511,9461,4440,9461,4440,9814xe" filled="true" fillcolor="#ffffff" stroked="false">
                <v:path arrowok="t"/>
                <v:fill type="solid"/>
              </v:shape>
            </v:group>
            <v:group style="position:absolute;left:2859;top:8636;width:1550;height:2" coordorigin="2859,8636" coordsize="1550,2">
              <v:shape style="position:absolute;left:2859;top:8636;width:1550;height:2" coordorigin="2859,8636" coordsize="1550,0" path="m2859,8636l4408,8636e" filled="false" stroked="true" strokeweight=".48001pt" strokecolor="#000000">
                <v:path arrowok="t"/>
              </v:shape>
            </v:group>
            <v:group style="position:absolute;left:4418;top:8636;width:1116;height:2" coordorigin="4418,8636" coordsize="1116,2">
              <v:shape style="position:absolute;left:4418;top:8636;width:1116;height:2" coordorigin="4418,8636" coordsize="1116,0" path="m4418,8636l5534,8636e" filled="false" stroked="true" strokeweight=".48001pt" strokecolor="#000000">
                <v:path arrowok="t"/>
              </v:shape>
            </v:group>
            <v:group style="position:absolute;left:5543;top:8636;width:5193;height:2" coordorigin="5543,8636" coordsize="5193,2">
              <v:shape style="position:absolute;left:5543;top:8636;width:5193;height:2" coordorigin="5543,8636" coordsize="5193,0" path="m5543,8636l10736,8636e" filled="false" stroked="true" strokeweight=".48001pt" strokecolor="#000000">
                <v:path arrowok="t"/>
              </v:shape>
            </v:group>
            <v:group style="position:absolute;left:10746;top:8636;width:1116;height:2" coordorigin="10746,8636" coordsize="1116,2">
              <v:shape style="position:absolute;left:10746;top:8636;width:1116;height:2" coordorigin="10746,8636" coordsize="1116,0" path="m10746,8636l11862,8636e" filled="false" stroked="true" strokeweight=".48001pt" strokecolor="#000000">
                <v:path arrowok="t"/>
              </v:shape>
            </v:group>
            <v:group style="position:absolute;left:11871;top:8636;width:1113;height:2" coordorigin="11871,8636" coordsize="1113,2">
              <v:shape style="position:absolute;left:11871;top:8636;width:1113;height:2" coordorigin="11871,8636" coordsize="1113,0" path="m11871,8636l12984,8636e" filled="false" stroked="true" strokeweight=".48001pt" strokecolor="#000000">
                <v:path arrowok="t"/>
              </v:shape>
            </v:group>
            <v:group style="position:absolute;left:12993;top:8636;width:2547;height:2" coordorigin="12993,8636" coordsize="2547,2">
              <v:shape style="position:absolute;left:12993;top:8636;width:2547;height:2" coordorigin="12993,8636" coordsize="2547,0" path="m12993,8636l15540,8636e" filled="false" stroked="true" strokeweight=".48001pt" strokecolor="#000000">
                <v:path arrowok="t"/>
              </v:shape>
            </v:group>
            <v:group style="position:absolute;left:1298;top:10282;width:1550;height:362" coordorigin="1298,10282" coordsize="1550,362">
              <v:shape style="position:absolute;left:1298;top:10282;width:1550;height:362" coordorigin="1298,10282" coordsize="1550,362" path="m1298,10643l2848,10643,2848,10282,1298,10282,1298,10643xe" filled="true" fillcolor="#d2d2d2" stroked="false">
                <v:path arrowok="t"/>
                <v:fill type="solid"/>
              </v:shape>
            </v:group>
            <v:group style="position:absolute;left:2859;top:10286;width:1550;height:2" coordorigin="2859,10286" coordsize="1550,2">
              <v:shape style="position:absolute;left:2859;top:10286;width:1550;height:2" coordorigin="2859,10286" coordsize="1550,0" path="m2859,10286l4408,10286e" filled="false" stroked="true" strokeweight=".47998pt" strokecolor="#000000">
                <v:path arrowok="t"/>
              </v:shape>
            </v:group>
            <v:group style="position:absolute;left:4418;top:10286;width:1116;height:2" coordorigin="4418,10286" coordsize="1116,2">
              <v:shape style="position:absolute;left:4418;top:10286;width:1116;height:2" coordorigin="4418,10286" coordsize="1116,0" path="m4418,10286l5534,10286e" filled="false" stroked="true" strokeweight=".47998pt" strokecolor="#000000">
                <v:path arrowok="t"/>
              </v:shape>
            </v:group>
            <v:group style="position:absolute;left:5543;top:10286;width:5193;height:2" coordorigin="5543,10286" coordsize="5193,2">
              <v:shape style="position:absolute;left:5543;top:10286;width:5193;height:2" coordorigin="5543,10286" coordsize="5193,0" path="m5543,10286l10736,10286e" filled="false" stroked="true" strokeweight=".47998pt" strokecolor="#000000">
                <v:path arrowok="t"/>
              </v:shape>
            </v:group>
            <v:group style="position:absolute;left:10746;top:10286;width:1116;height:2" coordorigin="10746,10286" coordsize="1116,2">
              <v:shape style="position:absolute;left:10746;top:10286;width:1116;height:2" coordorigin="10746,10286" coordsize="1116,0" path="m10746,10286l11862,10286e" filled="false" stroked="true" strokeweight=".47998pt" strokecolor="#000000">
                <v:path arrowok="t"/>
              </v:shape>
            </v:group>
            <v:group style="position:absolute;left:11871;top:10286;width:1113;height:2" coordorigin="11871,10286" coordsize="1113,2">
              <v:shape style="position:absolute;left:11871;top:10286;width:1113;height:2" coordorigin="11871,10286" coordsize="1113,0" path="m11871,10286l12984,10286e" filled="false" stroked="true" strokeweight=".47998pt" strokecolor="#000000">
                <v:path arrowok="t"/>
              </v:shape>
            </v:group>
            <v:group style="position:absolute;left:12993;top:10286;width:2547;height:2" coordorigin="12993,10286" coordsize="2547,2">
              <v:shape style="position:absolute;left:12993;top:10286;width:2547;height:2" coordorigin="12993,10286" coordsize="2547,0" path="m12993,10286l15540,10286e" filled="false" stroked="true" strokeweight=".47998pt" strokecolor="#000000">
                <v:path arrowok="t"/>
              </v:shape>
            </v:group>
            <v:group style="position:absolute;left:1292;top:1134;width:2;height:9520" coordorigin="1292,1134" coordsize="2,9520">
              <v:shape style="position:absolute;left:1292;top:1134;width:2;height:9520" coordorigin="1292,1134" coordsize="0,9520" path="m1292,1134l1292,10654e" filled="false" stroked="true" strokeweight=".48pt" strokecolor="#000000">
                <v:path arrowok="t"/>
              </v:shape>
            </v:group>
            <v:group style="position:absolute;left:1297;top:10649;width:1552;height:2" coordorigin="1297,10649" coordsize="1552,2">
              <v:shape style="position:absolute;left:1297;top:10649;width:1552;height:2" coordorigin="1297,10649" coordsize="1552,0" path="m1297,10649l2849,10649e" filled="false" stroked="true" strokeweight=".47998pt" strokecolor="#000000">
                <v:path arrowok="t"/>
              </v:shape>
            </v:group>
            <v:group style="position:absolute;left:2854;top:1134;width:2;height:9520" coordorigin="2854,1134" coordsize="2,9520">
              <v:shape style="position:absolute;left:2854;top:1134;width:2;height:9520" coordorigin="2854,1134" coordsize="0,9520" path="m2854,1134l2854,10654e" filled="false" stroked="true" strokeweight=".48001pt" strokecolor="#000000">
                <v:path arrowok="t"/>
              </v:shape>
            </v:group>
            <v:group style="position:absolute;left:2859;top:10649;width:1550;height:2" coordorigin="2859,10649" coordsize="1550,2">
              <v:shape style="position:absolute;left:2859;top:10649;width:1550;height:2" coordorigin="2859,10649" coordsize="1550,0" path="m2859,10649l4408,10649e" filled="false" stroked="true" strokeweight=".47998pt" strokecolor="#000000">
                <v:path arrowok="t"/>
              </v:shape>
            </v:group>
            <v:group style="position:absolute;left:4413;top:1134;width:2;height:9520" coordorigin="4413,1134" coordsize="2,9520">
              <v:shape style="position:absolute;left:4413;top:1134;width:2;height:9520" coordorigin="4413,1134" coordsize="0,9520" path="m4413,1134l4413,10654e" filled="false" stroked="true" strokeweight=".48pt" strokecolor="#000000">
                <v:path arrowok="t"/>
              </v:shape>
            </v:group>
            <v:group style="position:absolute;left:4418;top:10649;width:1116;height:2" coordorigin="4418,10649" coordsize="1116,2">
              <v:shape style="position:absolute;left:4418;top:10649;width:1116;height:2" coordorigin="4418,10649" coordsize="1116,0" path="m4418,10649l5534,10649e" filled="false" stroked="true" strokeweight=".47998pt" strokecolor="#000000">
                <v:path arrowok="t"/>
              </v:shape>
            </v:group>
            <v:group style="position:absolute;left:5538;top:1134;width:2;height:9520" coordorigin="5538,1134" coordsize="2,9520">
              <v:shape style="position:absolute;left:5538;top:1134;width:2;height:9520" coordorigin="5538,1134" coordsize="0,9520" path="m5538,1134l5538,10654e" filled="false" stroked="true" strokeweight=".48001pt" strokecolor="#000000">
                <v:path arrowok="t"/>
              </v:shape>
            </v:group>
            <v:group style="position:absolute;left:5543;top:10649;width:5193;height:2" coordorigin="5543,10649" coordsize="5193,2">
              <v:shape style="position:absolute;left:5543;top:10649;width:5193;height:2" coordorigin="5543,10649" coordsize="5193,0" path="m5543,10649l10736,10649e" filled="false" stroked="true" strokeweight=".47998pt" strokecolor="#000000">
                <v:path arrowok="t"/>
              </v:shape>
            </v:group>
            <v:group style="position:absolute;left:10741;top:1134;width:2;height:9520" coordorigin="10741,1134" coordsize="2,9520">
              <v:shape style="position:absolute;left:10741;top:1134;width:2;height:9520" coordorigin="10741,1134" coordsize="0,9520" path="m10741,1134l10741,10654e" filled="false" stroked="true" strokeweight=".47998pt" strokecolor="#000000">
                <v:path arrowok="t"/>
              </v:shape>
            </v:group>
            <v:group style="position:absolute;left:10746;top:10649;width:1116;height:2" coordorigin="10746,10649" coordsize="1116,2">
              <v:shape style="position:absolute;left:10746;top:10649;width:1116;height:2" coordorigin="10746,10649" coordsize="1116,0" path="m10746,10649l11862,10649e" filled="false" stroked="true" strokeweight=".47998pt" strokecolor="#000000">
                <v:path arrowok="t"/>
              </v:shape>
            </v:group>
            <v:group style="position:absolute;left:11866;top:1134;width:2;height:9520" coordorigin="11866,1134" coordsize="2,9520">
              <v:shape style="position:absolute;left:11866;top:1134;width:2;height:9520" coordorigin="11866,1134" coordsize="0,9520" path="m11866,1134l11866,10654e" filled="false" stroked="true" strokeweight=".47998pt" strokecolor="#000000">
                <v:path arrowok="t"/>
              </v:shape>
            </v:group>
            <v:group style="position:absolute;left:11871;top:10649;width:1113;height:2" coordorigin="11871,10649" coordsize="1113,2">
              <v:shape style="position:absolute;left:11871;top:10649;width:1113;height:2" coordorigin="11871,10649" coordsize="1113,0" path="m11871,10649l12984,10649e" filled="false" stroked="true" strokeweight=".47998pt" strokecolor="#000000">
                <v:path arrowok="t"/>
              </v:shape>
            </v:group>
            <v:group style="position:absolute;left:12988;top:1134;width:2;height:9520" coordorigin="12988,1134" coordsize="2,9520">
              <v:shape style="position:absolute;left:12988;top:1134;width:2;height:9520" coordorigin="12988,1134" coordsize="0,9520" path="m12988,1134l12988,10654e" filled="false" stroked="true" strokeweight=".47998pt" strokecolor="#000000">
                <v:path arrowok="t"/>
              </v:shape>
            </v:group>
            <v:group style="position:absolute;left:12993;top:10649;width:2547;height:2" coordorigin="12993,10649" coordsize="2547,2">
              <v:shape style="position:absolute;left:12993;top:10649;width:2547;height:2" coordorigin="12993,10649" coordsize="2547,0" path="m12993,10649l15540,10649e" filled="false" stroked="true" strokeweight=".47998pt" strokecolor="#000000">
                <v:path arrowok="t"/>
              </v:shape>
            </v:group>
            <v:group style="position:absolute;left:15545;top:1134;width:2;height:9520" coordorigin="15545,1134" coordsize="2,9520">
              <v:shape style="position:absolute;left:15545;top:1134;width:2;height:9520" coordorigin="15545,1134" coordsize="0,9520" path="m15545,1134l15545,10654e" filled="false" stroked="true" strokeweight=".47998pt" strokecolor="#000000">
                <v:path arrowok="t"/>
              </v:shape>
            </v:group>
            <w10:wrap type="none"/>
          </v:group>
        </w:pict>
      </w:r>
      <w:r>
        <w:rPr>
          <w:spacing w:val="-4"/>
        </w:rPr>
        <w:t>秀芳；董维；李弓；</w:t>
      </w:r>
    </w:p>
    <w:p>
      <w:pPr>
        <w:pStyle w:val="BodyText"/>
        <w:spacing w:line="240" w:lineRule="auto" w:before="77"/>
        <w:ind w:left="1701" w:right="0"/>
        <w:jc w:val="left"/>
      </w:pPr>
      <w:r>
        <w:rPr/>
        <w:t>华彧民</w:t>
      </w:r>
    </w:p>
    <w:p>
      <w:pPr>
        <w:spacing w:line="240" w:lineRule="auto" w:before="4"/>
        <w:rPr>
          <w:rFonts w:ascii="宋体" w:hAnsi="宋体" w:cs="宋体" w:eastAsia="宋体" w:hint="default"/>
          <w:sz w:val="9"/>
          <w:szCs w:val="9"/>
        </w:rPr>
      </w:pPr>
    </w:p>
    <w:p>
      <w:pPr>
        <w:pStyle w:val="BodyText"/>
        <w:tabs>
          <w:tab w:pos="4385" w:val="left" w:leader="none"/>
        </w:tabs>
        <w:spacing w:line="240" w:lineRule="auto" w:before="44"/>
        <w:ind w:left="1701" w:right="0"/>
        <w:jc w:val="left"/>
      </w:pPr>
      <w:r>
        <w:rPr/>
        <w:t>彭聪；黄海勇；赵</w:t>
      </w:r>
      <w:r>
        <w:rPr>
          <w:spacing w:val="28"/>
        </w:rPr>
        <w:t> </w:t>
      </w:r>
      <w:r>
        <w:rPr/>
        <w:t>股份减持承</w:t>
        <w:tab/>
      </w:r>
      <w:r>
        <w:rPr>
          <w:spacing w:val="-3"/>
        </w:rPr>
        <w:t>公司董事、监事、高级管理人员承诺在本次重组复牌之日起至实施</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5"/>
        </w:rPr>
        <w:t> </w:t>
      </w:r>
      <w:r>
        <w:rPr/>
        <w:t>该承诺已履行完毕，履行期间未</w:t>
      </w:r>
    </w:p>
    <w:p>
      <w:pPr>
        <w:spacing w:after="0" w:line="240" w:lineRule="auto"/>
        <w:jc w:val="left"/>
        <w:sectPr>
          <w:type w:val="continuous"/>
          <w:pgSz w:w="16840" w:h="11910" w:orient="landscape"/>
          <w:pgMar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468.145996pt;margin-top:318.339996pt;width:124.95pt;height:78pt;mso-position-horizontal-relative:page;mso-position-vertical-relative:page;z-index:-1039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准确性和完整性，</w:t>
                  </w:r>
                </w:p>
              </w:txbxContent>
            </v:textbox>
            <w10:wrap type="none"/>
          </v:shape>
        </w:pict>
      </w:r>
      <w:r>
        <w:rPr/>
        <w:pict>
          <v:group style="position:absolute;margin-left:222.020004pt;margin-top:57.180008pt;width:53.55pt;height:17.650pt;mso-position-horizontal-relative:page;mso-position-vertical-relative:page;z-index:-1039096" coordorigin="4440,1144" coordsize="1071,353">
            <v:shape style="position:absolute;left:4440;top:1144;width:1071;height:353" coordorigin="4440,1144" coordsize="1071,353" path="m4440,1496l5511,1496,5511,1144,4440,1144,4440,1496xe" filled="true" fillcolor="#ffffff" stroked="false">
              <v:path arrowok="t"/>
              <v:fill type="solid"/>
            </v:shape>
            <w10:wrap type="none"/>
          </v:group>
        </w:pict>
      </w:r>
      <w:r>
        <w:rPr/>
        <w:pict>
          <v:group style="position:absolute;margin-left:537.280029pt;margin-top:318.339996pt;width:55.8pt;height:78pt;mso-position-horizontal-relative:page;mso-position-vertical-relative:page;z-index:-1039072" coordorigin="10746,6367" coordsize="1116,1560">
            <v:shape style="position:absolute;left:10746;top:6367;width:1116;height:1560" coordorigin="10746,6367" coordsize="1116,1560" path="m10746,7927l11862,7927,11862,6367,10746,6367,10746,7927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3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nil" w:sz="6" w:space="0" w:color="auto"/>
              <w:right w:val="single" w:sz="13" w:space="0" w:color="FFFFFF"/>
            </w:tcBorders>
          </w:tcPr>
          <w:p>
            <w:pPr>
              <w:pStyle w:val="TableParagraph"/>
              <w:spacing w:line="240" w:lineRule="auto" w:before="10"/>
              <w:ind w:left="23" w:right="-44"/>
              <w:jc w:val="left"/>
              <w:rPr>
                <w:rFonts w:ascii="宋体" w:hAnsi="宋体" w:cs="宋体" w:eastAsia="宋体" w:hint="default"/>
                <w:sz w:val="18"/>
                <w:szCs w:val="18"/>
              </w:rPr>
            </w:pPr>
            <w:r>
              <w:rPr>
                <w:rFonts w:ascii="宋体" w:hAnsi="宋体" w:cs="宋体" w:eastAsia="宋体" w:hint="default"/>
                <w:spacing w:val="-8"/>
                <w:sz w:val="18"/>
                <w:szCs w:val="18"/>
              </w:rPr>
              <w:t>侠；连杰；王爱俭；</w:t>
            </w:r>
            <w:r>
              <w:rPr>
                <w:rFonts w:ascii="宋体" w:hAnsi="宋体" w:cs="宋体" w:eastAsia="宋体" w:hint="default"/>
                <w:sz w:val="18"/>
                <w:szCs w:val="18"/>
              </w:rPr>
            </w:r>
          </w:p>
        </w:tc>
        <w:tc>
          <w:tcPr>
            <w:tcW w:w="1126" w:type="dxa"/>
            <w:tcBorders>
              <w:top w:val="single" w:sz="15" w:space="0" w:color="000000"/>
              <w:left w:val="single" w:sz="13" w:space="0" w:color="FFFFFF"/>
              <w:bottom w:val="nil" w:sz="6" w:space="0" w:color="auto"/>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2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完毕期间无任何减持计划。</w:t>
            </w: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发生违背承诺的情形。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俞丽辉；韩传模；</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于秀芳；董维；李</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弓；华彧民</w:t>
            </w: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连良桂；广西泰达</w:t>
            </w: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新原股权投资有限</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4"/>
              <w:jc w:val="left"/>
              <w:rPr>
                <w:rFonts w:ascii="宋体" w:hAnsi="宋体" w:cs="宋体" w:eastAsia="宋体" w:hint="default"/>
                <w:sz w:val="18"/>
                <w:szCs w:val="18"/>
              </w:rPr>
            </w:pPr>
            <w:r>
              <w:rPr>
                <w:rFonts w:ascii="宋体" w:hAnsi="宋体" w:cs="宋体" w:eastAsia="宋体" w:hint="default"/>
                <w:sz w:val="18"/>
                <w:szCs w:val="18"/>
              </w:rPr>
              <w:t>公司；天津泰达科 技投资股份有限公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在本次重组复牌之日起至实施完毕期间无任何减持计划。</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司；西藏华毓创业</w:t>
            </w: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投资管理有限公司</w:t>
            </w: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如快马财税因未足额、按时为快马财税（包括快马财税的控股子公</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9"/>
              <w:jc w:val="left"/>
              <w:rPr>
                <w:rFonts w:ascii="宋体" w:hAnsi="宋体" w:cs="宋体" w:eastAsia="宋体" w:hint="default"/>
                <w:sz w:val="18"/>
                <w:szCs w:val="18"/>
              </w:rPr>
            </w:pPr>
            <w:r>
              <w:rPr>
                <w:rFonts w:ascii="宋体" w:hAnsi="宋体" w:cs="宋体" w:eastAsia="宋体" w:hint="default"/>
                <w:spacing w:val="-3"/>
                <w:sz w:val="18"/>
                <w:szCs w:val="18"/>
              </w:rPr>
              <w:t>司、参股公司、分公司）全体员工缴纳各项社会保险和公积金，导</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致快马财税被相关行政主管机关或司法机关要求补缴或处以罚金 </w:t>
            </w:r>
            <w:r>
              <w:rPr>
                <w:rFonts w:ascii="宋体" w:hAnsi="宋体" w:cs="宋体" w:eastAsia="宋体" w:hint="default"/>
                <w:spacing w:val="-3"/>
                <w:sz w:val="18"/>
                <w:szCs w:val="18"/>
              </w:rPr>
              <w:t>征收滞纳金或被任何他方索赔的，本基金将以现金支付的方式无条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件补足快马财税应缴差额并承担快马财税因此受到的全部经济损</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5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中国证券监督管理委员会和深圳证券交易所的有关规定</w:t>
            </w:r>
            <w:r>
              <w:rPr>
                <w:rFonts w:ascii="宋体" w:hAnsi="宋体" w:cs="宋体" w:eastAsia="宋体" w:hint="default"/>
                <w:spacing w:val="-75"/>
                <w:sz w:val="18"/>
                <w:szCs w:val="18"/>
              </w:rPr>
              <w:t>，</w:t>
            </w:r>
            <w:r>
              <w:rPr>
                <w:rFonts w:ascii="宋体" w:hAnsi="宋体" w:cs="宋体" w:eastAsia="宋体" w:hint="default"/>
                <w:sz w:val="18"/>
                <w:szCs w:val="18"/>
              </w:rPr>
              <w:t>及时披露</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有关本次交易的信息</w:t>
            </w:r>
            <w:r>
              <w:rPr>
                <w:rFonts w:ascii="宋体" w:hAnsi="宋体" w:cs="宋体" w:eastAsia="宋体" w:hint="default"/>
                <w:spacing w:val="-82"/>
                <w:sz w:val="18"/>
                <w:szCs w:val="18"/>
              </w:rPr>
              <w:t>，</w:t>
            </w:r>
            <w:r>
              <w:rPr>
                <w:rFonts w:ascii="宋体" w:hAnsi="宋体" w:cs="宋体" w:eastAsia="宋体" w:hint="default"/>
                <w:sz w:val="18"/>
                <w:szCs w:val="18"/>
              </w:rPr>
              <w:t>并保证该等信息的真实性、</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保证该等信息不存在虚假记载、误导性陈述或者重大遗漏。</w:t>
            </w:r>
            <w:r>
              <w:rPr>
                <w:rFonts w:ascii="宋体" w:hAnsi="宋体" w:cs="宋体" w:eastAsia="宋体" w:hint="default"/>
                <w:spacing w:val="-49"/>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公司向本次交易的各中介机构所提供的资料均为真实、准确、完整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3" w:right="84"/>
              <w:jc w:val="left"/>
              <w:rPr>
                <w:rFonts w:ascii="宋体" w:hAnsi="宋体" w:cs="宋体" w:eastAsia="宋体" w:hint="default"/>
                <w:sz w:val="18"/>
                <w:szCs w:val="18"/>
              </w:rPr>
            </w:pPr>
            <w:r>
              <w:rPr>
                <w:rFonts w:ascii="宋体" w:hAnsi="宋体" w:cs="宋体" w:eastAsia="宋体" w:hint="default"/>
                <w:sz w:val="18"/>
                <w:szCs w:val="18"/>
              </w:rPr>
              <w:t>霍尔果斯快马财税 管理服务有限公司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的原始书面资料或副本资料，资料的副本或复印件与其原始资料或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原件一致。所有文件的签名、印章均是真实的，不存在任何虚假记</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2"/>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0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载、误导性陈述或者重大遗漏，并对所提供资料的真实性、准确性</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和完整性承担责任。</w:t>
            </w:r>
            <w:r>
              <w:rPr>
                <w:rFonts w:ascii="宋体" w:hAnsi="宋体" w:cs="宋体" w:eastAsia="宋体" w:hint="default"/>
                <w:spacing w:val="-17"/>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、本公司为本次交易所出具的说明、承诺及</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确认均为真实、准确和完整的，不存在任何虚假记载、误导性陈述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或者重大遗漏。本公司对所提供信息的真实性、准确性和完整性承</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担个别和连带的法律责任。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霍尔果斯快马财税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该承诺已履行完毕，履行期间未</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531.039978pt;margin-top:266.559998pt;width:62.05pt;height:124.8pt;mso-position-horizontal-relative:page;mso-position-vertical-relative:page;z-index:-1039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1001"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管理服务有限公司</w:t>
            </w: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38"/>
              <w:jc w:val="left"/>
              <w:rPr>
                <w:rFonts w:ascii="宋体" w:hAnsi="宋体" w:cs="宋体" w:eastAsia="宋体" w:hint="default"/>
                <w:sz w:val="18"/>
                <w:szCs w:val="18"/>
              </w:rPr>
            </w:pPr>
            <w:r>
              <w:rPr>
                <w:rFonts w:ascii="宋体" w:hAnsi="宋体" w:cs="宋体" w:eastAsia="宋体" w:hint="default"/>
                <w:sz w:val="18"/>
                <w:szCs w:val="18"/>
              </w:rPr>
              <w:t>者立案侦查的情形。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 关的内幕交易被中国证券监督管理委员会作出行政处罚或者司法 机关依法追究刑事责任的情形。</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发生违背承诺的情形。</w:t>
            </w:r>
          </w:p>
        </w:tc>
      </w:tr>
      <w:tr>
        <w:trPr>
          <w:trHeight w:val="5706"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霍尔果斯快马财税 管理服务有限公司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、最近五年内，本公司及现任董事、监事、高级管理人员未因涉 嫌犯罪被司法机关立案侦查或涉嫌违法违规被中国证监会立案调 </w:t>
            </w:r>
            <w:r>
              <w:rPr>
                <w:rFonts w:ascii="宋体" w:hAnsi="宋体" w:cs="宋体" w:eastAsia="宋体" w:hint="default"/>
                <w:spacing w:val="-3"/>
                <w:sz w:val="18"/>
                <w:szCs w:val="18"/>
              </w:rPr>
              <w:t>查，亦不存在重大违法违规行为或损害投资者合法权益和社会公共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利益的不诚信行为。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、最近五年内，本公司及现任董事、监事 </w:t>
            </w:r>
            <w:r>
              <w:rPr>
                <w:rFonts w:ascii="宋体" w:hAnsi="宋体" w:cs="宋体" w:eastAsia="宋体" w:hint="default"/>
                <w:spacing w:val="-3"/>
                <w:sz w:val="18"/>
                <w:szCs w:val="18"/>
              </w:rPr>
              <w:t>高级管理人员不存在未按期偿还大额债务、未履行承诺、或被中国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证监会采取行政监管措施或受到证券交易所纪律处分的情况。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最近五年内，本公司是依法成立并有效存续的有限责任公司，具有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相关法律、法规、规章及规范性文件规定的签署与本次交易相关的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各项承诺、协议并享有、履行相应权利、义务的合法主体资格。</w:t>
            </w:r>
            <w:r>
              <w:rPr>
                <w:rFonts w:ascii="宋体" w:hAnsi="宋体" w:cs="宋体" w:eastAsia="宋体" w:hint="default"/>
                <w:spacing w:val="-29"/>
                <w:sz w:val="18"/>
                <w:szCs w:val="18"/>
              </w:rPr>
              <w:t> </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w:t>
            </w:r>
            <w:r>
              <w:rPr>
                <w:rFonts w:ascii="宋体" w:hAnsi="宋体" w:cs="宋体" w:eastAsia="宋体" w:hint="default"/>
                <w:spacing w:val="-85"/>
                <w:sz w:val="18"/>
                <w:szCs w:val="18"/>
              </w:rPr>
              <w:t> </w:t>
            </w:r>
            <w:r>
              <w:rPr>
                <w:rFonts w:ascii="宋体" w:hAnsi="宋体" w:cs="宋体" w:eastAsia="宋体" w:hint="default"/>
                <w:spacing w:val="-3"/>
                <w:sz w:val="18"/>
                <w:szCs w:val="18"/>
              </w:rPr>
              <w:t>最近五年内，公司合法开展生产经营活动，不存在重大违法违规事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项，现时不存在因营业期限届满、股东大会决议、合并或分立等事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项应予解散的情形，不存在因不能清偿到期债务依法宣告破产、违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反法律法规被依法吊销营业执照、责令关闭或者被撤销等事项应予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终止的情形，不存在影响公司合法存续、正常经营的其他情形。</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本公司、本公司控股股东及其控制的其他企业均不存在因涉嫌与重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大资产重组相关的内幕交易被立案调查或者立案侦查且尚未责任 </w:t>
            </w:r>
            <w:r>
              <w:rPr>
                <w:rFonts w:ascii="宋体" w:hAnsi="宋体" w:cs="宋体" w:eastAsia="宋体" w:hint="default"/>
                <w:spacing w:val="-3"/>
                <w:sz w:val="18"/>
                <w:szCs w:val="18"/>
              </w:rPr>
              <w:t>认定的情形，也不存在最近三年内被中国证监会行政处罚或司法机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关依法追究刑事责任的情形。</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848"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55.8pt;height:142.4pt;mso-position-horizontal-relative:char;mso-position-vertical-relative:line" coordorigin="0,0" coordsize="1116,2848">
                  <v:group style="position:absolute;left:0;top:0;width:1116;height:2496" coordorigin="0,0" coordsize="1116,2496">
                    <v:shape style="position:absolute;left:0;top:0;width:1116;height:2496" coordorigin="0,0" coordsize="1116,2496" path="m0,2496l1116,2496,1116,0,0,0,0,2496xe" filled="true" fillcolor="#ffffff" stroked="false">
                      <v:path arrowok="t"/>
                      <v:fill type="solid"/>
                    </v:shape>
                  </v:group>
                  <v:group style="position:absolute;left:23;top:2496;width:1071;height:352" coordorigin="23,2496" coordsize="1071,352">
                    <v:shape style="position:absolute;left:23;top:2496;width:1071;height:352" coordorigin="23,2496" coordsize="1071,352" path="m23,2848l1093,2848,1093,2496,23,2496,23,2848xe" filled="true" fillcolor="#ffffff" stroked="false">
                      <v:path arrowok="t"/>
                      <v:fill type="solid"/>
                    </v:shape>
                  </v:group>
                </v:group>
              </w:pict>
            </w:r>
            <w:r>
              <w:rPr>
                <w:rFonts w:ascii="Times New Roman" w:hAnsi="Times New Roman" w:cs="Times New Roman" w:eastAsia="Times New Roman" w:hint="default"/>
                <w:position w:val="-5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2496"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5.8pt;height:124.8pt;mso-position-horizontal-relative:char;mso-position-vertical-relative:line" coordorigin="0,0" coordsize="1116,2496">
                  <v:group style="position:absolute;left:0;top:0;width:1116;height:2496" coordorigin="0,0" coordsize="1116,2496">
                    <v:shape style="position:absolute;left:0;top:0;width:1116;height:2496" coordorigin="0,0" coordsize="1116,2496" path="m0,2496l1116,2496,1116,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285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 业；中企升亿达投 资有限公司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、在参与本次交易期间，本企业将依照相关法律、法规、规章、 </w:t>
            </w:r>
            <w:r>
              <w:rPr>
                <w:rFonts w:ascii="宋体" w:hAnsi="宋体" w:cs="宋体" w:eastAsia="宋体" w:hint="default"/>
                <w:spacing w:val="-3"/>
                <w:sz w:val="18"/>
                <w:szCs w:val="18"/>
              </w:rPr>
              <w:t>中国证券监督管理委员会和深圳证券交易所的有关规定，及时披露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有关本次重大资产购买的信息，并保证该等信息的真实性、准确性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和完整性，保证该等信息不存在虚假记载、误导性陈述或者重大遗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漏。 </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、本企业向本次交易的各中介机构所提供的资料均为真实 </w:t>
            </w:r>
            <w:r>
              <w:rPr>
                <w:rFonts w:ascii="宋体" w:hAnsi="宋体" w:cs="宋体" w:eastAsia="宋体" w:hint="default"/>
                <w:spacing w:val="-3"/>
                <w:sz w:val="18"/>
                <w:szCs w:val="18"/>
              </w:rPr>
              <w:t>准确、完整的原始书面资料或副本资料，资料的副本或复印件与其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原始资料或原件一致。所有文件的签名、印章均是真实的，不存在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任何虚假记载、误导性陈述或者重大遗漏，并对所提供资料的真实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性、准确性和完整性承担责任。</w:t>
            </w:r>
            <w:r>
              <w:rPr>
                <w:rFonts w:ascii="宋体" w:hAnsi="宋体" w:cs="宋体" w:eastAsia="宋体" w:hint="default"/>
                <w:spacing w:val="-19"/>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、本企业为本次交易所出具的说</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1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150"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200" w:left="1180" w:right="1180"/>
        </w:sectPr>
      </w:pPr>
    </w:p>
    <w:p>
      <w:pPr>
        <w:pStyle w:val="BodyText"/>
        <w:spacing w:line="319" w:lineRule="auto" w:before="87"/>
        <w:ind w:left="4386" w:right="4852"/>
        <w:jc w:val="left"/>
      </w:pPr>
      <w:r>
        <w:rPr/>
        <w:t>明、承诺及确认均为真实、准确和完整的，不存在任何虚假记载、 </w:t>
      </w:r>
      <w:r>
        <w:rPr>
          <w:spacing w:val="-3"/>
        </w:rPr>
        <w:t>误导性陈述或者重大遗漏。本企业对所提供信息的真实性、准确性</w:t>
      </w:r>
      <w:r>
        <w:rPr>
          <w:spacing w:val="-79"/>
        </w:rPr>
        <w:t> </w:t>
      </w:r>
      <w:r>
        <w:rPr>
          <w:spacing w:val="-79"/>
        </w:rPr>
      </w:r>
      <w:r>
        <w:rPr/>
        <w:t>和完整性承担个别和连带的法律责任。</w:t>
      </w:r>
    </w:p>
    <w:p>
      <w:pPr>
        <w:spacing w:after="0" w:line="319" w:lineRule="auto"/>
        <w:jc w:val="left"/>
        <w:sectPr>
          <w:pgSz w:w="16840" w:h="11910" w:orient="landscape"/>
          <w:pgMar w:header="867" w:footer="979" w:top="1060" w:bottom="1160" w:left="1180" w:right="11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left="1701" w:right="-20"/>
        <w:jc w:val="left"/>
      </w:pPr>
      <w:r>
        <w:rPr/>
        <w:t>天津泰达科技投资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10" w:lineRule="exact"/>
        <w:ind w:left="78" w:right="-20"/>
        <w:jc w:val="left"/>
      </w:pPr>
      <w:r>
        <w:rPr/>
        <w:t>其他承诺</w:t>
      </w:r>
    </w:p>
    <w:p>
      <w:pPr>
        <w:pStyle w:val="BodyText"/>
        <w:spacing w:line="314" w:lineRule="auto" w:before="107"/>
        <w:ind w:left="365" w:right="4870"/>
        <w:jc w:val="both"/>
      </w:pPr>
      <w:r>
        <w:rPr/>
        <w:br w:type="column"/>
      </w:r>
      <w:r>
        <w:rPr>
          <w:rFonts w:ascii="Times New Roman" w:hAnsi="Times New Roman" w:cs="Times New Roman" w:eastAsia="Times New Roman" w:hint="default"/>
        </w:rPr>
        <w:t>1</w:t>
      </w:r>
      <w:r>
        <w:rPr/>
        <w:t>、在参与本次交易期间，本公司将依照相关法律、法规、规章、 </w:t>
      </w:r>
      <w:r>
        <w:rPr>
          <w:spacing w:val="-3"/>
        </w:rPr>
        <w:t>中国证券监督管理委员会和深圳证券交易所的有关规定，及时披露</w:t>
      </w:r>
      <w:r>
        <w:rPr>
          <w:spacing w:val="-78"/>
        </w:rPr>
        <w:t> </w:t>
      </w:r>
      <w:r>
        <w:rPr>
          <w:spacing w:val="-78"/>
        </w:rPr>
      </w:r>
      <w:r>
        <w:rPr>
          <w:spacing w:val="-3"/>
        </w:rPr>
        <w:t>有关本次重大资产购买的信息，并保证该等信息的真实性、准确性</w:t>
      </w:r>
      <w:r>
        <w:rPr>
          <w:spacing w:val="-79"/>
        </w:rPr>
        <w:t> </w:t>
      </w:r>
      <w:r>
        <w:rPr>
          <w:spacing w:val="-79"/>
        </w:rPr>
      </w:r>
      <w:r>
        <w:rPr>
          <w:spacing w:val="-3"/>
        </w:rPr>
        <w:t>和完整性，保证该等信息不存在虚假记载、误导性陈述或者重大遗</w:t>
      </w:r>
      <w:r>
        <w:rPr>
          <w:spacing w:val="-79"/>
        </w:rPr>
        <w:t> </w:t>
      </w:r>
      <w:r>
        <w:rPr>
          <w:spacing w:val="-79"/>
        </w:rPr>
      </w:r>
      <w:r>
        <w:rPr/>
        <w:t>漏。 </w:t>
      </w:r>
      <w:r>
        <w:rPr>
          <w:rFonts w:ascii="Times New Roman" w:hAnsi="Times New Roman" w:cs="Times New Roman" w:eastAsia="Times New Roman" w:hint="default"/>
        </w:rPr>
        <w:t>2</w:t>
      </w:r>
      <w:r>
        <w:rPr/>
        <w:t>、本公司向本次交易的各中介机构所提供的资料均为真实、</w:t>
      </w:r>
    </w:p>
    <w:p>
      <w:pPr>
        <w:pStyle w:val="BodyText"/>
        <w:spacing w:line="240" w:lineRule="auto" w:before="2"/>
        <w:ind w:left="365" w:right="0"/>
        <w:jc w:val="both"/>
      </w:pPr>
      <w:r>
        <w:rPr>
          <w:spacing w:val="-3"/>
        </w:rPr>
        <w:t>准确、完整的原始书面资料或副本资料，资料的副本或复印件与其</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月</w:t>
      </w:r>
      <w:r>
        <w:rPr>
          <w:spacing w:val="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06</w:t>
      </w:r>
      <w:r>
        <w:rPr>
          <w:rFonts w:ascii="Times New Roman" w:hAnsi="Times New Roman" w:cs="Times New Roman" w:eastAsia="Times New Roman" w:hint="default"/>
          <w:spacing w:val="-2"/>
        </w:rPr>
        <w:t> </w:t>
      </w:r>
      <w:r>
        <w:rPr/>
        <w:t>月</w:t>
      </w:r>
      <w:r>
        <w:rPr>
          <w:spacing w:val="-5"/>
        </w:rPr>
        <w:t> </w:t>
      </w:r>
      <w:r>
        <w:rPr/>
        <w:t>该承诺已履行完毕，履行期间未</w:t>
      </w:r>
    </w:p>
    <w:p>
      <w:pPr>
        <w:spacing w:after="0" w:line="240" w:lineRule="auto"/>
        <w:jc w:val="both"/>
        <w:sectPr>
          <w:type w:val="continuous"/>
          <w:pgSz w:w="16840" w:h="11910" w:orient="landscape"/>
          <w:pgMar w:top="1060" w:bottom="1160" w:left="1180" w:right="1180"/>
          <w:cols w:num="3" w:equalWidth="0">
            <w:col w:w="3142" w:space="40"/>
            <w:col w:w="799" w:space="40"/>
            <w:col w:w="10459"/>
          </w:cols>
        </w:sectPr>
      </w:pPr>
    </w:p>
    <w:p>
      <w:pPr>
        <w:pStyle w:val="BodyText"/>
        <w:spacing w:line="181" w:lineRule="exact"/>
        <w:ind w:left="1701" w:right="-20"/>
        <w:jc w:val="left"/>
      </w:pPr>
      <w:r>
        <w:rPr/>
        <w:t>股份有限公司</w:t>
      </w:r>
    </w:p>
    <w:p>
      <w:pPr>
        <w:pStyle w:val="BodyText"/>
        <w:spacing w:line="195" w:lineRule="exact"/>
        <w:ind w:left="1564" w:right="-17"/>
        <w:jc w:val="left"/>
      </w:pPr>
      <w:r>
        <w:rPr>
          <w:spacing w:val="-3"/>
        </w:rPr>
        <w:br w:type="column"/>
      </w:r>
      <w:r>
        <w:rPr>
          <w:spacing w:val="-3"/>
        </w:rPr>
        <w:t>原始资料或原件一致。所有文件的签名、印章均是真实的，不存在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日</w:t>
      </w:r>
    </w:p>
    <w:p>
      <w:pPr>
        <w:pStyle w:val="BodyText"/>
        <w:spacing w:line="314" w:lineRule="auto" w:before="61"/>
        <w:ind w:left="1564" w:right="367"/>
        <w:jc w:val="left"/>
      </w:pPr>
      <w:r>
        <w:rPr>
          <w:spacing w:val="-3"/>
        </w:rPr>
        <w:t>任何虚假记载、误导性陈述或者重大遗漏，并对所提供资料的真实</w:t>
      </w:r>
      <w:r>
        <w:rPr>
          <w:spacing w:val="-79"/>
        </w:rPr>
        <w:t> </w:t>
      </w:r>
      <w:r>
        <w:rPr>
          <w:spacing w:val="-79"/>
        </w:rPr>
      </w:r>
      <w:r>
        <w:rPr/>
        <w:t>性、准确性和完整性承担责任。</w:t>
      </w:r>
      <w:r>
        <w:rPr>
          <w:spacing w:val="-49"/>
        </w:rPr>
        <w:t> </w:t>
      </w:r>
      <w:r>
        <w:rPr>
          <w:rFonts w:ascii="Times New Roman" w:hAnsi="Times New Roman" w:cs="Times New Roman" w:eastAsia="Times New Roman" w:hint="default"/>
        </w:rPr>
        <w:t>3</w:t>
      </w:r>
      <w:r>
        <w:rPr/>
        <w:t>、本公司为本次交易所出具的说 明、承诺及确认均为真实、准确和完整的，不存在任何虚假记载、 </w:t>
      </w:r>
      <w:r>
        <w:rPr>
          <w:spacing w:val="-3"/>
        </w:rPr>
        <w:t>误导性陈述或者重大遗漏。公司对所提供信息的真实性、准确性和</w:t>
      </w:r>
      <w:r>
        <w:rPr>
          <w:spacing w:val="-79"/>
        </w:rPr>
        <w:t> </w:t>
      </w:r>
      <w:r>
        <w:rPr>
          <w:spacing w:val="-79"/>
        </w:rPr>
      </w:r>
      <w:r>
        <w:rPr/>
        <w:t>完整性承担个别和连带的法律责任。</w:t>
      </w:r>
    </w:p>
    <w:p>
      <w:pPr>
        <w:pStyle w:val="BodyText"/>
        <w:spacing w:line="195" w:lineRule="exact"/>
        <w:ind w:left="682" w:right="-20"/>
        <w:jc w:val="left"/>
      </w:pPr>
      <w:r>
        <w:rPr/>
        <w:br w:type="column"/>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pStyle w:val="BodyText"/>
        <w:spacing w:line="181" w:lineRule="exact"/>
        <w:ind w:left="676" w:right="130"/>
        <w:jc w:val="left"/>
      </w:pPr>
      <w:r>
        <w:rPr/>
        <w:br w:type="column"/>
      </w:r>
      <w:r>
        <w:rPr/>
        <w:t>发生违背承诺的情形。</w:t>
      </w:r>
    </w:p>
    <w:p>
      <w:pPr>
        <w:spacing w:after="0" w:line="181" w:lineRule="exact"/>
        <w:jc w:val="left"/>
        <w:sectPr>
          <w:type w:val="continuous"/>
          <w:pgSz w:w="16840" w:h="11910" w:orient="landscape"/>
          <w:pgMar w:top="1060" w:bottom="1160" w:left="1180" w:right="1180"/>
          <w:cols w:num="4" w:equalWidth="0">
            <w:col w:w="2782" w:space="40"/>
            <w:col w:w="7172" w:space="40"/>
            <w:col w:w="1087" w:space="40"/>
            <w:col w:w="3319"/>
          </w:cols>
        </w:sectPr>
      </w:pPr>
    </w:p>
    <w:p>
      <w:pPr>
        <w:pStyle w:val="BodyText"/>
        <w:spacing w:line="316" w:lineRule="auto" w:before="110"/>
        <w:ind w:left="1701" w:right="-20"/>
        <w:jc w:val="left"/>
      </w:pPr>
      <w:r>
        <w:rPr/>
        <w:pict>
          <v:shape style="position:absolute;margin-left:196.703003pt;margin-top:2.931719pt;width:80pt;height:31.2pt;mso-position-horizontal-relative:page;mso-position-vertical-relative:paragraph;z-index:-10389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爱俭；</w:t>
                  </w:r>
                </w:p>
              </w:txbxContent>
            </v:textbox>
            <w10:wrap type="none"/>
          </v:shape>
        </w:pict>
      </w:r>
      <w:r>
        <w:rPr/>
        <w:t>彭聪；黄海勇；赵 </w:t>
      </w:r>
      <w:r>
        <w:rPr>
          <w:spacing w:val="-5"/>
        </w:rPr>
        <w:t>侠；连杰；王</w:t>
      </w:r>
    </w:p>
    <w:p>
      <w:pPr>
        <w:pStyle w:val="BodyText"/>
        <w:spacing w:line="213" w:lineRule="exact" w:before="19"/>
        <w:ind w:left="1701" w:right="-20"/>
        <w:jc w:val="left"/>
      </w:pPr>
      <w:r>
        <w:rPr/>
        <w:t>俞丽辉；韩传模；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12" w:lineRule="exact"/>
        <w:ind w:left="78" w:right="-20"/>
        <w:jc w:val="left"/>
      </w:pPr>
      <w:r>
        <w:rPr/>
        <w:t>其他承诺</w:t>
      </w:r>
    </w:p>
    <w:p>
      <w:pPr>
        <w:pStyle w:val="BodyText"/>
        <w:spacing w:line="300" w:lineRule="auto" w:before="110"/>
        <w:ind w:left="365" w:right="-19"/>
        <w:jc w:val="left"/>
      </w:pPr>
      <w:r>
        <w:rPr/>
        <w:br w:type="column"/>
      </w:r>
      <w:r>
        <w:rPr>
          <w:rFonts w:ascii="Times New Roman" w:hAnsi="Times New Roman" w:cs="Times New Roman" w:eastAsia="Times New Roman" w:hint="default"/>
        </w:rPr>
        <w:t>1</w:t>
      </w:r>
      <w:r>
        <w:rPr/>
        <w:t>、本人不存在因涉嫌本次重大资产重组相关的内幕交易被立案调 查或者立案侦查的情形。 </w:t>
      </w:r>
      <w:r>
        <w:rPr>
          <w:rFonts w:ascii="Times New Roman" w:hAnsi="Times New Roman" w:cs="Times New Roman" w:eastAsia="Times New Roman" w:hint="default"/>
        </w:rPr>
        <w:t>2</w:t>
      </w:r>
      <w:r>
        <w:rPr/>
        <w:t>、本人最近</w:t>
      </w:r>
      <w:r>
        <w:rPr>
          <w:spacing w:val="-46"/>
        </w:rPr>
        <w:t> </w:t>
      </w:r>
      <w:r>
        <w:rPr>
          <w:rFonts w:ascii="Times New Roman" w:hAnsi="Times New Roman" w:cs="Times New Roman" w:eastAsia="Times New Roman" w:hint="default"/>
        </w:rPr>
        <w:t>36 </w:t>
      </w:r>
      <w:r>
        <w:rPr/>
        <w:t>个月不存在因与重大资</w:t>
      </w:r>
    </w:p>
    <w:p>
      <w:pPr>
        <w:pStyle w:val="BodyText"/>
        <w:spacing w:line="213" w:lineRule="exact" w:before="13"/>
        <w:ind w:left="365" w:right="-19"/>
        <w:jc w:val="left"/>
      </w:pPr>
      <w:r>
        <w:rPr/>
        <w:t>产重组相关的内幕交易被中国证券监督管理委员会作出行政处罚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pStyle w:val="BodyText"/>
        <w:spacing w:line="240" w:lineRule="auto"/>
        <w:ind w:left="31"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04</w:t>
      </w:r>
      <w:r>
        <w:rPr>
          <w:rFonts w:ascii="Times New Roman" w:hAnsi="Times New Roman" w:cs="Times New Roman" w:eastAsia="Times New Roman" w:hint="default"/>
          <w:spacing w:val="-3"/>
        </w:rPr>
        <w:t> </w:t>
      </w:r>
      <w:r>
        <w:rPr/>
        <w:t>月</w:t>
      </w:r>
      <w:r>
        <w:rPr>
          <w:spacing w:val="-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06</w:t>
      </w:r>
      <w:r>
        <w:rPr>
          <w:rFonts w:ascii="Times New Roman" w:hAnsi="Times New Roman" w:cs="Times New Roman" w:eastAsia="Times New Roman" w:hint="default"/>
          <w:spacing w:val="-3"/>
        </w:rPr>
        <w:t> </w:t>
      </w:r>
      <w:r>
        <w:rPr/>
        <w:t>月</w:t>
      </w:r>
      <w:r>
        <w:rPr>
          <w:spacing w:val="-7"/>
        </w:rPr>
        <w:t> </w:t>
      </w:r>
      <w:r>
        <w:rPr/>
        <w:t>该承诺已履行完毕，履行期间未</w:t>
      </w:r>
    </w:p>
    <w:p>
      <w:pPr>
        <w:spacing w:after="0" w:line="240" w:lineRule="auto"/>
        <w:jc w:val="left"/>
        <w:sectPr>
          <w:type w:val="continuous"/>
          <w:pgSz w:w="16840" w:h="11910" w:orient="landscape"/>
          <w:pgMar w:top="1060" w:bottom="1160" w:left="1180" w:right="1180"/>
          <w:cols w:num="4" w:equalWidth="0">
            <w:col w:w="3142" w:space="40"/>
            <w:col w:w="799" w:space="40"/>
            <w:col w:w="5497" w:space="40"/>
            <w:col w:w="4922"/>
          </w:cols>
        </w:sectPr>
      </w:pPr>
    </w:p>
    <w:p>
      <w:pPr>
        <w:pStyle w:val="BodyText"/>
        <w:spacing w:line="319" w:lineRule="auto" w:before="99"/>
        <w:ind w:left="1701" w:right="-20"/>
        <w:jc w:val="left"/>
      </w:pPr>
      <w:r>
        <w:rPr/>
        <w:pict>
          <v:shape style="position:absolute;margin-left:196.703003pt;margin-top:38.141712pt;width:80pt;height:62.45pt;mso-position-horizontal-relative:page;mso-position-vertical-relative:paragraph;z-index:-10389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爱俭；</w:t>
                  </w:r>
                </w:p>
              </w:txbxContent>
            </v:textbox>
            <w10:wrap type="none"/>
          </v:shape>
        </w:pict>
      </w:r>
      <w:r>
        <w:rPr/>
        <w:t>于秀芳；董维；李 弓；华彧民</w:t>
      </w:r>
    </w:p>
    <w:p>
      <w:pPr>
        <w:pStyle w:val="BodyText"/>
        <w:spacing w:line="319" w:lineRule="auto" w:before="99"/>
        <w:ind w:left="1204" w:right="-7"/>
        <w:jc w:val="left"/>
      </w:pPr>
      <w:r>
        <w:rPr>
          <w:spacing w:val="-3"/>
        </w:rPr>
        <w:br w:type="column"/>
      </w:r>
      <w:r>
        <w:rPr>
          <w:spacing w:val="-3"/>
        </w:rPr>
        <w:t>或者司法机关依法追究刑事责任的情形。本人或控制的企业若违反</w:t>
      </w:r>
      <w:r>
        <w:rPr>
          <w:spacing w:val="-78"/>
        </w:rPr>
        <w:t> </w:t>
      </w:r>
      <w:r>
        <w:rPr>
          <w:spacing w:val="-78"/>
        </w:rPr>
      </w:r>
      <w:r>
        <w:rPr/>
        <w:t>上述承诺，本人将承担因此而给顺利办造成的一切损失。</w:t>
      </w:r>
    </w:p>
    <w:p>
      <w:pPr>
        <w:pStyle w:val="BodyText"/>
        <w:spacing w:line="194" w:lineRule="exact"/>
        <w:ind w:left="16" w:right="-19"/>
        <w:jc w:val="left"/>
      </w:pPr>
      <w:r>
        <w:rPr/>
        <w:br w:type="column"/>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194" w:lineRule="exact"/>
        <w:ind w:left="682" w:right="-20"/>
        <w:jc w:val="left"/>
      </w:pPr>
      <w:r>
        <w:rPr/>
        <w:br w:type="column"/>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pStyle w:val="BodyText"/>
        <w:spacing w:line="180" w:lineRule="exact"/>
        <w:ind w:left="676" w:right="130"/>
        <w:jc w:val="left"/>
      </w:pPr>
      <w:r>
        <w:rPr/>
        <w:br w:type="column"/>
      </w:r>
      <w:r>
        <w:rPr/>
        <w:t>发生违背承诺的情形。</w:t>
      </w:r>
    </w:p>
    <w:p>
      <w:pPr>
        <w:spacing w:after="0" w:line="180" w:lineRule="exact"/>
        <w:jc w:val="left"/>
        <w:sectPr>
          <w:type w:val="continuous"/>
          <w:pgSz w:w="16840" w:h="11910" w:orient="landscape"/>
          <w:pgMar w:top="1060" w:bottom="1160" w:left="1180" w:right="1180"/>
          <w:cols w:num="5" w:equalWidth="0">
            <w:col w:w="3142" w:space="40"/>
            <w:col w:w="6351" w:space="40"/>
            <w:col w:w="422" w:space="40"/>
            <w:col w:w="1087" w:space="40"/>
            <w:col w:w="331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316" w:lineRule="auto"/>
        <w:ind w:left="1701" w:right="-20"/>
        <w:jc w:val="left"/>
      </w:pPr>
      <w:r>
        <w:rPr/>
        <w:t>彭聪；黄海勇；赵 </w:t>
      </w:r>
      <w:r>
        <w:rPr>
          <w:spacing w:val="-5"/>
        </w:rPr>
        <w:t>侠；连杰；王</w:t>
      </w:r>
    </w:p>
    <w:p>
      <w:pPr>
        <w:pStyle w:val="BodyText"/>
        <w:spacing w:line="312" w:lineRule="auto" w:before="107"/>
        <w:ind w:left="1204" w:right="-19"/>
        <w:jc w:val="left"/>
      </w:pPr>
      <w:r>
        <w:rPr/>
        <w:br w:type="column"/>
      </w:r>
      <w:r>
        <w:rPr>
          <w:rFonts w:ascii="Times New Roman" w:hAnsi="Times New Roman" w:cs="Times New Roman" w:eastAsia="Times New Roman" w:hint="default"/>
        </w:rPr>
        <w:t>1</w:t>
      </w:r>
      <w:r>
        <w:rPr/>
        <w:t>、本人未因涉嫌犯罪被司法机关立案侦查或涉嫌违法违规被中国 </w:t>
      </w:r>
      <w:r>
        <w:rPr>
          <w:spacing w:val="-3"/>
        </w:rPr>
        <w:t>证监会立案调查，不存在行政处罚或者刑事处罚的情形，亦不存在</w:t>
      </w:r>
      <w:r>
        <w:rPr>
          <w:spacing w:val="-79"/>
        </w:rPr>
        <w:t> </w:t>
      </w:r>
      <w:r>
        <w:rPr>
          <w:spacing w:val="-79"/>
        </w:rPr>
      </w:r>
      <w:r>
        <w:rPr/>
        <w:t>重大违法违规行为或损害投资者合法权益和社会公共利益的不诚 信行为。</w:t>
      </w:r>
      <w:r>
        <w:rPr>
          <w:spacing w:val="1"/>
        </w:rPr>
        <w:t> </w:t>
      </w:r>
      <w:r>
        <w:rPr>
          <w:rFonts w:ascii="Times New Roman" w:hAnsi="Times New Roman" w:cs="Times New Roman" w:eastAsia="Times New Roman" w:hint="default"/>
          <w:spacing w:val="-3"/>
        </w:rPr>
        <w:t>2</w:t>
      </w:r>
      <w:r>
        <w:rPr>
          <w:spacing w:val="-3"/>
        </w:rPr>
        <w:t>、本人不存在未按期偿还大额债务、未履行承诺、或被</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10" w:lineRule="exact"/>
        <w:ind w:left="15"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04</w:t>
      </w:r>
      <w:r>
        <w:rPr>
          <w:rFonts w:ascii="Times New Roman" w:hAnsi="Times New Roman" w:cs="Times New Roman" w:eastAsia="Times New Roman" w:hint="default"/>
          <w:spacing w:val="-3"/>
        </w:rPr>
        <w:t> </w:t>
      </w:r>
      <w:r>
        <w:rPr/>
        <w:t>月</w:t>
      </w:r>
      <w:r>
        <w:rPr>
          <w:spacing w:val="-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06</w:t>
      </w:r>
      <w:r>
        <w:rPr>
          <w:rFonts w:ascii="Times New Roman" w:hAnsi="Times New Roman" w:cs="Times New Roman" w:eastAsia="Times New Roman" w:hint="default"/>
          <w:spacing w:val="-3"/>
        </w:rPr>
        <w:t> </w:t>
      </w:r>
      <w:r>
        <w:rPr/>
        <w:t>月</w:t>
      </w:r>
      <w:r>
        <w:rPr>
          <w:spacing w:val="-7"/>
        </w:rPr>
        <w:t> </w:t>
      </w:r>
      <w:r>
        <w:rPr/>
        <w:t>该承诺已履行完毕，履行期间未</w:t>
      </w:r>
    </w:p>
    <w:p>
      <w:pPr>
        <w:spacing w:after="0" w:line="210" w:lineRule="exact"/>
        <w:jc w:val="left"/>
        <w:sectPr>
          <w:type w:val="continuous"/>
          <w:pgSz w:w="16840" w:h="11910" w:orient="landscape"/>
          <w:pgMar w:top="1060" w:bottom="1160" w:left="1180" w:right="1180"/>
          <w:cols w:num="3" w:equalWidth="0">
            <w:col w:w="3142" w:space="40"/>
            <w:col w:w="6352" w:space="40"/>
            <w:col w:w="4906"/>
          </w:cols>
        </w:sectPr>
      </w:pPr>
    </w:p>
    <w:p>
      <w:pPr>
        <w:pStyle w:val="BodyText"/>
        <w:spacing w:line="180" w:lineRule="exact"/>
        <w:ind w:left="1701" w:right="-20"/>
        <w:jc w:val="left"/>
      </w:pPr>
      <w:r>
        <w:rPr/>
        <w:t>俞丽辉；韩传模；</w:t>
      </w:r>
    </w:p>
    <w:p>
      <w:pPr>
        <w:pStyle w:val="BodyText"/>
        <w:spacing w:line="181" w:lineRule="exact"/>
        <w:ind w:left="78" w:right="-20"/>
        <w:jc w:val="left"/>
      </w:pPr>
      <w:r>
        <w:rPr/>
        <w:br w:type="column"/>
      </w:r>
      <w:r>
        <w:rPr/>
        <w:t>其他承诺</w:t>
      </w:r>
    </w:p>
    <w:p>
      <w:pPr>
        <w:pStyle w:val="BodyText"/>
        <w:spacing w:line="141" w:lineRule="exact"/>
        <w:ind w:left="365" w:right="0"/>
        <w:jc w:val="left"/>
      </w:pPr>
      <w:r>
        <w:rPr/>
        <w:br w:type="column"/>
      </w:r>
      <w:r>
        <w:rPr/>
        <w:t>中国证监会采取行政监管措施或受到证券交易所纪律处分的情况。</w:t>
      </w:r>
    </w:p>
    <w:p>
      <w:pPr>
        <w:pStyle w:val="BodyText"/>
        <w:spacing w:line="171" w:lineRule="exact"/>
        <w:ind w:left="0" w:right="0"/>
        <w:jc w:val="righ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210" w:lineRule="exact" w:before="101"/>
        <w:ind w:left="682" w:right="-20"/>
        <w:jc w:val="left"/>
      </w:pPr>
      <w:r>
        <w:rPr/>
        <w:br w:type="column"/>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p>
      <w:pPr>
        <w:pStyle w:val="BodyText"/>
        <w:spacing w:line="210" w:lineRule="exact" w:before="101"/>
        <w:ind w:left="676" w:right="130"/>
        <w:jc w:val="left"/>
      </w:pPr>
      <w:r>
        <w:rPr/>
        <w:br w:type="column"/>
      </w:r>
      <w:r>
        <w:rPr/>
        <w:t>发生违背承诺的情形。</w:t>
      </w:r>
    </w:p>
    <w:p>
      <w:pPr>
        <w:spacing w:after="0" w:line="210" w:lineRule="exact"/>
        <w:jc w:val="left"/>
        <w:sectPr>
          <w:type w:val="continuous"/>
          <w:pgSz w:w="16840" w:h="11910" w:orient="landscape"/>
          <w:pgMar w:top="1060" w:bottom="1160" w:left="1180" w:right="1180"/>
          <w:cols w:num="5" w:equalWidth="0">
            <w:col w:w="3142" w:space="40"/>
            <w:col w:w="799" w:space="40"/>
            <w:col w:w="5973" w:space="40"/>
            <w:col w:w="1087" w:space="40"/>
            <w:col w:w="3319"/>
          </w:cols>
        </w:sectPr>
      </w:pPr>
    </w:p>
    <w:p>
      <w:pPr>
        <w:pStyle w:val="BodyText"/>
        <w:spacing w:line="180" w:lineRule="exact"/>
        <w:ind w:left="1701" w:right="-20"/>
        <w:jc w:val="left"/>
      </w:pPr>
      <w:r>
        <w:rPr/>
        <w:pict>
          <v:group style="position:absolute;margin-left:64.379997pt;margin-top:55.260006pt;width:713.1pt;height:470.65pt;mso-position-horizontal-relative:page;mso-position-vertical-relative:page;z-index:-1038928" coordorigin="1288,1105" coordsize="14262,9413">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298;top:1144;width:1550;height:978" coordorigin="1298,1144" coordsize="1550,978">
              <v:shape style="position:absolute;left:1298;top:1144;width:1550;height:978" coordorigin="1298,1144" coordsize="1550,978" path="m1298,2121l2848,2121,2848,1144,1298,1144,1298,2121xe" filled="true" fillcolor="#d2d2d2" stroked="false">
                <v:path arrowok="t"/>
                <v:fill type="solid"/>
              </v:shape>
            </v:group>
            <v:group style="position:absolute;left:10746;top:1144;width:1116;height:978" coordorigin="10746,1144" coordsize="1116,978">
              <v:shape style="position:absolute;left:10746;top:1144;width:1116;height:978" coordorigin="10746,1144" coordsize="1116,978" path="m10746,2121l11862,2121,11862,1144,10746,1144,10746,2121xe" filled="true" fillcolor="#ffffff" stroked="false">
                <v:path arrowok="t"/>
                <v:fill type="solid"/>
              </v:shape>
            </v:group>
            <v:group style="position:absolute;left:1297;top:1139;width:1552;height:2" coordorigin="1297,1139" coordsize="1552,2">
              <v:shape style="position:absolute;left:1297;top:1139;width:1552;height:2" coordorigin="1297,1139" coordsize="1552,0" path="m1297,1139l2849,1139e" filled="false" stroked="true" strokeweight=".48pt" strokecolor="#000000">
                <v:path arrowok="t"/>
              </v:shape>
            </v:group>
            <v:group style="position:absolute;left:2859;top:1139;width:1550;height:2" coordorigin="2859,1139" coordsize="1550,2">
              <v:shape style="position:absolute;left:2859;top:1139;width:1550;height:2" coordorigin="2859,1139" coordsize="1550,0" path="m2859,1139l4408,1139e" filled="false" stroked="true" strokeweight=".48pt" strokecolor="#000000">
                <v:path arrowok="t"/>
              </v:shape>
            </v:group>
            <v:group style="position:absolute;left:4418;top:1139;width:1116;height:2" coordorigin="4418,1139" coordsize="1116,2">
              <v:shape style="position:absolute;left:4418;top:1139;width:1116;height:2" coordorigin="4418,1139" coordsize="1116,0" path="m4418,1139l5534,1139e" filled="false" stroked="true" strokeweight=".48pt" strokecolor="#000000">
                <v:path arrowok="t"/>
              </v:shape>
            </v:group>
            <v:group style="position:absolute;left:5543;top:1139;width:5193;height:2" coordorigin="5543,1139" coordsize="5193,2">
              <v:shape style="position:absolute;left:5543;top:1139;width:5193;height:2" coordorigin="5543,1139" coordsize="5193,0" path="m5543,1139l10736,1139e" filled="false" stroked="true" strokeweight=".48pt" strokecolor="#000000">
                <v:path arrowok="t"/>
              </v:shape>
            </v:group>
            <v:group style="position:absolute;left:10746;top:1139;width:1116;height:2" coordorigin="10746,1139" coordsize="1116,2">
              <v:shape style="position:absolute;left:10746;top:1139;width:1116;height:2" coordorigin="10746,1139" coordsize="1116,0" path="m10746,1139l11862,1139e" filled="false" stroked="true" strokeweight=".48pt" strokecolor="#000000">
                <v:path arrowok="t"/>
              </v:shape>
            </v:group>
            <v:group style="position:absolute;left:11871;top:1139;width:1113;height:2" coordorigin="11871,1139" coordsize="1113,2">
              <v:shape style="position:absolute;left:11871;top:1139;width:1113;height:2" coordorigin="11871,1139" coordsize="1113,0" path="m11871,1139l12984,1139e" filled="false" stroked="true" strokeweight=".48pt" strokecolor="#000000">
                <v:path arrowok="t"/>
              </v:shape>
            </v:group>
            <v:group style="position:absolute;left:12993;top:1139;width:2547;height:2" coordorigin="12993,1139" coordsize="2547,2">
              <v:shape style="position:absolute;left:12993;top:1139;width:2547;height:2" coordorigin="12993,1139" coordsize="2547,0" path="m12993,1139l15540,1139e" filled="false" stroked="true" strokeweight=".48pt" strokecolor="#000000">
                <v:path arrowok="t"/>
              </v:shape>
            </v:group>
            <v:group style="position:absolute;left:1298;top:2121;width:1550;height:3835" coordorigin="1298,2121" coordsize="1550,3835">
              <v:shape style="position:absolute;left:1298;top:2121;width:1550;height:3835" coordorigin="1298,2121" coordsize="1550,3835" path="m1298,5955l2848,5955,2848,2121,1298,2121,1298,5955xe" filled="true" fillcolor="#d2d2d2" stroked="false">
                <v:path arrowok="t"/>
                <v:fill type="solid"/>
              </v:shape>
            </v:group>
            <v:group style="position:absolute;left:10746;top:2130;width:1116;height:1560" coordorigin="10746,2130" coordsize="1116,1560">
              <v:shape style="position:absolute;left:10746;top:2130;width:1116;height:1560" coordorigin="10746,2130" coordsize="1116,1560" path="m10746,3690l11862,3690,11862,2130,10746,2130,10746,3690xe" filled="true" fillcolor="#ffffff" stroked="false">
                <v:path arrowok="t"/>
                <v:fill type="solid"/>
              </v:shape>
            </v:group>
            <v:group style="position:absolute;left:10746;top:4395;width:1116;height:1561" coordorigin="10746,4395" coordsize="1116,1561">
              <v:shape style="position:absolute;left:10746;top:4395;width:1116;height:1561" coordorigin="10746,4395" coordsize="1116,1561" path="m10746,5955l11862,5955,11862,4395,10746,4395,10746,5955xe" filled="true" fillcolor="#ffffff" stroked="false">
                <v:path arrowok="t"/>
                <v:fill type="solid"/>
              </v:shape>
            </v:group>
            <v:group style="position:absolute;left:2859;top:2126;width:1550;height:2" coordorigin="2859,2126" coordsize="1550,2">
              <v:shape style="position:absolute;left:2859;top:2126;width:1550;height:2" coordorigin="2859,2126" coordsize="1550,0" path="m2859,2126l4408,2126e" filled="false" stroked="true" strokeweight=".48pt" strokecolor="#000000">
                <v:path arrowok="t"/>
              </v:shape>
            </v:group>
            <v:group style="position:absolute;left:4418;top:2126;width:1116;height:2" coordorigin="4418,2126" coordsize="1116,2">
              <v:shape style="position:absolute;left:4418;top:2126;width:1116;height:2" coordorigin="4418,2126" coordsize="1116,0" path="m4418,2126l5534,2126e" filled="false" stroked="true" strokeweight=".48pt" strokecolor="#000000">
                <v:path arrowok="t"/>
              </v:shape>
            </v:group>
            <v:group style="position:absolute;left:5543;top:2126;width:5193;height:2" coordorigin="5543,2126" coordsize="5193,2">
              <v:shape style="position:absolute;left:5543;top:2126;width:5193;height:2" coordorigin="5543,2126" coordsize="5193,0" path="m5543,2126l10736,2126e" filled="false" stroked="true" strokeweight=".48pt" strokecolor="#000000">
                <v:path arrowok="t"/>
              </v:shape>
            </v:group>
            <v:group style="position:absolute;left:10746;top:2126;width:1116;height:2" coordorigin="10746,2126" coordsize="1116,2">
              <v:shape style="position:absolute;left:10746;top:2126;width:1116;height:2" coordorigin="10746,2126" coordsize="1116,0" path="m10746,2126l11862,2126e" filled="false" stroked="true" strokeweight=".48pt" strokecolor="#000000">
                <v:path arrowok="t"/>
              </v:shape>
            </v:group>
            <v:group style="position:absolute;left:11871;top:2126;width:1113;height:2" coordorigin="11871,2126" coordsize="1113,2">
              <v:shape style="position:absolute;left:11871;top:2126;width:1113;height:2" coordorigin="11871,2126" coordsize="1113,0" path="m11871,2126l12984,2126e" filled="false" stroked="true" strokeweight=".48pt" strokecolor="#000000">
                <v:path arrowok="t"/>
              </v:shape>
            </v:group>
            <v:group style="position:absolute;left:12993;top:2126;width:2547;height:2" coordorigin="12993,2126" coordsize="2547,2">
              <v:shape style="position:absolute;left:12993;top:2126;width:2547;height:2" coordorigin="12993,2126" coordsize="2547,0" path="m12993,2126l15540,2126e" filled="false" stroked="true" strokeweight=".48pt" strokecolor="#000000">
                <v:path arrowok="t"/>
              </v:shape>
            </v:group>
            <v:group style="position:absolute;left:1298;top:5955;width:1550;height:1650" coordorigin="1298,5955" coordsize="1550,1650">
              <v:shape style="position:absolute;left:1298;top:5955;width:1550;height:1650" coordorigin="1298,5955" coordsize="1550,1650" path="m1298,7605l2848,7605,2848,5955,1298,5955,1298,7605xe" filled="true" fillcolor="#d2d2d2" stroked="false">
                <v:path arrowok="t"/>
                <v:fill type="solid"/>
              </v:shape>
            </v:group>
            <v:group style="position:absolute;left:4418;top:5965;width:1116;height:624" coordorigin="4418,5965" coordsize="1116,624">
              <v:shape style="position:absolute;left:4418;top:5965;width:1116;height:624" coordorigin="4418,5965" coordsize="1116,624" path="m4418,6589l5534,6589,5534,5965,4418,5965,4418,6589xe" filled="true" fillcolor="#ffffff" stroked="false">
                <v:path arrowok="t"/>
                <v:fill type="solid"/>
              </v:shape>
            </v:group>
            <v:group style="position:absolute;left:2859;top:5960;width:1550;height:2" coordorigin="2859,5960" coordsize="1550,2">
              <v:shape style="position:absolute;left:2859;top:5960;width:1550;height:2" coordorigin="2859,5960" coordsize="1550,0" path="m2859,5960l4408,5960e" filled="false" stroked="true" strokeweight=".48001pt" strokecolor="#000000">
                <v:path arrowok="t"/>
              </v:shape>
            </v:group>
            <v:group style="position:absolute;left:4418;top:5960;width:1116;height:2" coordorigin="4418,5960" coordsize="1116,2">
              <v:shape style="position:absolute;left:4418;top:5960;width:1116;height:2" coordorigin="4418,5960" coordsize="1116,0" path="m4418,5960l5534,5960e" filled="false" stroked="true" strokeweight=".48001pt" strokecolor="#000000">
                <v:path arrowok="t"/>
              </v:shape>
            </v:group>
            <v:group style="position:absolute;left:5543;top:5960;width:5193;height:2" coordorigin="5543,5960" coordsize="5193,2">
              <v:shape style="position:absolute;left:5543;top:5960;width:5193;height:2" coordorigin="5543,5960" coordsize="5193,0" path="m5543,5960l10736,5960e" filled="false" stroked="true" strokeweight=".48001pt" strokecolor="#000000">
                <v:path arrowok="t"/>
              </v:shape>
            </v:group>
            <v:group style="position:absolute;left:10746;top:5960;width:1116;height:2" coordorigin="10746,5960" coordsize="1116,2">
              <v:shape style="position:absolute;left:10746;top:5960;width:1116;height:2" coordorigin="10746,5960" coordsize="1116,0" path="m10746,5960l11862,5960e" filled="false" stroked="true" strokeweight=".48001pt" strokecolor="#000000">
                <v:path arrowok="t"/>
              </v:shape>
            </v:group>
            <v:group style="position:absolute;left:11871;top:5960;width:1113;height:2" coordorigin="11871,5960" coordsize="1113,2">
              <v:shape style="position:absolute;left:11871;top:5960;width:1113;height:2" coordorigin="11871,5960" coordsize="1113,0" path="m11871,5960l12984,5960e" filled="false" stroked="true" strokeweight=".48001pt" strokecolor="#000000">
                <v:path arrowok="t"/>
              </v:shape>
            </v:group>
            <v:group style="position:absolute;left:12993;top:5960;width:2547;height:2" coordorigin="12993,5960" coordsize="2547,2">
              <v:shape style="position:absolute;left:12993;top:5960;width:2547;height:2" coordorigin="12993,5960" coordsize="2547,0" path="m12993,5960l15540,5960e" filled="false" stroked="true" strokeweight=".48001pt" strokecolor="#000000">
                <v:path arrowok="t"/>
              </v:shape>
            </v:group>
            <v:group style="position:absolute;left:1298;top:7605;width:1550;height:2899" coordorigin="1298,7605" coordsize="1550,2899">
              <v:shape style="position:absolute;left:1298;top:7605;width:1550;height:2899" coordorigin="1298,7605" coordsize="1550,2899" path="m1298,10504l2848,10504,2848,7605,1298,7605,1298,10504xe" filled="true" fillcolor="#d2d2d2" stroked="false">
                <v:path arrowok="t"/>
                <v:fill type="solid"/>
              </v:shape>
            </v:group>
            <v:group style="position:absolute;left:4418;top:7615;width:1116;height:1249" coordorigin="4418,7615" coordsize="1116,1249">
              <v:shape style="position:absolute;left:4418;top:7615;width:1116;height:1249" coordorigin="4418,7615" coordsize="1116,1249" path="m4418,8863l5534,8863,5534,7615,4418,7615,4418,8863xe" filled="true" fillcolor="#ffffff" stroked="false">
                <v:path arrowok="t"/>
                <v:fill type="solid"/>
              </v:shape>
            </v:group>
            <v:group style="position:absolute;left:10757;top:8707;width:2;height:705" coordorigin="10757,8707" coordsize="2,705">
              <v:shape style="position:absolute;left:10757;top:8707;width:2;height:705" coordorigin="10757,8707" coordsize="0,705" path="m10757,8707l10757,9412e" filled="false" stroked="true" strokeweight="1.140pt" strokecolor="#ffffff">
                <v:path arrowok="t"/>
              </v:shape>
            </v:group>
            <v:group style="position:absolute;left:10746;top:9412;width:1116;height:1092" coordorigin="10746,9412" coordsize="1116,1092">
              <v:shape style="position:absolute;left:10746;top:9412;width:1116;height:1092" coordorigin="10746,9412" coordsize="1116,1092" path="m10746,10504l11862,10504,11862,9412,10746,9412,10746,10504xe" filled="true" fillcolor="#ffffff" stroked="false">
                <v:path arrowok="t"/>
                <v:fill type="solid"/>
              </v:shape>
            </v:group>
            <v:group style="position:absolute;left:2859;top:7610;width:1550;height:2" coordorigin="2859,7610" coordsize="1550,2">
              <v:shape style="position:absolute;left:2859;top:7610;width:1550;height:2" coordorigin="2859,7610" coordsize="1550,0" path="m2859,7610l4408,7610e" filled="false" stroked="true" strokeweight=".48001pt" strokecolor="#000000">
                <v:path arrowok="t"/>
              </v:shape>
            </v:group>
            <v:group style="position:absolute;left:4418;top:7610;width:1116;height:2" coordorigin="4418,7610" coordsize="1116,2">
              <v:shape style="position:absolute;left:4418;top:7610;width:1116;height:2" coordorigin="4418,7610" coordsize="1116,0" path="m4418,7610l5534,7610e" filled="false" stroked="true" strokeweight=".48001pt" strokecolor="#000000">
                <v:path arrowok="t"/>
              </v:shape>
            </v:group>
            <v:group style="position:absolute;left:5543;top:7610;width:5193;height:2" coordorigin="5543,7610" coordsize="5193,2">
              <v:shape style="position:absolute;left:5543;top:7610;width:5193;height:2" coordorigin="5543,7610" coordsize="5193,0" path="m5543,7610l10736,7610e" filled="false" stroked="true" strokeweight=".48001pt" strokecolor="#000000">
                <v:path arrowok="t"/>
              </v:shape>
            </v:group>
            <v:group style="position:absolute;left:10746;top:7610;width:1116;height:2" coordorigin="10746,7610" coordsize="1116,2">
              <v:shape style="position:absolute;left:10746;top:7610;width:1116;height:2" coordorigin="10746,7610" coordsize="1116,0" path="m10746,7610l11862,7610e" filled="false" stroked="true" strokeweight=".48001pt" strokecolor="#000000">
                <v:path arrowok="t"/>
              </v:shape>
            </v:group>
            <v:group style="position:absolute;left:11871;top:7610;width:1113;height:2" coordorigin="11871,7610" coordsize="1113,2">
              <v:shape style="position:absolute;left:11871;top:7610;width:1113;height:2" coordorigin="11871,7610" coordsize="1113,0" path="m11871,7610l12984,7610e" filled="false" stroked="true" strokeweight=".48001pt" strokecolor="#000000">
                <v:path arrowok="t"/>
              </v:shape>
            </v:group>
            <v:group style="position:absolute;left:12993;top:7610;width:2547;height:2" coordorigin="12993,7610" coordsize="2547,2">
              <v:shape style="position:absolute;left:12993;top:7610;width:2547;height:2" coordorigin="12993,7610" coordsize="2547,0" path="m12993,7610l15540,7610e" filled="false" stroked="true" strokeweight=".48001pt" strokecolor="#000000">
                <v:path arrowok="t"/>
              </v:shape>
            </v:group>
            <v:group style="position:absolute;left:1292;top:1134;width:2;height:9380" coordorigin="1292,1134" coordsize="2,9380">
              <v:shape style="position:absolute;left:1292;top:1134;width:2;height:9380" coordorigin="1292,1134" coordsize="0,9380" path="m1292,1134l1292,10513e" filled="false" stroked="true" strokeweight=".48pt" strokecolor="#000000">
                <v:path arrowok="t"/>
              </v:shape>
            </v:group>
            <v:group style="position:absolute;left:1297;top:10508;width:1552;height:2" coordorigin="1297,10508" coordsize="1552,2">
              <v:shape style="position:absolute;left:1297;top:10508;width:1552;height:2" coordorigin="1297,10508" coordsize="1552,0" path="m1297,10508l2849,10508e" filled="false" stroked="true" strokeweight=".47998pt" strokecolor="#000000">
                <v:path arrowok="t"/>
              </v:shape>
            </v:group>
            <v:group style="position:absolute;left:2854;top:1134;width:2;height:9380" coordorigin="2854,1134" coordsize="2,9380">
              <v:shape style="position:absolute;left:2854;top:1134;width:2;height:9380" coordorigin="2854,1134" coordsize="0,9380" path="m2854,1134l2854,10513e" filled="false" stroked="true" strokeweight=".48001pt" strokecolor="#000000">
                <v:path arrowok="t"/>
              </v:shape>
            </v:group>
            <v:group style="position:absolute;left:2859;top:10508;width:1550;height:2" coordorigin="2859,10508" coordsize="1550,2">
              <v:shape style="position:absolute;left:2859;top:10508;width:1550;height:2" coordorigin="2859,10508" coordsize="1550,0" path="m2859,10508l4408,10508e" filled="false" stroked="true" strokeweight=".47998pt" strokecolor="#000000">
                <v:path arrowok="t"/>
              </v:shape>
            </v:group>
            <v:group style="position:absolute;left:4413;top:1134;width:2;height:9380" coordorigin="4413,1134" coordsize="2,9380">
              <v:shape style="position:absolute;left:4413;top:1134;width:2;height:9380" coordorigin="4413,1134" coordsize="0,9380" path="m4413,1134l4413,10513e" filled="false" stroked="true" strokeweight=".48pt" strokecolor="#000000">
                <v:path arrowok="t"/>
              </v:shape>
            </v:group>
            <v:group style="position:absolute;left:4418;top:10508;width:1116;height:2" coordorigin="4418,10508" coordsize="1116,2">
              <v:shape style="position:absolute;left:4418;top:10508;width:1116;height:2" coordorigin="4418,10508" coordsize="1116,0" path="m4418,10508l5534,10508e" filled="false" stroked="true" strokeweight=".47998pt" strokecolor="#000000">
                <v:path arrowok="t"/>
              </v:shape>
            </v:group>
            <v:group style="position:absolute;left:5538;top:1134;width:2;height:9380" coordorigin="5538,1134" coordsize="2,9380">
              <v:shape style="position:absolute;left:5538;top:1134;width:2;height:9380" coordorigin="5538,1134" coordsize="0,9380" path="m5538,1134l5538,10513e" filled="false" stroked="true" strokeweight=".48001pt" strokecolor="#000000">
                <v:path arrowok="t"/>
              </v:shape>
            </v:group>
            <v:group style="position:absolute;left:5543;top:10508;width:5193;height:2" coordorigin="5543,10508" coordsize="5193,2">
              <v:shape style="position:absolute;left:5543;top:10508;width:5193;height:2" coordorigin="5543,10508" coordsize="5193,0" path="m5543,10508l10736,10508e" filled="false" stroked="true" strokeweight=".47998pt" strokecolor="#000000">
                <v:path arrowok="t"/>
              </v:shape>
            </v:group>
            <v:group style="position:absolute;left:10741;top:1134;width:2;height:9380" coordorigin="10741,1134" coordsize="2,9380">
              <v:shape style="position:absolute;left:10741;top:1134;width:2;height:9380" coordorigin="10741,1134" coordsize="0,9380" path="m10741,1134l10741,10513e" filled="false" stroked="true" strokeweight=".47998pt" strokecolor="#000000">
                <v:path arrowok="t"/>
              </v:shape>
            </v:group>
            <v:group style="position:absolute;left:10746;top:10508;width:1116;height:2" coordorigin="10746,10508" coordsize="1116,2">
              <v:shape style="position:absolute;left:10746;top:10508;width:1116;height:2" coordorigin="10746,10508" coordsize="1116,0" path="m10746,10508l11862,10508e" filled="false" stroked="true" strokeweight=".47998pt" strokecolor="#000000">
                <v:path arrowok="t"/>
              </v:shape>
            </v:group>
            <v:group style="position:absolute;left:11866;top:1134;width:2;height:9380" coordorigin="11866,1134" coordsize="2,9380">
              <v:shape style="position:absolute;left:11866;top:1134;width:2;height:9380" coordorigin="11866,1134" coordsize="0,9380" path="m11866,1134l11866,10513e" filled="false" stroked="true" strokeweight=".47998pt" strokecolor="#000000">
                <v:path arrowok="t"/>
              </v:shape>
            </v:group>
            <v:group style="position:absolute;left:11871;top:10508;width:1113;height:2" coordorigin="11871,10508" coordsize="1113,2">
              <v:shape style="position:absolute;left:11871;top:10508;width:1113;height:2" coordorigin="11871,10508" coordsize="1113,0" path="m11871,10508l12984,10508e" filled="false" stroked="true" strokeweight=".47998pt" strokecolor="#000000">
                <v:path arrowok="t"/>
              </v:shape>
            </v:group>
            <v:group style="position:absolute;left:12988;top:1134;width:2;height:9380" coordorigin="12988,1134" coordsize="2,9380">
              <v:shape style="position:absolute;left:12988;top:1134;width:2;height:9380" coordorigin="12988,1134" coordsize="0,9380" path="m12988,1134l12988,10513e" filled="false" stroked="true" strokeweight=".47998pt" strokecolor="#000000">
                <v:path arrowok="t"/>
              </v:shape>
            </v:group>
            <v:group style="position:absolute;left:12993;top:10508;width:2547;height:2" coordorigin="12993,10508" coordsize="2547,2">
              <v:shape style="position:absolute;left:12993;top:10508;width:2547;height:2" coordorigin="12993,10508" coordsize="2547,0" path="m12993,10508l15540,10508e" filled="false" stroked="true" strokeweight=".47998pt" strokecolor="#000000">
                <v:path arrowok="t"/>
              </v:shape>
            </v:group>
            <v:group style="position:absolute;left:15545;top:1134;width:2;height:9380" coordorigin="15545,1134" coordsize="2,9380">
              <v:shape style="position:absolute;left:15545;top:1134;width:2;height:9380" coordorigin="15545,1134" coordsize="0,9380" path="m15545,1134l15545,10513e" filled="false" stroked="true" strokeweight=".47998pt" strokecolor="#000000">
                <v:path arrowok="t"/>
              </v:shape>
            </v:group>
            <w10:wrap type="none"/>
          </v:group>
        </w:pict>
      </w:r>
      <w:r>
        <w:rPr/>
        <w:t>于秀芳；董维；李</w:t>
      </w:r>
    </w:p>
    <w:p>
      <w:pPr>
        <w:pStyle w:val="BodyText"/>
        <w:spacing w:line="240" w:lineRule="auto" w:before="77"/>
        <w:ind w:left="1701" w:right="-20"/>
        <w:jc w:val="left"/>
      </w:pPr>
      <w:r>
        <w:rPr/>
        <w:t>弓；华彧民</w:t>
      </w:r>
    </w:p>
    <w:p>
      <w:pPr>
        <w:pStyle w:val="BodyText"/>
        <w:spacing w:line="194" w:lineRule="exact"/>
        <w:ind w:left="1204" w:right="4852"/>
        <w:jc w:val="left"/>
      </w:pPr>
      <w:r>
        <w:rPr/>
        <w:br w:type="column"/>
      </w:r>
      <w:r>
        <w:rPr>
          <w:rFonts w:ascii="Times New Roman" w:hAnsi="Times New Roman" w:cs="Times New Roman" w:eastAsia="Times New Roman" w:hint="default"/>
        </w:rPr>
        <w:t>3</w:t>
      </w:r>
      <w:r>
        <w:rPr/>
        <w:t>、本人及其本人控制的其他企业均不存在因涉嫌与重大资产重组</w:t>
      </w:r>
    </w:p>
    <w:p>
      <w:pPr>
        <w:pStyle w:val="BodyText"/>
        <w:spacing w:line="319" w:lineRule="auto" w:before="63"/>
        <w:ind w:left="1204" w:right="4852"/>
        <w:jc w:val="left"/>
      </w:pPr>
      <w:r>
        <w:rPr/>
        <w:t>相关的内幕交易被立案调查或者立案侦查且尚未责任认定的情形， 也不存在最近三年内被中国证监会行政处罚或司法机关依法追究 刑事责任的情形。</w:t>
      </w:r>
    </w:p>
    <w:p>
      <w:pPr>
        <w:spacing w:after="0" w:line="319" w:lineRule="auto"/>
        <w:jc w:val="left"/>
        <w:sectPr>
          <w:type w:val="continuous"/>
          <w:pgSz w:w="16840" w:h="11910" w:orient="landscape"/>
          <w:pgMar w:top="1060" w:bottom="1160" w:left="1180" w:right="1180"/>
          <w:cols w:num="2" w:equalWidth="0">
            <w:col w:w="3142" w:space="40"/>
            <w:col w:w="11298"/>
          </w:cols>
        </w:sectPr>
      </w:pPr>
    </w:p>
    <w:p>
      <w:pPr>
        <w:spacing w:line="240" w:lineRule="auto" w:before="5"/>
        <w:rPr>
          <w:rFonts w:ascii="Times New Roman" w:hAnsi="Times New Roman" w:cs="Times New Roman" w:eastAsia="Times New Roman" w:hint="default"/>
          <w:sz w:val="2"/>
          <w:szCs w:val="2"/>
        </w:rPr>
      </w:pPr>
      <w:r>
        <w:rPr/>
        <w:pict>
          <v:shape style="position:absolute;margin-left:196.703003pt;margin-top:57.180008pt;width:80pt;height:85.85pt;mso-position-horizontal-relative:page;mso-position-vertical-relative:page;z-index:-1038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pStyle w:val="BodyText"/>
                    <w:spacing w:line="240" w:lineRule="auto"/>
                    <w:ind w:left="0" w:right="0"/>
                    <w:jc w:val="left"/>
                  </w:pPr>
                  <w:r>
                    <w:rPr/>
                    <w:t>爱俭；</w:t>
                  </w:r>
                </w:p>
              </w:txbxContent>
            </v:textbox>
            <w10:wrap type="none"/>
          </v:shape>
        </w:pict>
      </w:r>
      <w:r>
        <w:rPr/>
        <w:pict>
          <v:group style="position:absolute;margin-left:220.880005pt;margin-top:57.180008pt;width:55.8pt;height:85.85pt;mso-position-horizontal-relative:page;mso-position-vertical-relative:page;z-index:-1038880" coordorigin="4418,1144" coordsize="1116,1717">
            <v:shape style="position:absolute;left:4418;top:1144;width:1116;height:1717" coordorigin="4418,1144" coordsize="1116,1717" path="m4418,2860l5534,2860,5534,1144,4418,1144,4418,2860xe" filled="true" fillcolor="#ffffff" stroked="false">
              <v:path arrowok="t"/>
              <v:fill type="solid"/>
            </v:shape>
            <w10:wrap type="none"/>
          </v:group>
        </w:pict>
      </w:r>
      <w:r>
        <w:rPr/>
        <w:pict>
          <v:group style="position:absolute;margin-left:537.280029pt;margin-top:57.180008pt;width:55.8pt;height:78.05pt;mso-position-horizontal-relative:page;mso-position-vertical-relative:page;z-index:-1038856" coordorigin="10746,1144" coordsize="1116,1561">
            <v:shape style="position:absolute;left:10746;top:1144;width:1116;height:1561" coordorigin="10746,1144" coordsize="1116,1561" path="m10746,2704l11862,2704,11862,1144,10746,1144,10746,2704xe" filled="true" fillcolor="#ffffff" stroked="false">
              <v:path arrowok="t"/>
              <v:fill type="solid"/>
            </v:shape>
            <w10:wrap type="none"/>
          </v:group>
        </w:pict>
      </w:r>
      <w:r>
        <w:rPr/>
        <w:pict>
          <v:group style="position:absolute;margin-left:538.419983pt;margin-top:152.840012pt;width:53.55pt;height:17.6pt;mso-position-horizontal-relative:page;mso-position-vertical-relative:page;z-index:-1038832" coordorigin="10768,3057" coordsize="1071,352">
            <v:shape style="position:absolute;left:10768;top:3057;width:1071;height:352" coordorigin="10768,3057" coordsize="1071,352" path="m10768,3408l11839,3408,11839,3057,10768,3057,10768,3408xe" filled="true" fillcolor="#ffffff" stroked="false">
              <v:path arrowok="t"/>
              <v:fill type="solid"/>
            </v:shape>
            <w10:wrap type="none"/>
          </v:group>
        </w:pict>
      </w:r>
      <w:r>
        <w:rPr/>
        <w:pict>
          <v:group style="position:absolute;margin-left:537.280029pt;margin-top:391.360016pt;width:55.8pt;height:142.4pt;mso-position-horizontal-relative:page;mso-position-vertical-relative:page;z-index:-1038808" coordorigin="10746,7827" coordsize="1116,2848">
            <v:group style="position:absolute;left:10746;top:8179;width:1116;height:2496" coordorigin="10746,8179" coordsize="1116,2496">
              <v:shape style="position:absolute;left:10746;top:8179;width:1116;height:2496" coordorigin="10746,8179" coordsize="1116,2496" path="m10746,10675l11862,10675,11862,8179,10746,8179,10746,10675xe" filled="true" fillcolor="#ffffff" stroked="false">
                <v:path arrowok="t"/>
                <v:fill type="solid"/>
              </v:shape>
            </v:group>
            <v:group style="position:absolute;left:10768;top:7827;width:1071;height:352" coordorigin="10768,7827" coordsize="1071,352">
              <v:shape style="position:absolute;left:10768;top:7827;width:1071;height:352" coordorigin="10768,7827" coordsize="1071,352" path="m10768,8179l11839,8179,11839,7827,10768,7827,10768,8179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7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nil" w:sz="6" w:space="0" w:color="auto"/>
              <w:right w:val="single" w:sz="4" w:space="0" w:color="000000"/>
            </w:tcBorders>
          </w:tcPr>
          <w:p>
            <w:pPr/>
          </w:p>
        </w:tc>
        <w:tc>
          <w:tcPr>
            <w:tcW w:w="1126" w:type="dxa"/>
            <w:tcBorders>
              <w:top w:val="single" w:sz="15" w:space="0" w:color="000000"/>
              <w:left w:val="single" w:sz="4" w:space="0" w:color="000000"/>
              <w:bottom w:val="nil" w:sz="6" w:space="0" w:color="auto"/>
              <w:right w:val="single" w:sz="4" w:space="0" w:color="000000"/>
            </w:tcBorders>
          </w:tcPr>
          <w:p>
            <w:pPr/>
          </w:p>
        </w:tc>
        <w:tc>
          <w:tcPr>
            <w:tcW w:w="52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、在参与本次交易期间，本人将依照相关法律、法规、规章、中</w:t>
            </w:r>
          </w:p>
        </w:tc>
        <w:tc>
          <w:tcPr>
            <w:tcW w:w="1126" w:type="dxa"/>
            <w:tcBorders>
              <w:top w:val="single" w:sz="15" w:space="0" w:color="000000"/>
              <w:left w:val="single" w:sz="4" w:space="0" w:color="000000"/>
              <w:bottom w:val="nil" w:sz="6" w:space="0" w:color="auto"/>
              <w:right w:val="single" w:sz="4" w:space="0" w:color="000000"/>
            </w:tcBorders>
          </w:tcPr>
          <w:p>
            <w:pPr/>
          </w:p>
        </w:tc>
        <w:tc>
          <w:tcPr>
            <w:tcW w:w="1122" w:type="dxa"/>
            <w:tcBorders>
              <w:top w:val="single" w:sz="15" w:space="0" w:color="000000"/>
              <w:left w:val="single" w:sz="4" w:space="0" w:color="000000"/>
              <w:bottom w:val="nil" w:sz="6" w:space="0" w:color="auto"/>
              <w:right w:val="single" w:sz="4" w:space="0" w:color="000000"/>
            </w:tcBorders>
          </w:tcPr>
          <w:p>
            <w:pPr/>
          </w:p>
        </w:tc>
        <w:tc>
          <w:tcPr>
            <w:tcW w:w="2556" w:type="dxa"/>
            <w:tcBorders>
              <w:top w:val="single" w:sz="15" w:space="0" w:color="000000"/>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国证券监督管理委员会和深圳证券交易所的有关规定</w:t>
            </w:r>
            <w:r>
              <w:rPr>
                <w:rFonts w:ascii="宋体" w:hAnsi="宋体" w:cs="宋体" w:eastAsia="宋体" w:hint="default"/>
                <w:spacing w:val="-75"/>
                <w:sz w:val="18"/>
                <w:szCs w:val="18"/>
              </w:rPr>
              <w:t>，</w:t>
            </w:r>
            <w:r>
              <w:rPr>
                <w:rFonts w:ascii="宋体" w:hAnsi="宋体" w:cs="宋体" w:eastAsia="宋体" w:hint="default"/>
                <w:sz w:val="18"/>
                <w:szCs w:val="18"/>
              </w:rPr>
              <w:t>及时披露有</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关本次交易的信息，并保证该等信息的真实性、准确性和完整性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87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彭聪；黄海勇；赵 </w:t>
            </w:r>
            <w:r>
              <w:rPr>
                <w:rFonts w:ascii="宋体" w:hAnsi="宋体" w:cs="宋体" w:eastAsia="宋体" w:hint="default"/>
                <w:spacing w:val="-5"/>
                <w:sz w:val="18"/>
                <w:szCs w:val="18"/>
              </w:rPr>
              <w:t>侠；连杰；王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俞丽辉；韩传模； 于秀芳；董维；李 弓；华彧民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314" w:lineRule="auto" w:before="20"/>
              <w:ind w:left="22" w:right="-44"/>
              <w:jc w:val="both"/>
              <w:rPr>
                <w:rFonts w:ascii="宋体" w:hAnsi="宋体" w:cs="宋体" w:eastAsia="宋体" w:hint="default"/>
                <w:sz w:val="18"/>
                <w:szCs w:val="18"/>
              </w:rPr>
            </w:pPr>
            <w:r>
              <w:rPr>
                <w:rFonts w:ascii="宋体" w:hAnsi="宋体" w:cs="宋体" w:eastAsia="宋体" w:hint="default"/>
                <w:sz w:val="18"/>
                <w:szCs w:val="18"/>
              </w:rPr>
              <w:t>保证该等信息不存在虚假记载、误导性陈述或者重大遗漏。</w:t>
            </w:r>
            <w:r>
              <w:rPr>
                <w:rFonts w:ascii="宋体" w:hAnsi="宋体" w:cs="宋体" w:eastAsia="宋体" w:hint="default"/>
                <w:spacing w:val="-35"/>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、本</w:t>
            </w:r>
            <w:r>
              <w:rPr>
                <w:rFonts w:ascii="宋体" w:hAnsi="宋体" w:cs="宋体" w:eastAsia="宋体" w:hint="default"/>
                <w:spacing w:val="-26"/>
                <w:sz w:val="18"/>
                <w:szCs w:val="18"/>
              </w:rPr>
              <w:t> </w:t>
            </w:r>
            <w:r>
              <w:rPr>
                <w:rFonts w:ascii="宋体" w:hAnsi="宋体" w:cs="宋体" w:eastAsia="宋体" w:hint="default"/>
                <w:spacing w:val="-3"/>
                <w:sz w:val="18"/>
                <w:szCs w:val="18"/>
              </w:rPr>
              <w:t>人向本次交易的各中介机构所提供的资料均为真实、准确、完整的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原始书面资料或副本资料，资料的副本或复印件与其原始资料或原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件一致。所有文件的签名、印章均是真实的，不存在任何虚假记载、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误导性陈述或者重大遗漏，并对所提供资料的真实性、准确性和完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整性承担责任。</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、本人为本次交易所出具的说明、承诺及确认均</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3"/>
                <w:sz w:val="18"/>
                <w:szCs w:val="18"/>
              </w:rPr>
              <w:t>为真实、准确和完整的，不存在任何虚假记载、误导性陈述或者重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大遗漏。本人对所提供信息的真实性、准确性和完整性承担个别和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连带的法律责任。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、最近五年内，本企业及其主要管理人员未因涉嫌犯罪被司法机</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关立案侦查或涉嫌违法违规被中国证监会立案调查</w:t>
            </w:r>
            <w:r>
              <w:rPr>
                <w:rFonts w:ascii="宋体" w:hAnsi="宋体" w:cs="宋体" w:eastAsia="宋体" w:hint="default"/>
                <w:spacing w:val="-75"/>
                <w:sz w:val="18"/>
                <w:szCs w:val="18"/>
              </w:rPr>
              <w:t>，</w:t>
            </w:r>
            <w:r>
              <w:rPr>
                <w:rFonts w:ascii="宋体" w:hAnsi="宋体" w:cs="宋体" w:eastAsia="宋体" w:hint="default"/>
                <w:sz w:val="18"/>
                <w:szCs w:val="18"/>
              </w:rPr>
              <w:t>不存在行政处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罚</w:t>
            </w:r>
            <w:r>
              <w:rPr>
                <w:rFonts w:ascii="Times New Roman" w:hAnsi="Times New Roman" w:cs="Times New Roman" w:eastAsia="Times New Roman" w:hint="default"/>
                <w:sz w:val="18"/>
                <w:szCs w:val="18"/>
              </w:rPr>
              <w:t>(</w:t>
            </w:r>
            <w:r>
              <w:rPr>
                <w:rFonts w:ascii="宋体" w:hAnsi="宋体" w:cs="宋体" w:eastAsia="宋体" w:hint="default"/>
                <w:sz w:val="18"/>
                <w:szCs w:val="18"/>
              </w:rPr>
              <w:t>与证券市场明显无关的除外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或者刑事处罚的情形，亦不存在重</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大违法违规行为或损害投资者合法权益和社会公共利益的不诚信</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行为。</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、最近五年内，本企业及其主要管理人员不存在未按期偿</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3"/>
                <w:sz w:val="18"/>
                <w:szCs w:val="18"/>
              </w:rPr>
              <w:t>还大额债务、未履行承诺、或被中国证监会采取行政监管措施或受</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14"/>
                <w:sz w:val="18"/>
                <w:szCs w:val="18"/>
              </w:rPr>
              <w:t>（有限合伙）；中企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升亿达投资有限公 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13" w:space="0" w:color="FFFFFF"/>
            </w:tcBorders>
          </w:tcPr>
          <w:p>
            <w:pPr>
              <w:pStyle w:val="TableParagraph"/>
              <w:spacing w:line="312" w:lineRule="auto" w:before="20"/>
              <w:ind w:left="22" w:right="-44"/>
              <w:jc w:val="both"/>
              <w:rPr>
                <w:rFonts w:ascii="宋体" w:hAnsi="宋体" w:cs="宋体" w:eastAsia="宋体" w:hint="default"/>
                <w:sz w:val="18"/>
                <w:szCs w:val="18"/>
              </w:rPr>
            </w:pPr>
            <w:r>
              <w:rPr>
                <w:rFonts w:ascii="宋体" w:hAnsi="宋体" w:cs="宋体" w:eastAsia="宋体" w:hint="default"/>
                <w:sz w:val="18"/>
                <w:szCs w:val="18"/>
              </w:rPr>
              <w:t>到证券交易所纪律处分的情况。</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、本企业是依法成立并有效存续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的有限合伙企业，具有相关法律、法规、规章及规范性文件规定的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签署与本次交易相关的各项承诺、协议并享有、履行相应权利、义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务的合法主体资格。</w:t>
            </w:r>
            <w:r>
              <w:rPr>
                <w:rFonts w:ascii="宋体" w:hAnsi="宋体" w:cs="宋体" w:eastAsia="宋体" w:hint="default"/>
                <w:spacing w:val="-55"/>
                <w:sz w:val="18"/>
                <w:szCs w:val="18"/>
              </w:rPr>
              <w:t>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、最近五年，本企业合法开展生产经营活动，</w:t>
            </w:r>
            <w:r>
              <w:rPr>
                <w:rFonts w:ascii="宋体" w:hAnsi="宋体" w:cs="宋体" w:eastAsia="宋体" w:hint="default"/>
                <w:spacing w:val="-33"/>
                <w:sz w:val="18"/>
                <w:szCs w:val="18"/>
              </w:rPr>
              <w:t> </w:t>
            </w:r>
            <w:r>
              <w:rPr>
                <w:rFonts w:ascii="宋体" w:hAnsi="宋体" w:cs="宋体" w:eastAsia="宋体" w:hint="default"/>
                <w:spacing w:val="-3"/>
                <w:sz w:val="18"/>
                <w:szCs w:val="18"/>
              </w:rPr>
              <w:t>不存在重大违法违规事项，现时不存在因营业期限届满、股东会决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议、合并或分立等事项应予解散的情形，不存在因不能清偿到期债</w:t>
            </w:r>
          </w:p>
        </w:tc>
        <w:tc>
          <w:tcPr>
            <w:tcW w:w="1126"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务依法宣告破产、违反法律法规被依法吊销营业执照、责令关闭或</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者被撤销等事项应予终止的情形，不存在影响合伙企业合法存续</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正常经营的其他情形。</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、本企业、本企业执行事务合伙人及其控</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制的其他企业均不存在因涉嫌与重大资产重组相关的内幕交易被</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立案调查或者立案侦查且尚未责任认定的情形</w:t>
            </w:r>
            <w:r>
              <w:rPr>
                <w:rFonts w:ascii="宋体" w:hAnsi="宋体" w:cs="宋体" w:eastAsia="宋体" w:hint="default"/>
                <w:spacing w:val="-75"/>
                <w:sz w:val="18"/>
                <w:szCs w:val="18"/>
              </w:rPr>
              <w:t>，</w:t>
            </w:r>
            <w:r>
              <w:rPr>
                <w:rFonts w:ascii="宋体" w:hAnsi="宋体" w:cs="宋体" w:eastAsia="宋体" w:hint="default"/>
                <w:sz w:val="18"/>
                <w:szCs w:val="18"/>
              </w:rPr>
              <w:t>也不存在最近五年</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内被中国证监会行政处罚或司法机关依法追究刑事责任的情形。</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1180" w:right="1180"/>
        </w:sectPr>
      </w:pPr>
    </w:p>
    <w:p>
      <w:pPr>
        <w:spacing w:line="240" w:lineRule="auto" w:before="5"/>
        <w:rPr>
          <w:rFonts w:ascii="Times New Roman" w:hAnsi="Times New Roman" w:cs="Times New Roman" w:eastAsia="Times New Roman" w:hint="default"/>
          <w:sz w:val="2"/>
          <w:szCs w:val="2"/>
        </w:rPr>
      </w:pPr>
      <w:r>
        <w:rPr/>
        <w:pict>
          <v:group style="position:absolute;margin-left:537.280029pt;margin-top:202.100006pt;width:55.8pt;height:147.3pt;mso-position-horizontal-relative:page;mso-position-vertical-relative:page;z-index:-1038784" coordorigin="10746,4042" coordsize="1116,2946">
            <v:shape style="position:absolute;left:10746;top:4042;width:1116;height:2946" coordorigin="10746,4042" coordsize="1116,2946" path="m10746,6987l11862,6987,11862,4042,10746,4042,10746,6987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2913"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6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、本企业真实持有标的公司的股权，本企业已依法履行全部出资 </w:t>
            </w:r>
            <w:r>
              <w:rPr>
                <w:rFonts w:ascii="宋体" w:hAnsi="宋体" w:cs="宋体" w:eastAsia="宋体" w:hint="default"/>
                <w:spacing w:val="-3"/>
                <w:sz w:val="18"/>
                <w:szCs w:val="18"/>
              </w:rPr>
              <w:t>义务，该等股权所对应的注册资本均已按时足额出资到位，本企业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依法享有该等股权的全部法律权益。本企业所持有的该等股权资产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权属清晰，不存在任何权属纠纷，亦不存在其他法律纠纷，不存在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质押、抵押、其他担保或第三方权益或限制情形，也不存在法院或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其他有权机关冻结、查封、拍卖本公司持有该等股权之情形。本企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业持有的该等股权过户或者转移不存在法律障碍。</w:t>
            </w:r>
            <w:r>
              <w:rPr>
                <w:rFonts w:ascii="宋体" w:hAnsi="宋体" w:cs="宋体" w:eastAsia="宋体" w:hint="default"/>
                <w:spacing w:val="-3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、截至承诺函</w:t>
            </w:r>
            <w:r>
              <w:rPr>
                <w:rFonts w:ascii="宋体" w:hAnsi="宋体" w:cs="宋体" w:eastAsia="宋体" w:hint="default"/>
                <w:sz w:val="18"/>
                <w:szCs w:val="18"/>
              </w:rPr>
              <w:t> </w:t>
            </w:r>
            <w:r>
              <w:rPr>
                <w:rFonts w:ascii="宋体" w:hAnsi="宋体" w:cs="宋体" w:eastAsia="宋体" w:hint="default"/>
                <w:spacing w:val="-3"/>
                <w:sz w:val="18"/>
                <w:szCs w:val="18"/>
              </w:rPr>
              <w:t>出具日，标的公司不存在影响其合法存续的情况，不存在尚未了结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的或可预见的影响本次交易的诉讼、仲裁或行政处罚。</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2" w:right="23"/>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66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一、保证上市公司人员独立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、上市公司的高级管理人员专职在 </w:t>
            </w:r>
            <w:r>
              <w:rPr>
                <w:rFonts w:ascii="宋体" w:hAnsi="宋体" w:cs="宋体" w:eastAsia="宋体" w:hint="default"/>
                <w:spacing w:val="-3"/>
                <w:sz w:val="18"/>
                <w:szCs w:val="18"/>
              </w:rPr>
              <w:t>上市公司任职、并在上市公司领取薪酬，不会在本企业或本企业控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制的其他公司、企业或经济组织（以下统称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本企业的关联企业</w:t>
            </w:r>
            <w:r>
              <w:rPr>
                <w:rFonts w:ascii="Times New Roman" w:hAnsi="Times New Roman" w:cs="Times New Roman" w:eastAsia="Times New Roman" w:hint="default"/>
                <w:sz w:val="18"/>
                <w:szCs w:val="18"/>
              </w:rPr>
              <w:t>"</w:t>
            </w:r>
            <w:r>
              <w:rPr>
                <w:rFonts w:ascii="宋体" w:hAnsi="宋体" w:cs="宋体" w:eastAsia="宋体" w:hint="default"/>
                <w:sz w:val="18"/>
                <w:szCs w:val="18"/>
              </w:rPr>
              <w:t>） 担任除董事、监事以外的职务，保持上市公司人员的独立性。 </w:t>
            </w: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上市公司具有完整的独立的劳动、人事管理体系，该等体系独立于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本企业及本企业的关联企业。</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、本企业推荐出任上市公司董事和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高级管理人员的人选（如有）均通过合法程序进行，本企业不干预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上市公司董事会和股东大会已做出的人事任免决定。 二、保证上 </w:t>
            </w:r>
            <w:r>
              <w:rPr>
                <w:rFonts w:ascii="宋体" w:hAnsi="宋体" w:cs="宋体" w:eastAsia="宋体" w:hint="default"/>
                <w:spacing w:val="-3"/>
                <w:sz w:val="18"/>
                <w:szCs w:val="18"/>
              </w:rPr>
              <w:t>市公司资产独立、完整</w:t>
            </w:r>
            <w:r>
              <w:rPr>
                <w:rFonts w:ascii="宋体" w:hAnsi="宋体" w:cs="宋体" w:eastAsia="宋体" w:hint="default"/>
                <w:spacing w:val="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、上市公司具有完整的经营性资产，且资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产全部处于上市公司及其子公司的控制之下，并为上市公司及其子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公司独立拥有和运营。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、本企业及本企业的关联企业不违规占用 </w:t>
            </w:r>
            <w:r>
              <w:rPr>
                <w:rFonts w:ascii="宋体" w:hAnsi="宋体" w:cs="宋体" w:eastAsia="宋体" w:hint="default"/>
                <w:spacing w:val="-3"/>
                <w:sz w:val="18"/>
                <w:szCs w:val="18"/>
              </w:rPr>
              <w:t>上市公司的资金、资产及其他资源，不以上市公司的资产为本企业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或本企业的关联企业的债务提供担保。 三、保证上市公司机构独 立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、上市公司依法建立和完善法人治理结构，建立独立、完整的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组织机构。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、上市公司与本企业及本企业的关联企业之间在办公 机构和生产经营场所等方面完全分开。 四、保证上市公司业务独 立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、上市公司拥有独立开展经营活动的资产、人员、资质以及具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有独立面向市场自主经营的能力，在经营业务方面具有独立运作的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能力。</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、除通过行使合法的股东权利外，不以任何方式干预上市 公司的经营业务活动。</w:t>
            </w:r>
            <w:r>
              <w:rPr>
                <w:rFonts w:ascii="宋体" w:hAnsi="宋体" w:cs="宋体" w:eastAsia="宋体" w:hint="default"/>
                <w:spacing w:val="-2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、依据减少并规范关联交易的原则，采取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合法方式减少或消除本企业及本企业的关联企业与上市公司之间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3"/>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bl>
    <w:p>
      <w:pPr>
        <w:spacing w:after="0" w:line="316" w:lineRule="auto"/>
        <w:jc w:val="left"/>
        <w:rPr>
          <w:rFonts w:ascii="宋体" w:hAnsi="宋体" w:cs="宋体" w:eastAsia="宋体" w:hint="default"/>
          <w:sz w:val="18"/>
          <w:szCs w:val="18"/>
        </w:rPr>
        <w:sectPr>
          <w:pgSz w:w="16840" w:h="11910" w:orient="landscape"/>
          <w:pgMar w:header="867" w:footer="979" w:top="1060" w:bottom="1260" w:left="1180" w:right="118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9"/>
      </w:tblGrid>
      <w:tr>
        <w:trPr>
          <w:trHeight w:val="2873"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0"/>
              <w:ind w:left="22" w:right="22"/>
              <w:jc w:val="both"/>
              <w:rPr>
                <w:rFonts w:ascii="宋体" w:hAnsi="宋体" w:cs="宋体" w:eastAsia="宋体" w:hint="default"/>
                <w:sz w:val="18"/>
                <w:szCs w:val="18"/>
              </w:rPr>
            </w:pPr>
            <w:r>
              <w:rPr>
                <w:rFonts w:ascii="宋体" w:hAnsi="宋体" w:cs="宋体" w:eastAsia="宋体" w:hint="default"/>
                <w:spacing w:val="-3"/>
                <w:sz w:val="18"/>
                <w:szCs w:val="18"/>
              </w:rPr>
              <w:t>的关联交易；对于确有必要存在的关联交易，其关联交易价格按照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公平合理及市场化原则确定，确保上市公司及其他股东利益不受到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损害并及时履行信息披露义务。 五、保证上市公司财务独立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3"/>
                <w:sz w:val="18"/>
                <w:szCs w:val="18"/>
              </w:rPr>
              <w:t>上市公司拥有独立的财务会计部门，建立独立的财务核算体系和财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务管理制度。</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、上市公司独立在银行开户，不与本企业及本企业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的关联企业共用银行账户。</w:t>
            </w:r>
            <w:r>
              <w:rPr>
                <w:rFonts w:ascii="宋体" w:hAnsi="宋体" w:cs="宋体" w:eastAsia="宋体" w:hint="default"/>
                <w:spacing w:val="-14"/>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、上市公司独立作出财务决策，本企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业及本企业的关联企业不干预上市公司的资金使用。</w:t>
            </w:r>
            <w:r>
              <w:rPr>
                <w:rFonts w:ascii="宋体" w:hAnsi="宋体" w:cs="宋体" w:eastAsia="宋体" w:hint="default"/>
                <w:spacing w:val="-34"/>
                <w:sz w:val="18"/>
                <w:szCs w:val="18"/>
              </w:rPr>
              <w:t>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、上市公司</w:t>
            </w:r>
            <w:r>
              <w:rPr>
                <w:rFonts w:ascii="宋体" w:hAnsi="宋体" w:cs="宋体" w:eastAsia="宋体" w:hint="default"/>
                <w:sz w:val="18"/>
                <w:szCs w:val="18"/>
              </w:rPr>
              <w:t> 依法独立纳税。</w:t>
            </w:r>
            <w:r>
              <w:rPr>
                <w:rFonts w:ascii="宋体" w:hAnsi="宋体" w:cs="宋体" w:eastAsia="宋体" w:hint="default"/>
                <w:spacing w:val="-14"/>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、上市公司的财务人员独立，不在本企业及本企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业的关联企业兼职和领取报酬。</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9" w:type="dxa"/>
            <w:tcBorders>
              <w:top w:val="single" w:sz="15" w:space="0" w:color="000000"/>
              <w:left w:val="single" w:sz="4" w:space="0" w:color="000000"/>
              <w:bottom w:val="single" w:sz="4" w:space="0" w:color="000000"/>
              <w:right w:val="single" w:sz="4" w:space="0" w:color="000000"/>
            </w:tcBorders>
          </w:tcPr>
          <w:p>
            <w:pPr/>
          </w:p>
        </w:tc>
      </w:tr>
      <w:tr>
        <w:trPr>
          <w:trHeight w:val="1650"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14"/>
                <w:sz w:val="18"/>
                <w:szCs w:val="18"/>
              </w:rPr>
              <w:t>（有限合伙）；中企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升亿达投资有限公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、本企业不存在因涉嫌本次重大资产重组相关的内幕交易被立案 调查或者立案侦查的情形。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 大资产重组相关的内幕交易被中国证券监督管理委员会作出行政 处罚或者司法机关依法追究刑事责任的情形。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3"/>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210"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刘宗业；赵鑫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、最近五年内，本人未因涉嫌犯罪被司法机关立案侦查或涉嫌违 法违规被中国证监会立案调查，不存在行政处罚</w:t>
            </w:r>
            <w:r>
              <w:rPr>
                <w:rFonts w:ascii="Times New Roman" w:hAnsi="Times New Roman" w:cs="Times New Roman" w:eastAsia="Times New Roman" w:hint="default"/>
                <w:sz w:val="18"/>
                <w:szCs w:val="18"/>
              </w:rPr>
              <w:t>(</w:t>
            </w:r>
            <w:r>
              <w:rPr>
                <w:rFonts w:ascii="宋体" w:hAnsi="宋体" w:cs="宋体" w:eastAsia="宋体" w:hint="default"/>
                <w:sz w:val="18"/>
                <w:szCs w:val="18"/>
              </w:rPr>
              <w:t>与证券市场明显 无关的除外</w:t>
            </w:r>
            <w:r>
              <w:rPr>
                <w:rFonts w:ascii="Times New Roman" w:hAnsi="Times New Roman" w:cs="Times New Roman" w:eastAsia="Times New Roman" w:hint="default"/>
                <w:sz w:val="18"/>
                <w:szCs w:val="18"/>
              </w:rPr>
              <w:t>)</w:t>
            </w:r>
            <w:r>
              <w:rPr>
                <w:rFonts w:ascii="宋体" w:hAnsi="宋体" w:cs="宋体" w:eastAsia="宋体" w:hint="default"/>
                <w:sz w:val="18"/>
                <w:szCs w:val="18"/>
              </w:rPr>
              <w:t>或者刑事处罚的情形，亦不存在重大违法违规行为或 损害投资者合法权益和社会公共利益的不诚信行为。</w:t>
            </w:r>
            <w:r>
              <w:rPr>
                <w:rFonts w:ascii="宋体" w:hAnsi="宋体" w:cs="宋体" w:eastAsia="宋体" w:hint="default"/>
                <w:spacing w:val="-34"/>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、最近五年</w:t>
            </w:r>
            <w:r>
              <w:rPr>
                <w:rFonts w:ascii="宋体" w:hAnsi="宋体" w:cs="宋体" w:eastAsia="宋体" w:hint="default"/>
                <w:sz w:val="18"/>
                <w:szCs w:val="18"/>
              </w:rPr>
              <w:t> </w:t>
            </w:r>
            <w:r>
              <w:rPr>
                <w:rFonts w:ascii="宋体" w:hAnsi="宋体" w:cs="宋体" w:eastAsia="宋体" w:hint="default"/>
                <w:spacing w:val="-3"/>
                <w:sz w:val="18"/>
                <w:szCs w:val="18"/>
              </w:rPr>
              <w:t>内，本人不存在未按期偿还大额债务、未履行承诺、或被中国证监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会采取行政监管措施或受到证券交易所纪律处分的情况。</w:t>
            </w:r>
            <w:r>
              <w:rPr>
                <w:rFonts w:ascii="宋体" w:hAnsi="宋体" w:cs="宋体" w:eastAsia="宋体" w:hint="default"/>
                <w:spacing w:val="-36"/>
                <w:sz w:val="18"/>
                <w:szCs w:val="18"/>
              </w:rPr>
              <w:t> </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、本人</w:t>
            </w:r>
            <w:r>
              <w:rPr>
                <w:rFonts w:ascii="宋体" w:hAnsi="宋体" w:cs="宋体" w:eastAsia="宋体" w:hint="default"/>
                <w:sz w:val="18"/>
                <w:szCs w:val="18"/>
              </w:rPr>
              <w:t> 及其本人控制的其他企业均不存在因涉嫌与重大资产重组相关的 </w:t>
            </w:r>
            <w:r>
              <w:rPr>
                <w:rFonts w:ascii="宋体" w:hAnsi="宋体" w:cs="宋体" w:eastAsia="宋体" w:hint="default"/>
                <w:spacing w:val="-3"/>
                <w:sz w:val="18"/>
                <w:szCs w:val="18"/>
              </w:rPr>
              <w:t>内幕交易被立案调查或者立案侦查且尚未责任认定的情形，也不存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在最近五年内被中国证监会行政处罚或司法机关依法追究刑事责 任的情形。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1338"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刘宗业；赵鑫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、本人不存在因涉嫌本次重大资产重组相关的内幕交易被立案调 查或者立案侦查的情形。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个月不存在因与重大资 产重组相关的内幕交易被中国证券监督管理委员会作出行政处罚 或者司法机关依法追究刑事责任的情形。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刘宗业；赵鑫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、在参与本次交易期间，本人将依照相关法律、法规、规章、中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该承诺已履行完毕，履行期间未</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504.040009pt;margin-top:74.820007pt;width:89.05pt;height:156.050pt;mso-position-horizontal-relative:page;mso-position-vertical-relative:page;z-index:-1038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pStyle w:val="BodyText"/>
                    <w:spacing w:line="240" w:lineRule="auto"/>
                    <w:ind w:left="0" w:right="0"/>
                    <w:jc w:val="left"/>
                  </w:pPr>
                  <w:r>
                    <w:rPr/>
                    <w:t>假记载、</w:t>
                  </w:r>
                </w:p>
              </w:txbxContent>
            </v:textbox>
            <w10:wrap type="none"/>
          </v:shape>
        </w:pict>
      </w:r>
      <w:r>
        <w:rPr/>
        <w:pict>
          <v:group style="position:absolute;margin-left:537.280029pt;margin-top:74.820007pt;width:55.8pt;height:156.050pt;mso-position-horizontal-relative:page;mso-position-vertical-relative:page;z-index:-1038736" coordorigin="10746,1496" coordsize="1116,3121">
            <v:shape style="position:absolute;left:10746;top:1496;width:1116;height:3121" coordorigin="10746,1496" coordsize="1116,3121" path="m10746,4617l11862,4617,11862,1496,10746,1496,10746,4617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337"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vMerge w:val="restart"/>
            <w:tcBorders>
              <w:top w:val="single" w:sz="15" w:space="0" w:color="000000"/>
              <w:left w:val="single" w:sz="4" w:space="0" w:color="000000"/>
              <w:right w:val="single" w:sz="4" w:space="0" w:color="000000"/>
            </w:tcBorders>
          </w:tcPr>
          <w:p>
            <w:pPr/>
          </w:p>
        </w:tc>
        <w:tc>
          <w:tcPr>
            <w:tcW w:w="1126" w:type="dxa"/>
            <w:vMerge w:val="restart"/>
            <w:tcBorders>
              <w:top w:val="single" w:sz="15" w:space="0" w:color="000000"/>
              <w:left w:val="single" w:sz="4" w:space="0" w:color="000000"/>
              <w:right w:val="single" w:sz="4" w:space="0" w:color="000000"/>
            </w:tcBorders>
          </w:tcPr>
          <w:p>
            <w:pPr/>
          </w:p>
        </w:tc>
        <w:tc>
          <w:tcPr>
            <w:tcW w:w="520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国证券监督管理委员会和深圳证券交易所的有关规定</w:t>
            </w:r>
            <w:r>
              <w:rPr>
                <w:rFonts w:ascii="宋体" w:hAnsi="宋体" w:cs="宋体" w:eastAsia="宋体" w:hint="default"/>
                <w:spacing w:val="-75"/>
                <w:sz w:val="18"/>
                <w:szCs w:val="18"/>
              </w:rPr>
              <w:t>，</w:t>
            </w:r>
            <w:r>
              <w:rPr>
                <w:rFonts w:ascii="宋体" w:hAnsi="宋体" w:cs="宋体" w:eastAsia="宋体" w:hint="default"/>
                <w:sz w:val="18"/>
                <w:szCs w:val="18"/>
              </w:rPr>
              <w:t>及时披露有</w:t>
            </w:r>
          </w:p>
        </w:tc>
        <w:tc>
          <w:tcPr>
            <w:tcW w:w="112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发生违背承诺的情形。</w:t>
            </w: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关本次交易的信息，并保证该等信息的真实性、准确性和完整性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保证该等信息不存在虚假记载、误导性陈述或者重大遗漏。</w:t>
            </w:r>
            <w:r>
              <w:rPr>
                <w:rFonts w:ascii="宋体" w:hAnsi="宋体" w:cs="宋体" w:eastAsia="宋体" w:hint="default"/>
                <w:spacing w:val="-49"/>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、本</w:t>
            </w:r>
            <w:r>
              <w:rPr>
                <w:rFonts w:ascii="宋体" w:hAnsi="宋体" w:cs="宋体" w:eastAsia="宋体" w:hint="default"/>
                <w:sz w:val="18"/>
                <w:szCs w:val="18"/>
              </w:rPr>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人向本次交易的各中介机构所提供的资料均为真实、准确、完整的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原始书面资料或副本资料</w:t>
            </w:r>
            <w:r>
              <w:rPr>
                <w:rFonts w:ascii="宋体" w:hAnsi="宋体" w:cs="宋体" w:eastAsia="宋体" w:hint="default"/>
                <w:spacing w:val="-75"/>
                <w:sz w:val="18"/>
                <w:szCs w:val="18"/>
              </w:rPr>
              <w:t>，</w:t>
            </w:r>
            <w:r>
              <w:rPr>
                <w:rFonts w:ascii="宋体" w:hAnsi="宋体" w:cs="宋体" w:eastAsia="宋体" w:hint="default"/>
                <w:sz w:val="18"/>
                <w:szCs w:val="18"/>
              </w:rPr>
              <w:t>资料的副本或复印件与其原始资料或原</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件一致。所有文件的签名、印章均是真实的，不存在任何虚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误导性陈述或者重大遗漏，并对所提供资料的真实性、准确性和完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整性承担责任。</w:t>
            </w:r>
            <w:r>
              <w:rPr>
                <w:rFonts w:ascii="宋体" w:hAnsi="宋体" w:cs="宋体" w:eastAsia="宋体" w:hint="default"/>
                <w:spacing w:val="-11"/>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、本人为本次交易所出具的说明、承诺及确认均</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为真实、准确和完整的，不存在任何虚假记载、误导性陈述或者重</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大遗漏。本人对所提供信息的真实性、准确性和完整性承担个别和</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连带的法律责任。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、本次交易的信息披露和申请文件不存在虚假记载、误导性陈述</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刘宗业；赵鑫；毕 兰宏；张蓓；陈定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或者重大遗漏；</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、向本次交易的各中介机构所提供的资料均为真 </w:t>
            </w:r>
            <w:r>
              <w:rPr>
                <w:rFonts w:ascii="宋体" w:hAnsi="宋体" w:cs="宋体" w:eastAsia="宋体" w:hint="default"/>
                <w:spacing w:val="-3"/>
                <w:sz w:val="18"/>
                <w:szCs w:val="18"/>
              </w:rPr>
              <w:t>实、准确、完整的原始书面资料或副本资料，资料副本或复印件与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其原始资料或原件一致；所有文件的签名、印章均是真实的，不存</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在任何虚假记载、误导性陈述或者重大遗漏。</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52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、最近五年内，本人未因涉嫌犯罪被司法机关立案侦查或涉嫌违</w:t>
            </w:r>
          </w:p>
        </w:tc>
        <w:tc>
          <w:tcPr>
            <w:tcW w:w="1126" w:type="dxa"/>
            <w:tcBorders>
              <w:top w:val="single" w:sz="4" w:space="0" w:color="000000"/>
              <w:left w:val="single" w:sz="4" w:space="0" w:color="000000"/>
              <w:bottom w:val="nil" w:sz="6" w:space="0" w:color="auto"/>
              <w:right w:val="single" w:sz="4" w:space="0" w:color="000000"/>
            </w:tcBorders>
          </w:tcPr>
          <w:p>
            <w:pPr/>
          </w:p>
        </w:tc>
        <w:tc>
          <w:tcPr>
            <w:tcW w:w="1122" w:type="dxa"/>
            <w:tcBorders>
              <w:top w:val="single" w:sz="4" w:space="0" w:color="000000"/>
              <w:left w:val="single" w:sz="4" w:space="0" w:color="000000"/>
              <w:bottom w:val="nil" w:sz="6" w:space="0" w:color="auto"/>
              <w:right w:val="single" w:sz="4" w:space="0" w:color="000000"/>
            </w:tcBorders>
          </w:tcPr>
          <w:p>
            <w:pPr/>
          </w:p>
        </w:tc>
        <w:tc>
          <w:tcPr>
            <w:tcW w:w="25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法违规被中国证券监督管理委员会（以下简称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中国证监会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）立案</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调查，不存在行政处罚（与证券市场明显无关的除外）或者刑事处</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罚的情形</w:t>
            </w:r>
            <w:r>
              <w:rPr>
                <w:rFonts w:ascii="宋体" w:hAnsi="宋体" w:cs="宋体" w:eastAsia="宋体" w:hint="default"/>
                <w:spacing w:val="-75"/>
                <w:sz w:val="18"/>
                <w:szCs w:val="18"/>
              </w:rPr>
              <w:t>，</w:t>
            </w:r>
            <w:r>
              <w:rPr>
                <w:rFonts w:ascii="宋体" w:hAnsi="宋体" w:cs="宋体" w:eastAsia="宋体" w:hint="default"/>
                <w:sz w:val="18"/>
                <w:szCs w:val="18"/>
              </w:rPr>
              <w:t>亦不存在</w:t>
            </w:r>
            <w:r>
              <w:rPr>
                <w:rFonts w:ascii="宋体" w:hAnsi="宋体" w:cs="宋体" w:eastAsia="宋体" w:hint="default"/>
                <w:spacing w:val="-1"/>
                <w:sz w:val="18"/>
                <w:szCs w:val="18"/>
              </w:rPr>
              <w:t>重</w:t>
            </w:r>
            <w:r>
              <w:rPr>
                <w:rFonts w:ascii="宋体" w:hAnsi="宋体" w:cs="宋体" w:eastAsia="宋体" w:hint="default"/>
                <w:sz w:val="18"/>
                <w:szCs w:val="18"/>
              </w:rPr>
              <w:t>大违法违规行为或损害投资者合法权益和社</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84"/>
              <w:jc w:val="left"/>
              <w:rPr>
                <w:rFonts w:ascii="宋体" w:hAnsi="宋体" w:cs="宋体" w:eastAsia="宋体" w:hint="default"/>
                <w:sz w:val="18"/>
                <w:szCs w:val="18"/>
              </w:rPr>
            </w:pPr>
            <w:r>
              <w:rPr>
                <w:rFonts w:ascii="宋体" w:hAnsi="宋体" w:cs="宋体" w:eastAsia="宋体" w:hint="default"/>
                <w:sz w:val="18"/>
                <w:szCs w:val="18"/>
              </w:rPr>
              <w:t>刘宗业；赵鑫；毕 兰宏；张蓓；陈定</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会公共利益的不诚信行为。</w:t>
            </w:r>
            <w:r>
              <w:rPr>
                <w:rFonts w:ascii="宋体" w:hAnsi="宋体" w:cs="宋体" w:eastAsia="宋体" w:hint="default"/>
                <w:spacing w:val="-1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、最近五年内，本人不存在未按期偿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还大额债务、未履行承诺、或被中国证监会采取行政监管措施或受</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到证券交易所纪律处分的情况。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、本人及本人控制的其他企业均</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不存在因涉嫌与重大资产重组相关的内幕交易被立案调查或者立</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5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案侦查且尚未责任认定的情形</w:t>
            </w:r>
            <w:r>
              <w:rPr>
                <w:rFonts w:ascii="宋体" w:hAnsi="宋体" w:cs="宋体" w:eastAsia="宋体" w:hint="default"/>
                <w:spacing w:val="-75"/>
                <w:sz w:val="18"/>
                <w:szCs w:val="18"/>
              </w:rPr>
              <w:t>，</w:t>
            </w:r>
            <w:r>
              <w:rPr>
                <w:rFonts w:ascii="宋体" w:hAnsi="宋体" w:cs="宋体" w:eastAsia="宋体" w:hint="default"/>
                <w:sz w:val="18"/>
                <w:szCs w:val="18"/>
              </w:rPr>
              <w:t>也不存在最近五年内被中国证监会</w:t>
            </w:r>
          </w:p>
        </w:tc>
        <w:tc>
          <w:tcPr>
            <w:tcW w:w="1126" w:type="dxa"/>
            <w:tcBorders>
              <w:top w:val="nil" w:sz="6" w:space="0" w:color="auto"/>
              <w:left w:val="single" w:sz="4" w:space="0" w:color="000000"/>
              <w:bottom w:val="nil" w:sz="6" w:space="0" w:color="auto"/>
              <w:right w:val="single" w:sz="4" w:space="0" w:color="000000"/>
            </w:tcBorders>
          </w:tcPr>
          <w:p>
            <w:pPr/>
          </w:p>
        </w:tc>
        <w:tc>
          <w:tcPr>
            <w:tcW w:w="1122" w:type="dxa"/>
            <w:tcBorders>
              <w:top w:val="nil" w:sz="6" w:space="0" w:color="auto"/>
              <w:left w:val="single" w:sz="4" w:space="0" w:color="000000"/>
              <w:bottom w:val="nil" w:sz="6" w:space="0" w:color="auto"/>
              <w:right w:val="single" w:sz="4" w:space="0" w:color="000000"/>
            </w:tcBorders>
          </w:tcPr>
          <w:p>
            <w:pPr/>
          </w:p>
        </w:tc>
        <w:tc>
          <w:tcPr>
            <w:tcW w:w="25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52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行政处罚或司法机关依法追究刑事责任的情形。</w:t>
            </w:r>
          </w:p>
        </w:tc>
        <w:tc>
          <w:tcPr>
            <w:tcW w:w="1126" w:type="dxa"/>
            <w:tcBorders>
              <w:top w:val="nil" w:sz="6" w:space="0" w:color="auto"/>
              <w:left w:val="single" w:sz="4" w:space="0" w:color="000000"/>
              <w:bottom w:val="single" w:sz="4" w:space="0" w:color="000000"/>
              <w:right w:val="single" w:sz="4" w:space="0" w:color="000000"/>
            </w:tcBorders>
          </w:tcPr>
          <w:p>
            <w:pPr/>
          </w:p>
        </w:tc>
        <w:tc>
          <w:tcPr>
            <w:tcW w:w="1122" w:type="dxa"/>
            <w:tcBorders>
              <w:top w:val="nil" w:sz="6" w:space="0" w:color="auto"/>
              <w:left w:val="single" w:sz="4" w:space="0" w:color="000000"/>
              <w:bottom w:val="single" w:sz="4" w:space="0" w:color="000000"/>
              <w:right w:val="single" w:sz="4" w:space="0" w:color="000000"/>
            </w:tcBorders>
          </w:tcPr>
          <w:p>
            <w:pPr/>
          </w:p>
        </w:tc>
        <w:tc>
          <w:tcPr>
            <w:tcW w:w="2556"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刘宗业；赵鑫；毕 兰宏；张蓓；陈定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 者立案侦查的情形。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 关的内幕交易被中国证券监督管理委员会作出行政处罚或者司法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4"/>
        <w:rPr>
          <w:rFonts w:ascii="Times New Roman" w:hAnsi="Times New Roman" w:cs="Times New Roman" w:eastAsia="Times New Roman" w:hint="default"/>
          <w:sz w:val="3"/>
          <w:szCs w:val="3"/>
        </w:rPr>
      </w:pPr>
      <w:r>
        <w:rPr/>
        <w:pict>
          <v:shape style="position:absolute;margin-left:468.145996pt;margin-top:90.920006pt;width:124.95pt;height:78pt;mso-position-horizontal-relative:page;mso-position-vertical-relative:page;z-index:-1038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准确性和完整性，</w:t>
                  </w:r>
                </w:p>
              </w:txbxContent>
            </v:textbox>
            <w10:wrap type="none"/>
          </v:shape>
        </w:pict>
      </w:r>
      <w:r>
        <w:rPr/>
        <w:pict>
          <v:group style="position:absolute;margin-left:537.280029pt;margin-top:57.180008pt;width:55.8pt;height:111.75pt;mso-position-horizontal-relative:page;mso-position-vertical-relative:page;z-index:-1038688" coordorigin="10746,1144" coordsize="1116,2235">
            <v:group style="position:absolute;left:10746;top:1144;width:1116;height:666" coordorigin="10746,1144" coordsize="1116,666">
              <v:shape style="position:absolute;left:10746;top:1144;width:1116;height:666" coordorigin="10746,1144" coordsize="1116,666" path="m10746,1809l11862,1809,11862,1144,10746,1144,10746,1809xe" filled="true" fillcolor="#ffffff" stroked="false">
                <v:path arrowok="t"/>
                <v:fill type="solid"/>
              </v:shape>
            </v:group>
            <v:group style="position:absolute;left:10746;top:1818;width:1116;height:1560" coordorigin="10746,1818" coordsize="1116,1560">
              <v:shape style="position:absolute;left:10746;top:1818;width:1116;height:1560" coordorigin="10746,1818" coordsize="1116,1560" path="m10746,3378l11862,3378,11862,1818,10746,1818,10746,3378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689" w:hRule="exact"/>
        </w:trPr>
        <w:tc>
          <w:tcPr>
            <w:tcW w:w="1560" w:type="dxa"/>
            <w:vMerge w:val="restart"/>
            <w:tcBorders>
              <w:top w:val="single" w:sz="15" w:space="0" w:color="000000"/>
              <w:left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机关依法追究刑事责任的情形。本人控制的企业若违反上述承诺 本人将承担因此而给顺利办造成的一切损失。</w:t>
            </w:r>
          </w:p>
        </w:tc>
        <w:tc>
          <w:tcPr>
            <w:tcW w:w="11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2" w:type="dxa"/>
            <w:tcBorders>
              <w:top w:val="single" w:sz="15" w:space="0" w:color="000000"/>
              <w:left w:val="single" w:sz="4" w:space="0" w:color="000000"/>
              <w:bottom w:val="single" w:sz="4" w:space="0" w:color="000000"/>
              <w:right w:val="single" w:sz="4" w:space="0" w:color="000000"/>
            </w:tcBorders>
          </w:tcPr>
          <w:p>
            <w:pPr/>
          </w:p>
        </w:tc>
        <w:tc>
          <w:tcPr>
            <w:tcW w:w="2556" w:type="dxa"/>
            <w:tcBorders>
              <w:top w:val="single" w:sz="15" w:space="0" w:color="000000"/>
              <w:left w:val="single" w:sz="4" w:space="0" w:color="000000"/>
              <w:bottom w:val="single" w:sz="4" w:space="0" w:color="000000"/>
              <w:right w:val="single" w:sz="4" w:space="0" w:color="000000"/>
            </w:tcBorders>
          </w:tcPr>
          <w:p>
            <w:pPr/>
          </w:p>
        </w:tc>
      </w:tr>
      <w:tr>
        <w:trPr>
          <w:trHeight w:val="3834"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顺利办信息服务股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、在参与本次交易期间，本公司将依照相关法律、法规、规章、 </w:t>
            </w:r>
            <w:r>
              <w:rPr>
                <w:rFonts w:ascii="宋体" w:hAnsi="宋体" w:cs="宋体" w:eastAsia="宋体" w:hint="default"/>
                <w:spacing w:val="-3"/>
                <w:sz w:val="18"/>
                <w:szCs w:val="18"/>
              </w:rPr>
              <w:t>中国证券监督管理委员会和深圳证券交易所的有关规定，及时披露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有关本次交易的信息，并保证该等信息的真实性、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保证该等信息不存在虚假记载、误导性陈述或者重大遗漏。</w:t>
            </w:r>
            <w:r>
              <w:rPr>
                <w:rFonts w:ascii="宋体" w:hAnsi="宋体" w:cs="宋体" w:eastAsia="宋体" w:hint="default"/>
                <w:spacing w:val="-40"/>
                <w:sz w:val="18"/>
                <w:szCs w:val="18"/>
              </w:rPr>
              <w:t> </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、本</w:t>
            </w:r>
            <w:r>
              <w:rPr>
                <w:rFonts w:ascii="宋体" w:hAnsi="宋体" w:cs="宋体" w:eastAsia="宋体" w:hint="default"/>
                <w:spacing w:val="-26"/>
                <w:sz w:val="18"/>
                <w:szCs w:val="18"/>
              </w:rPr>
              <w:t> </w:t>
            </w:r>
            <w:r>
              <w:rPr>
                <w:rFonts w:ascii="宋体" w:hAnsi="宋体" w:cs="宋体" w:eastAsia="宋体" w:hint="default"/>
                <w:spacing w:val="-3"/>
                <w:sz w:val="18"/>
                <w:szCs w:val="18"/>
              </w:rPr>
              <w:t>公司向本次交易的各中介机构所提供的资料均为真实、准确、完整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的原始书面资料或副本资料，资料的副本或复印件与其原始资料或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原件一致。所有文件的签名、印章均是真实的，不存在任何虚假记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载、误导性陈述或者重大遗漏，并对所提供资料的真实性、准确性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和完整性承担责任。</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、本公司为本次交易所出具的说明、承诺及</w:t>
            </w:r>
            <w:r>
              <w:rPr>
                <w:rFonts w:ascii="宋体" w:hAnsi="宋体" w:cs="宋体" w:eastAsia="宋体" w:hint="default"/>
                <w:sz w:val="18"/>
                <w:szCs w:val="18"/>
              </w:rPr>
              <w:t> </w:t>
            </w:r>
            <w:r>
              <w:rPr>
                <w:rFonts w:ascii="宋体" w:hAnsi="宋体" w:cs="宋体" w:eastAsia="宋体" w:hint="default"/>
                <w:spacing w:val="-3"/>
                <w:sz w:val="18"/>
                <w:szCs w:val="18"/>
              </w:rPr>
              <w:t>确认均为真实、准确和完整的，不存在任何虚假记载、误导性陈述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或者重大遗漏。本公司对所提供信息的真实性、准确性和完整性承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担个别和连带的法律责任。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1338" w:hRule="exact"/>
        </w:trPr>
        <w:tc>
          <w:tcPr>
            <w:tcW w:w="1560"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4"/>
              <w:jc w:val="left"/>
              <w:rPr>
                <w:rFonts w:ascii="宋体" w:hAnsi="宋体" w:cs="宋体" w:eastAsia="宋体" w:hint="default"/>
                <w:sz w:val="18"/>
                <w:szCs w:val="18"/>
              </w:rPr>
            </w:pPr>
            <w:r>
              <w:rPr>
                <w:rFonts w:ascii="宋体" w:hAnsi="宋体" w:cs="宋体" w:eastAsia="宋体" w:hint="default"/>
                <w:sz w:val="18"/>
                <w:szCs w:val="18"/>
              </w:rPr>
              <w:t>顺利办信息服务股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、不存在因涉嫌本次重大资产重组相关的内幕交易被立案调查或 者立案侦查的情形。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个月不存在因与重大资产重组相 关的内幕交易被中国证券监督管理委员会作出行政处罚或者司法 机关依法追究刑事责任的情形。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r>
        <w:trPr>
          <w:trHeight w:val="348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顺利办信息服务股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、本公司及现任董事、监事、高级管理人员未因涉嫌犯罪被司法 </w:t>
            </w:r>
            <w:r>
              <w:rPr>
                <w:rFonts w:ascii="宋体" w:hAnsi="宋体" w:cs="宋体" w:eastAsia="宋体" w:hint="default"/>
                <w:spacing w:val="-3"/>
                <w:sz w:val="18"/>
                <w:szCs w:val="18"/>
              </w:rPr>
              <w:t>机关立案侦查或涉嫌违法违规被中国证券监督管理委员会（以下简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中国证监会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）立案调查，亦不存在重大违法违规行为或损害投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资者合法权益和社会公共利益的不诚信行为。</w:t>
            </w:r>
            <w:r>
              <w:rPr>
                <w:rFonts w:ascii="宋体" w:hAnsi="宋体" w:cs="宋体" w:eastAsia="宋体" w:hint="default"/>
                <w:spacing w:val="-32"/>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、本公司是依法成</w:t>
            </w:r>
            <w:r>
              <w:rPr>
                <w:rFonts w:ascii="宋体" w:hAnsi="宋体" w:cs="宋体" w:eastAsia="宋体" w:hint="default"/>
                <w:sz w:val="18"/>
                <w:szCs w:val="18"/>
              </w:rPr>
              <w:t> </w:t>
            </w:r>
            <w:r>
              <w:rPr>
                <w:rFonts w:ascii="宋体" w:hAnsi="宋体" w:cs="宋体" w:eastAsia="宋体" w:hint="default"/>
                <w:spacing w:val="-3"/>
                <w:sz w:val="18"/>
                <w:szCs w:val="18"/>
              </w:rPr>
              <w:t>立并有效存续的股份有限公司，具有相关法律、法规、规章及规范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性文件规定的签署与本次交易相关的各项承诺、协议并享有、履行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相应权利、义务的合法主体资格。</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、最近三年，公司合法开展生</w:t>
            </w:r>
            <w:r>
              <w:rPr>
                <w:rFonts w:ascii="宋体" w:hAnsi="宋体" w:cs="宋体" w:eastAsia="宋体" w:hint="default"/>
                <w:sz w:val="18"/>
                <w:szCs w:val="18"/>
              </w:rPr>
              <w:t> </w:t>
            </w:r>
            <w:r>
              <w:rPr>
                <w:rFonts w:ascii="宋体" w:hAnsi="宋体" w:cs="宋体" w:eastAsia="宋体" w:hint="default"/>
                <w:spacing w:val="-3"/>
                <w:sz w:val="18"/>
                <w:szCs w:val="18"/>
              </w:rPr>
              <w:t>产经营活动，不存在重大违法违规事项，现时不存在因营业期限届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满、股东大会决议、合并或分立等事项应予解散的情形，不存在因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不能清偿到期债务依法宣告破产、违反法律法规被依法吊销营业执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照、责令关闭或者被撤销等事项应予终止的情形，不存在影响公司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该承诺已履行完毕，履行期间未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发生违背承诺的情形。</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180" w:right="1180"/>
        </w:sectPr>
      </w:pPr>
    </w:p>
    <w:p>
      <w:pPr>
        <w:spacing w:line="240" w:lineRule="auto" w:before="0"/>
        <w:rPr>
          <w:rFonts w:ascii="Times New Roman" w:hAnsi="Times New Roman" w:cs="Times New Roman" w:eastAsia="Times New Roman" w:hint="default"/>
          <w:sz w:val="20"/>
          <w:szCs w:val="20"/>
        </w:rPr>
      </w:pPr>
      <w:r>
        <w:rPr/>
        <w:pict>
          <v:shape style="position:absolute;margin-left:64.410004pt;margin-top:55.260006pt;width:713.35pt;height:466.35pt;mso-position-horizontal-relative:page;mso-position-vertical-relative:page;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559"/>
                    <w:gridCol w:w="1126"/>
                    <w:gridCol w:w="5202"/>
                    <w:gridCol w:w="1126"/>
                    <w:gridCol w:w="1122"/>
                    <w:gridCol w:w="2556"/>
                  </w:tblGrid>
                  <w:tr>
                    <w:trPr>
                      <w:trHeight w:val="1625"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126" w:type="dxa"/>
                        <w:tcBorders>
                          <w:top w:val="single" w:sz="15" w:space="0" w:color="000000"/>
                          <w:left w:val="single" w:sz="4" w:space="0" w:color="000000"/>
                          <w:bottom w:val="single" w:sz="4" w:space="0" w:color="000000"/>
                          <w:right w:val="single" w:sz="4" w:space="0" w:color="000000"/>
                        </w:tcBorders>
                      </w:tcPr>
                      <w:p>
                        <w:pPr/>
                      </w:p>
                    </w:tc>
                    <w:tc>
                      <w:tcPr>
                        <w:tcW w:w="5202"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合法存续、正常经营的其他情形。</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、本公司、本公司控股股东及</w:t>
                        </w:r>
                        <w:r>
                          <w:rPr>
                            <w:rFonts w:ascii="宋体" w:hAnsi="宋体" w:cs="宋体" w:eastAsia="宋体" w:hint="default"/>
                            <w:sz w:val="18"/>
                            <w:szCs w:val="18"/>
                          </w:rPr>
                          <w:t> 其控制的其他企业均不存在因涉嫌与重大资产重组相关的内幕交 </w:t>
                        </w:r>
                        <w:r>
                          <w:rPr>
                            <w:rFonts w:ascii="宋体" w:hAnsi="宋体" w:cs="宋体" w:eastAsia="宋体" w:hint="default"/>
                            <w:spacing w:val="-3"/>
                            <w:sz w:val="18"/>
                            <w:szCs w:val="18"/>
                          </w:rPr>
                          <w:t>易被立案调查或者立案侦查且尚未责任认定的情形，也不存在最近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三年内被中国证监会行政处罚或司法机关依法追究刑事责任的情 形。</w:t>
                        </w:r>
                      </w:p>
                    </w:tc>
                    <w:tc>
                      <w:tcPr>
                        <w:tcW w:w="1126" w:type="dxa"/>
                        <w:tcBorders>
                          <w:top w:val="single" w:sz="15" w:space="0" w:color="000000"/>
                          <w:left w:val="single" w:sz="4" w:space="0" w:color="000000"/>
                          <w:bottom w:val="single" w:sz="4" w:space="0" w:color="000000"/>
                          <w:right w:val="single" w:sz="4" w:space="0" w:color="000000"/>
                        </w:tcBorders>
                      </w:tcPr>
                      <w:p>
                        <w:pPr/>
                      </w:p>
                    </w:tc>
                    <w:tc>
                      <w:tcPr>
                        <w:tcW w:w="1122" w:type="dxa"/>
                        <w:tcBorders>
                          <w:top w:val="single" w:sz="15" w:space="0" w:color="000000"/>
                          <w:left w:val="single" w:sz="4" w:space="0" w:color="000000"/>
                          <w:bottom w:val="single" w:sz="4" w:space="0" w:color="000000"/>
                          <w:right w:val="single" w:sz="4" w:space="0" w:color="000000"/>
                        </w:tcBorders>
                      </w:tcPr>
                      <w:p>
                        <w:pPr/>
                      </w:p>
                    </w:tc>
                    <w:tc>
                      <w:tcPr>
                        <w:tcW w:w="255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5"/>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520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255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陈颖；陈勇；谢鹏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520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9" w:lineRule="auto" w:before="61"/>
                          <w:ind w:left="22" w:right="-56"/>
                          <w:jc w:val="left"/>
                          <w:rPr>
                            <w:rFonts w:ascii="宋体" w:hAnsi="宋体" w:cs="宋体" w:eastAsia="宋体" w:hint="default"/>
                            <w:sz w:val="18"/>
                            <w:szCs w:val="18"/>
                          </w:rPr>
                        </w:pPr>
                        <w:r>
                          <w:rPr>
                            <w:rFonts w:ascii="宋体" w:hAnsi="宋体" w:cs="宋体" w:eastAsia="宋体" w:hint="default"/>
                            <w:sz w:val="18"/>
                            <w:szCs w:val="18"/>
                          </w:rPr>
                          <w:t>承诺扣非净利润分别不低于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3"/>
                            <w:sz w:val="18"/>
                            <w:szCs w:val="18"/>
                          </w:rPr>
                          <w:t>上述承诺扣非净利润均不低于《资产评估报告》中所确定的相应年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度盈利预测净利润。</w:t>
                        </w:r>
                      </w:p>
                    </w:tc>
                    <w:tc>
                      <w:tcPr>
                        <w:tcW w:w="112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根据天职国际会计师事务所（特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殊普通合伙）出具的天职业字</w:t>
                        </w:r>
                      </w:p>
                      <w:p>
                        <w:pPr>
                          <w:pStyle w:val="TableParagraph"/>
                          <w:spacing w:line="309" w:lineRule="auto" w:before="19"/>
                          <w:ind w:left="22"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6368</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号审计报告，补偿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义务人完成了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年度承诺的 </w:t>
                        </w:r>
                        <w:r>
                          <w:rPr>
                            <w:rFonts w:ascii="宋体" w:hAnsi="宋体" w:cs="宋体" w:eastAsia="宋体" w:hint="default"/>
                            <w:spacing w:val="-2"/>
                            <w:sz w:val="18"/>
                            <w:szCs w:val="18"/>
                          </w:rPr>
                          <w:t>业绩。根据天职国际会计师事务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所（特殊普通合伙）出具的天职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业字【</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19921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号审计报告 补偿义务人未完成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 </w:t>
                        </w:r>
                        <w:r>
                          <w:rPr>
                            <w:rFonts w:ascii="宋体" w:hAnsi="宋体" w:cs="宋体" w:eastAsia="宋体" w:hint="default"/>
                            <w:spacing w:val="-2"/>
                            <w:sz w:val="18"/>
                            <w:szCs w:val="18"/>
                          </w:rPr>
                          <w:t>诺的业绩，将按照《盈利补偿协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议书》约定履行补偿义务。其他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承诺正在履行期内，不存在违背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该承诺的情形。</w:t>
                        </w:r>
                      </w:p>
                    </w:tc>
                  </w:tr>
                  <w:tr>
                    <w:trPr>
                      <w:trHeight w:val="133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84"/>
                          <w:jc w:val="left"/>
                          <w:rPr>
                            <w:rFonts w:ascii="宋体" w:hAnsi="宋体" w:cs="宋体" w:eastAsia="宋体" w:hint="default"/>
                            <w:sz w:val="18"/>
                            <w:szCs w:val="18"/>
                          </w:rPr>
                        </w:pPr>
                        <w:r>
                          <w:rPr>
                            <w:rFonts w:ascii="宋体" w:hAnsi="宋体" w:cs="宋体" w:eastAsia="宋体" w:hint="default"/>
                            <w:sz w:val="18"/>
                            <w:szCs w:val="18"/>
                          </w:rPr>
                          <w:t>百达永信投资有限 公司；彭聪</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2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基于对公司未来发展前景的信心以及对公司价值的合理判断，为维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护广大中小投资者利益，支持公司持续、稳定、健康发展，彭聪先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生及其控制的百达永信投资有限公司承诺，自本承诺函出具之日的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个月内不以任何方式减持所持有的公司股份。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截至目前，该承诺正在履行期 </w:t>
                        </w:r>
                        <w:r>
                          <w:rPr>
                            <w:rFonts w:ascii="宋体" w:hAnsi="宋体" w:cs="宋体" w:eastAsia="宋体" w:hint="default"/>
                            <w:spacing w:val="-2"/>
                            <w:sz w:val="18"/>
                            <w:szCs w:val="18"/>
                          </w:rPr>
                          <w:t>内，履行期间不存在违背承诺的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情形。</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6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5"/>
                          <w:jc w:val="both"/>
                          <w:rPr>
                            <w:rFonts w:ascii="宋体" w:hAnsi="宋体" w:cs="宋体" w:eastAsia="宋体" w:hint="default"/>
                            <w:sz w:val="18"/>
                            <w:szCs w:val="18"/>
                          </w:rPr>
                        </w:pPr>
                        <w:r>
                          <w:rPr>
                            <w:rFonts w:ascii="宋体" w:hAnsi="宋体" w:cs="宋体" w:eastAsia="宋体" w:hint="default"/>
                            <w:sz w:val="18"/>
                            <w:szCs w:val="18"/>
                          </w:rPr>
                          <w:t>如承诺超期未履行 完毕的，应当详细 说明未完成履行的</w:t>
                        </w:r>
                      </w:p>
                    </w:tc>
                    <w:tc>
                      <w:tcPr>
                        <w:tcW w:w="126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BodyText"/>
        <w:spacing w:line="240" w:lineRule="auto" w:before="44"/>
        <w:ind w:left="0" w:right="109"/>
        <w:jc w:val="right"/>
      </w:pPr>
      <w:r>
        <w:rPr/>
        <w:t>，</w:t>
      </w:r>
    </w:p>
    <w:p>
      <w:pPr>
        <w:spacing w:after="0" w:line="240" w:lineRule="auto"/>
        <w:jc w:val="right"/>
        <w:sectPr>
          <w:pgSz w:w="16840" w:h="11910" w:orient="landscape"/>
          <w:pgMar w:header="867" w:footer="979" w:top="1060" w:bottom="1160" w:left="1180" w:right="1120"/>
        </w:sectPr>
      </w:pPr>
    </w:p>
    <w:p>
      <w:pPr>
        <w:spacing w:line="240" w:lineRule="auto" w:before="12"/>
        <w:rPr>
          <w:rFonts w:ascii="宋体" w:hAnsi="宋体" w:cs="宋体" w:eastAsia="宋体" w:hint="default"/>
          <w:sz w:val="2"/>
          <w:szCs w:val="2"/>
        </w:rPr>
      </w:pPr>
    </w:p>
    <w:p>
      <w:pPr>
        <w:spacing w:line="718" w:lineRule="exact"/>
        <w:ind w:left="107"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713.1pt;height:35.9pt;mso-position-horizontal-relative:char;mso-position-vertical-relative:line" coordorigin="0,0" coordsize="14262,718">
            <v:group style="position:absolute;left:122;top:7;width:14020;height:2" coordorigin="122,7" coordsize="14020,2">
              <v:shape style="position:absolute;left:122;top:7;width:14020;height:2" coordorigin="122,7" coordsize="14020,0" path="m122,7l14142,7e" filled="false" stroked="true" strokeweight=".72pt" strokecolor="#000000">
                <v:path arrowok="t"/>
              </v:shape>
            </v:group>
            <v:group style="position:absolute;left:1549;top:38;width:2;height:666" coordorigin="1549,38" coordsize="2,666">
              <v:shape style="position:absolute;left:1549;top:38;width:2;height:666" coordorigin="1549,38" coordsize="0,666" path="m1549,38l1549,704e" filled="false" stroked="true" strokeweight="1.140pt" strokecolor="#d2d2d2">
                <v:path arrowok="t"/>
              </v:shape>
            </v:group>
            <v:group style="position:absolute;left:22;top:38;width:2;height:666" coordorigin="22,38" coordsize="2,666">
              <v:shape style="position:absolute;left:22;top:38;width:2;height:666" coordorigin="22,38" coordsize="0,666" path="m22,38l22,704e" filled="false" stroked="true" strokeweight="1.140pt" strokecolor="#d2d2d2">
                <v:path arrowok="t"/>
              </v:shape>
            </v:group>
            <v:group style="position:absolute;left:34;top:38;width:1504;height:312" coordorigin="34,38" coordsize="1504,312">
              <v:shape style="position:absolute;left:34;top:38;width:1504;height:312" coordorigin="34,38" coordsize="1504,312" path="m34,350l1538,350,1538,38,34,38,34,350xe" filled="true" fillcolor="#d2d2d2" stroked="false">
                <v:path arrowok="t"/>
                <v:fill type="solid"/>
              </v:shape>
            </v:group>
            <v:group style="position:absolute;left:34;top:350;width:1504;height:354" coordorigin="34,350" coordsize="1504,354">
              <v:shape style="position:absolute;left:34;top:350;width:1504;height:354" coordorigin="34,350" coordsize="1504,354" path="m34,704l1538,704,1538,350,34,350,34,704xe" filled="true" fillcolor="#d2d2d2" stroked="false">
                <v:path arrowok="t"/>
                <v:fill type="solid"/>
              </v:shape>
            </v:group>
            <v:group style="position:absolute;left:10;top:34;width:1552;height:2" coordorigin="10,34" coordsize="1552,2">
              <v:shape style="position:absolute;left:10;top:34;width:1552;height:2" coordorigin="10,34" coordsize="1552,0" path="m10,34l1562,34e" filled="false" stroked="true" strokeweight=".48pt" strokecolor="#000000">
                <v:path arrowok="t"/>
              </v:shape>
            </v:group>
            <v:group style="position:absolute;left:1571;top:34;width:12682;height:2" coordorigin="1571,34" coordsize="12682,2">
              <v:shape style="position:absolute;left:1571;top:34;width:12682;height:2" coordorigin="1571,34" coordsize="12682,0" path="m1571,34l14252,34e" filled="false" stroked="true" strokeweight=".48pt" strokecolor="#000000">
                <v:path arrowok="t"/>
              </v:shape>
            </v:group>
            <v:group style="position:absolute;left:5;top:29;width:2;height:685" coordorigin="5,29" coordsize="2,685">
              <v:shape style="position:absolute;left:5;top:29;width:2;height:685" coordorigin="5,29" coordsize="0,685" path="m5,29l5,713e" filled="false" stroked="true" strokeweight=".48pt" strokecolor="#000000">
                <v:path arrowok="t"/>
              </v:shape>
            </v:group>
            <v:group style="position:absolute;left:10;top:708;width:1552;height:2" coordorigin="10,708" coordsize="1552,2">
              <v:shape style="position:absolute;left:10;top:708;width:1552;height:2" coordorigin="10,708" coordsize="1552,0" path="m10,708l1562,708e" filled="false" stroked="true" strokeweight=".48pt" strokecolor="#000000">
                <v:path arrowok="t"/>
              </v:shape>
            </v:group>
            <v:group style="position:absolute;left:1566;top:29;width:2;height:685" coordorigin="1566,29" coordsize="2,685">
              <v:shape style="position:absolute;left:1566;top:29;width:2;height:685" coordorigin="1566,29" coordsize="0,685" path="m1566,29l1566,713e" filled="false" stroked="true" strokeweight=".48001pt" strokecolor="#000000">
                <v:path arrowok="t"/>
              </v:shape>
            </v:group>
            <v:group style="position:absolute;left:1571;top:708;width:12682;height:2" coordorigin="1571,708" coordsize="12682,2">
              <v:shape style="position:absolute;left:1571;top:708;width:12682;height:2" coordorigin="1571,708" coordsize="12682,0" path="m1571,708l14252,708e" filled="false" stroked="true" strokeweight=".48pt" strokecolor="#000000">
                <v:path arrowok="t"/>
              </v:shape>
            </v:group>
            <v:group style="position:absolute;left:14257;top:29;width:2;height:685" coordorigin="14257,29" coordsize="2,685">
              <v:shape style="position:absolute;left:14257;top:29;width:2;height:685" coordorigin="14257,29" coordsize="0,685" path="m14257,29l14257,713e" filled="false" stroked="true" strokeweight=".47998pt" strokecolor="#000000">
                <v:path arrowok="t"/>
              </v:shape>
              <v:shape style="position:absolute;left:5;top:19;width:1561;height:690" type="#_x0000_t202" filled="false" stroked="false">
                <v:textbox inset="0,0,0,0">
                  <w:txbxContent>
                    <w:p>
                      <w:pPr>
                        <w:spacing w:line="319" w:lineRule="auto" w:before="29"/>
                        <w:ind w:left="28" w:right="90" w:firstLine="0"/>
                        <w:jc w:val="left"/>
                        <w:rPr>
                          <w:rFonts w:ascii="宋体" w:hAnsi="宋体" w:cs="宋体" w:eastAsia="宋体" w:hint="default"/>
                          <w:sz w:val="18"/>
                          <w:szCs w:val="18"/>
                        </w:rPr>
                      </w:pPr>
                      <w:r>
                        <w:rPr>
                          <w:rFonts w:ascii="宋体" w:hAnsi="宋体" w:cs="宋体" w:eastAsia="宋体" w:hint="default"/>
                          <w:sz w:val="18"/>
                          <w:szCs w:val="18"/>
                        </w:rPr>
                        <w:t>具体原因及下一步 的工作计划</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260"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6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233" w:type="dxa"/>
        <w:tblLayout w:type="fixed"/>
        <w:tblCellMar>
          <w:top w:w="0" w:type="dxa"/>
          <w:left w:w="0" w:type="dxa"/>
          <w:bottom w:w="0" w:type="dxa"/>
          <w:right w:w="0" w:type="dxa"/>
        </w:tblCellMar>
        <w:tblLook w:val="01E0"/>
      </w:tblPr>
      <w:tblGrid>
        <w:gridCol w:w="1306"/>
        <w:gridCol w:w="1180"/>
        <w:gridCol w:w="1181"/>
        <w:gridCol w:w="1180"/>
        <w:gridCol w:w="1180"/>
        <w:gridCol w:w="4432"/>
        <w:gridCol w:w="1182"/>
        <w:gridCol w:w="2362"/>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7"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1"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65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3" w:right="20"/>
              <w:jc w:val="left"/>
              <w:rPr>
                <w:rFonts w:ascii="宋体" w:hAnsi="宋体" w:cs="宋体" w:eastAsia="宋体" w:hint="default"/>
                <w:sz w:val="18"/>
                <w:szCs w:val="18"/>
              </w:rPr>
            </w:pPr>
            <w:r>
              <w:rPr>
                <w:rFonts w:ascii="宋体" w:hAnsi="宋体" w:cs="宋体" w:eastAsia="宋体" w:hint="default"/>
                <w:sz w:val="18"/>
                <w:szCs w:val="18"/>
              </w:rPr>
              <w:t>神州易桥（北 </w:t>
            </w:r>
            <w:r>
              <w:rPr>
                <w:rFonts w:ascii="宋体" w:hAnsi="宋体" w:cs="宋体" w:eastAsia="宋体" w:hint="default"/>
                <w:spacing w:val="-2"/>
                <w:sz w:val="18"/>
                <w:szCs w:val="18"/>
              </w:rPr>
              <w:t>京）财税科技有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10,700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8,354.69</w:t>
            </w:r>
          </w:p>
        </w:tc>
        <w:tc>
          <w:tcPr>
            <w:tcW w:w="4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根据瑞华会计师事务所（特殊普通合伙）于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307" w:lineRule="auto" w:before="6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日出具的《业绩承诺实现情况的专项审核报告》（瑞华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核字</w:t>
            </w:r>
            <w:r>
              <w:rPr>
                <w:rFonts w:ascii="Times New Roman" w:hAnsi="Times New Roman" w:cs="Times New Roman" w:eastAsia="Times New Roman" w:hint="default"/>
                <w:spacing w:val="-1"/>
                <w:sz w:val="18"/>
                <w:szCs w:val="18"/>
              </w:rPr>
              <w:t>[2019]63050008</w:t>
            </w:r>
            <w:r>
              <w:rPr>
                <w:rFonts w:ascii="Times New Roman" w:hAnsi="Times New Roman" w:cs="Times New Roman" w:eastAsia="Times New Roman" w:hint="default"/>
                <w:spacing w:val="5"/>
                <w:sz w:val="18"/>
                <w:szCs w:val="18"/>
              </w:rPr>
              <w:t>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年神州易桥（北京）财税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科技有限公司未完成该年度的业绩承诺，但累计完成承 诺，累计完成率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103.23%</w:t>
            </w:r>
            <w:r>
              <w:rPr>
                <w:rFonts w:ascii="宋体" w:hAnsi="宋体" w:cs="宋体" w:eastAsia="宋体" w:hint="default"/>
                <w:sz w:val="18"/>
                <w:szCs w:val="18"/>
              </w:rPr>
              <w:t>。</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日发布《关于 资产重组相关方承诺事项的 </w:t>
            </w:r>
            <w:r>
              <w:rPr>
                <w:rFonts w:ascii="宋体" w:hAnsi="宋体" w:cs="宋体" w:eastAsia="宋体" w:hint="default"/>
                <w:spacing w:val="-11"/>
                <w:sz w:val="18"/>
                <w:szCs w:val="18"/>
              </w:rPr>
              <w:t>公告》（</w:t>
            </w:r>
            <w:r>
              <w:rPr>
                <w:rFonts w:ascii="Times New Roman" w:hAnsi="Times New Roman" w:cs="Times New Roman" w:eastAsia="Times New Roman" w:hint="default"/>
                <w:spacing w:val="-11"/>
                <w:sz w:val="18"/>
                <w:szCs w:val="18"/>
              </w:rPr>
              <w:t>2016-026</w:t>
            </w:r>
            <w:r>
              <w:rPr>
                <w:rFonts w:ascii="宋体" w:hAnsi="宋体" w:cs="宋体" w:eastAsia="宋体" w:hint="default"/>
                <w:spacing w:val="-11"/>
                <w:sz w:val="18"/>
                <w:szCs w:val="18"/>
              </w:rPr>
              <w:t>），刊载于巨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潮资讯网</w:t>
            </w:r>
          </w:p>
        </w:tc>
      </w:tr>
    </w:tbl>
    <w:p>
      <w:pPr>
        <w:pStyle w:val="BodyText"/>
        <w:spacing w:line="240" w:lineRule="auto" w:before="51"/>
        <w:ind w:left="260" w:right="0"/>
        <w:jc w:val="left"/>
      </w:pPr>
      <w:r>
        <w:rPr/>
        <w:t>公司股东、交易对手方在报告年度经营业绩做出的承诺情况</w:t>
      </w:r>
    </w:p>
    <w:p>
      <w:pPr>
        <w:pStyle w:val="BodyText"/>
        <w:spacing w:line="319" w:lineRule="auto" w:before="116"/>
        <w:ind w:left="260" w:right="2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彭聪、百达永信投资有限公司、广西泰达新原股权投资有限公司作为业绩承诺人，承诺重大资产重组实施完毕后，易桥财税科技在</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年度和</w:t>
      </w:r>
      <w:r>
        <w:rPr>
          <w:rFonts w:ascii="Times New Roman" w:hAnsi="Times New Roman" w:cs="Times New Roman" w:eastAsia="Times New Roman" w:hint="default"/>
          <w:spacing w:val="-1"/>
        </w:rPr>
        <w:t>2018</w:t>
      </w:r>
      <w:r>
        <w:rPr>
          <w:spacing w:val="-1"/>
        </w:rPr>
        <w:t>年度预测实现的合并</w:t>
      </w:r>
      <w:r>
        <w:rPr/>
        <w:t> </w:t>
      </w:r>
      <w:r>
        <w:rPr>
          <w:spacing w:val="-1"/>
        </w:rPr>
        <w:t>报表范围扣除非经常性损益后归属于母公司所有者的净利润分别不低于</w:t>
      </w:r>
      <w:r>
        <w:rPr>
          <w:rFonts w:ascii="Times New Roman" w:hAnsi="Times New Roman" w:cs="Times New Roman" w:eastAsia="Times New Roman" w:hint="default"/>
          <w:spacing w:val="-1"/>
        </w:rPr>
        <w:t>8,000.00</w:t>
      </w:r>
      <w:r>
        <w:rPr>
          <w:spacing w:val="-1"/>
        </w:rPr>
        <w:t>万元、</w:t>
      </w:r>
      <w:r>
        <w:rPr>
          <w:rFonts w:ascii="Times New Roman" w:hAnsi="Times New Roman" w:cs="Times New Roman" w:eastAsia="Times New Roman" w:hint="default"/>
          <w:spacing w:val="-1"/>
        </w:rPr>
        <w:t>9,400.00</w:t>
      </w:r>
      <w:r>
        <w:rPr>
          <w:spacing w:val="-1"/>
        </w:rPr>
        <w:t>万元、</w:t>
      </w:r>
      <w:r>
        <w:rPr>
          <w:rFonts w:ascii="Times New Roman" w:hAnsi="Times New Roman" w:cs="Times New Roman" w:eastAsia="Times New Roman" w:hint="default"/>
          <w:spacing w:val="-1"/>
        </w:rPr>
        <w:t>10,700.00</w:t>
      </w:r>
      <w:r>
        <w:rPr>
          <w:spacing w:val="-1"/>
        </w:rPr>
        <w:t>万元。如本次发行股份购买资产交易未能在</w:t>
      </w:r>
      <w:r>
        <w:rPr>
          <w:rFonts w:ascii="Times New Roman" w:hAnsi="Times New Roman" w:cs="Times New Roman" w:eastAsia="Times New Roman" w:hint="default"/>
          <w:spacing w:val="-1"/>
        </w:rPr>
        <w:t>2016</w:t>
      </w:r>
      <w:r>
        <w:rPr>
          <w:spacing w:val="-1"/>
        </w:rPr>
        <w:t>年内实施完毕，盈利</w:t>
      </w:r>
    </w:p>
    <w:p>
      <w:pPr>
        <w:pStyle w:val="BodyText"/>
        <w:spacing w:line="640" w:lineRule="auto"/>
        <w:ind w:left="260" w:right="6503"/>
        <w:jc w:val="left"/>
      </w:pPr>
      <w:r>
        <w:rPr/>
        <w:t>补偿期间则相应往后顺延为</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年。其中，</w:t>
      </w:r>
      <w:r>
        <w:rPr>
          <w:rFonts w:ascii="Times New Roman" w:hAnsi="Times New Roman" w:cs="Times New Roman" w:eastAsia="Times New Roman" w:hint="default"/>
        </w:rPr>
        <w:t>2019</w:t>
      </w:r>
      <w:r>
        <w:rPr/>
        <w:t>年度承诺扣非净利润不低于</w:t>
      </w:r>
      <w:r>
        <w:rPr>
          <w:rFonts w:ascii="Times New Roman" w:hAnsi="Times New Roman" w:cs="Times New Roman" w:eastAsia="Times New Roman" w:hint="default"/>
        </w:rPr>
        <w:t>11,300</w:t>
      </w:r>
      <w:r>
        <w:rPr/>
        <w:t>万元。 业绩承诺的完成情况及其对商誉减值测试的影响</w:t>
      </w:r>
    </w:p>
    <w:p>
      <w:pPr>
        <w:pStyle w:val="Heading2"/>
        <w:spacing w:line="240" w:lineRule="auto" w:before="26"/>
        <w:ind w:left="260"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60" w:right="84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6840" w:h="11910" w:orient="landscape"/>
          <w:pgMar w:header="867" w:footer="979" w:top="1060" w:bottom="1160" w:left="1180" w:right="1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3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本报告期公司完成了对霍尔果斯快马财税管理服务有限公司</w:t>
      </w:r>
      <w:r>
        <w:rPr>
          <w:rFonts w:ascii="Times New Roman" w:hAnsi="Times New Roman" w:cs="Times New Roman" w:eastAsia="Times New Roman" w:hint="default"/>
        </w:rPr>
        <w:t>60%</w:t>
      </w:r>
      <w:r>
        <w:rPr/>
        <w:t>股权收购的重大资产重组并纳入合并范围。</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2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公司聘请瑞华会计师事务所（特殊普通合伙）为公司内部控制审计机构，本报告期支付内控审计费用</w:t>
      </w:r>
      <w:r>
        <w:rPr>
          <w:rFonts w:ascii="Times New Roman" w:hAnsi="Times New Roman" w:cs="Times New Roman" w:eastAsia="Times New Roman" w:hint="default"/>
        </w:rPr>
        <w:t>30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headerReference w:type="default" r:id="rId20"/>
          <w:footerReference w:type="default" r:id="rId21"/>
          <w:pgSz w:w="11910" w:h="16840"/>
          <w:pgMar w:header="877" w:footer="979" w:top="1100" w:bottom="1160" w:left="980" w:right="0"/>
          <w:pgNumType w:start="53"/>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、股权激励计划</w:t>
      </w:r>
    </w:p>
    <w:p>
      <w:pPr>
        <w:pStyle w:val="BodyText"/>
        <w:spacing w:line="240" w:lineRule="auto" w:before="6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日，公司召开第七届董事会</w:t>
      </w:r>
      <w:r>
        <w:rPr>
          <w:rFonts w:ascii="Times New Roman" w:hAnsi="Times New Roman" w:cs="Times New Roman" w:eastAsia="Times New Roman" w:hint="default"/>
        </w:rPr>
        <w:t>2018</w:t>
      </w:r>
      <w:r>
        <w:rPr/>
        <w:t>年第二次临时会议、第七届监事会</w:t>
      </w:r>
      <w:r>
        <w:rPr>
          <w:rFonts w:ascii="Times New Roman" w:hAnsi="Times New Roman" w:cs="Times New Roman" w:eastAsia="Times New Roman" w:hint="default"/>
        </w:rPr>
        <w:t>2018</w:t>
      </w:r>
      <w:r>
        <w:rPr/>
        <w:t>年第二次临时会议，审议通过了《关于</w:t>
      </w:r>
    </w:p>
    <w:p>
      <w:pPr>
        <w:pStyle w:val="BodyText"/>
        <w:spacing w:line="307" w:lineRule="auto" w:before="63"/>
        <w:ind w:right="1032"/>
        <w:jc w:val="left"/>
      </w:pPr>
      <w:r>
        <w:rPr>
          <w:rFonts w:ascii="Times New Roman" w:hAnsi="Times New Roman" w:cs="Times New Roman" w:eastAsia="Times New Roman" w:hint="default"/>
        </w:rPr>
        <w:t>&lt;2018</w:t>
      </w:r>
      <w:r>
        <w:rPr/>
        <w:t>年股票期权激励计划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及其摘要》的议案。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日，公司召开第七届监事会</w:t>
      </w:r>
      <w:r>
        <w:rPr>
          <w:rFonts w:ascii="Times New Roman" w:hAnsi="Times New Roman" w:cs="Times New Roman" w:eastAsia="Times New Roman" w:hint="default"/>
          <w:spacing w:val="-2"/>
        </w:rPr>
        <w:t>2018</w:t>
      </w:r>
      <w:r>
        <w:rPr>
          <w:spacing w:val="-2"/>
        </w:rPr>
        <w:t>年第三次临时会议，审议通过了《关于股票期权激励计划激励对象名单的审核意</w:t>
      </w:r>
      <w:r>
        <w:rPr>
          <w:spacing w:val="-57"/>
        </w:rPr>
        <w:t> </w:t>
      </w:r>
      <w:r>
        <w:rPr>
          <w:spacing w:val="-57"/>
        </w:rPr>
      </w:r>
      <w:r>
        <w:rPr/>
        <w:t>见及公示情况说明的议案》。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日，公司召开</w:t>
      </w:r>
      <w:r>
        <w:rPr>
          <w:rFonts w:ascii="Times New Roman" w:hAnsi="Times New Roman" w:cs="Times New Roman" w:eastAsia="Times New Roman" w:hint="default"/>
        </w:rPr>
        <w:t>2018</w:t>
      </w:r>
      <w:r>
        <w:rPr/>
        <w:t>年第二次临时股东大会，审议通过了《关于</w:t>
      </w:r>
      <w:r>
        <w:rPr>
          <w:rFonts w:ascii="Times New Roman" w:hAnsi="Times New Roman" w:cs="Times New Roman" w:eastAsia="Times New Roman" w:hint="default"/>
        </w:rPr>
        <w:t>&lt;2018</w:t>
      </w:r>
      <w:r>
        <w:rPr/>
        <w:t>年股票期权激励计划（草案）</w:t>
      </w:r>
      <w:r>
        <w:rPr>
          <w:rFonts w:ascii="Times New Roman" w:hAnsi="Times New Roman" w:cs="Times New Roman" w:eastAsia="Times New Roman" w:hint="default"/>
        </w:rPr>
        <w:t>&gt;</w:t>
      </w:r>
      <w:r>
        <w:rPr/>
        <w:t>及其摘要的 议案》。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日，公司召开第七届董事会</w:t>
      </w:r>
      <w:r>
        <w:rPr>
          <w:rFonts w:ascii="Times New Roman" w:hAnsi="Times New Roman" w:cs="Times New Roman" w:eastAsia="Times New Roman" w:hint="default"/>
          <w:spacing w:val="-2"/>
        </w:rPr>
        <w:t>2018</w:t>
      </w:r>
      <w:r>
        <w:rPr>
          <w:spacing w:val="-2"/>
        </w:rPr>
        <w:t>年第六次临时会议、第七届监事会</w:t>
      </w:r>
      <w:r>
        <w:rPr>
          <w:rFonts w:ascii="Times New Roman" w:hAnsi="Times New Roman" w:cs="Times New Roman" w:eastAsia="Times New Roman" w:hint="default"/>
          <w:spacing w:val="-2"/>
        </w:rPr>
        <w:t>2018</w:t>
      </w:r>
      <w:r>
        <w:rPr>
          <w:spacing w:val="-2"/>
        </w:rPr>
        <w:t>年第六次临时会议，审议通过了《关于向</w:t>
      </w:r>
      <w:r>
        <w:rPr>
          <w:spacing w:val="-53"/>
        </w:rPr>
        <w:t> </w:t>
      </w:r>
      <w:r>
        <w:rPr>
          <w:spacing w:val="-53"/>
        </w:rPr>
      </w:r>
      <w:r>
        <w:rPr/>
        <w:t>股票期权激励计划激励对象授予股票期权的议案》。 </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7</w:t>
      </w:r>
      <w:r>
        <w:rPr>
          <w:spacing w:val="-4"/>
        </w:rPr>
        <w:t>日，公司完成《</w:t>
      </w:r>
      <w:r>
        <w:rPr>
          <w:rFonts w:ascii="Times New Roman" w:hAnsi="Times New Roman" w:cs="Times New Roman" w:eastAsia="Times New Roman" w:hint="default"/>
          <w:spacing w:val="-4"/>
        </w:rPr>
        <w:t>2018</w:t>
      </w:r>
      <w:r>
        <w:rPr>
          <w:spacing w:val="-4"/>
        </w:rPr>
        <w:t>年股票期权激励计划》所涉股票期权的登记工作。期权简称：易桥</w:t>
      </w:r>
      <w:r>
        <w:rPr>
          <w:rFonts w:ascii="Times New Roman" w:hAnsi="Times New Roman" w:cs="Times New Roman" w:eastAsia="Times New Roman" w:hint="default"/>
          <w:spacing w:val="-4"/>
        </w:rPr>
        <w:t>JLC1</w:t>
      </w:r>
      <w:r>
        <w:rPr>
          <w:spacing w:val="-4"/>
        </w:rPr>
        <w:t>；期权代码：</w:t>
      </w:r>
      <w:r>
        <w:rPr>
          <w:rFonts w:ascii="Times New Roman" w:hAnsi="Times New Roman" w:cs="Times New Roman" w:eastAsia="Times New Roman" w:hint="default"/>
          <w:spacing w:val="-4"/>
        </w:rPr>
        <w:t>037061</w:t>
      </w:r>
      <w:r>
        <w:rPr>
          <w:spacing w:val="-4"/>
        </w:rPr>
        <w:t>；</w:t>
      </w:r>
      <w:r>
        <w:rPr>
          <w:spacing w:val="-34"/>
        </w:rPr>
        <w:t> </w:t>
      </w:r>
      <w:r>
        <w:rPr/>
        <w:t>授予日：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日；授予激励对象人数：</w:t>
      </w:r>
      <w:r>
        <w:rPr>
          <w:rFonts w:ascii="Times New Roman" w:hAnsi="Times New Roman" w:cs="Times New Roman" w:eastAsia="Times New Roman" w:hint="default"/>
        </w:rPr>
        <w:t>51</w:t>
      </w:r>
      <w:r>
        <w:rPr/>
        <w:t>人；授予股票期权数量：</w:t>
      </w:r>
      <w:r>
        <w:rPr>
          <w:rFonts w:ascii="Times New Roman" w:hAnsi="Times New Roman" w:cs="Times New Roman" w:eastAsia="Times New Roman" w:hint="default"/>
        </w:rPr>
        <w:t>2,490</w:t>
      </w:r>
      <w:r>
        <w:rPr/>
        <w:t>万份；行权价格：</w:t>
      </w:r>
      <w:r>
        <w:rPr>
          <w:rFonts w:ascii="Times New Roman" w:hAnsi="Times New Roman" w:cs="Times New Roman" w:eastAsia="Times New Roman" w:hint="default"/>
        </w:rPr>
        <w:t>8.22</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日，公司召开第八届董事会</w:t>
      </w:r>
      <w:r>
        <w:rPr>
          <w:rFonts w:ascii="Times New Roman" w:hAnsi="Times New Roman" w:cs="Times New Roman" w:eastAsia="Times New Roman" w:hint="default"/>
          <w:spacing w:val="-2"/>
        </w:rPr>
        <w:t>2018</w:t>
      </w:r>
      <w:r>
        <w:rPr>
          <w:spacing w:val="-2"/>
        </w:rPr>
        <w:t>年第七次临时会议、第八届监事会</w:t>
      </w:r>
      <w:r>
        <w:rPr>
          <w:rFonts w:ascii="Times New Roman" w:hAnsi="Times New Roman" w:cs="Times New Roman" w:eastAsia="Times New Roman" w:hint="default"/>
          <w:spacing w:val="-2"/>
        </w:rPr>
        <w:t>2018</w:t>
      </w:r>
      <w:r>
        <w:rPr>
          <w:spacing w:val="-2"/>
        </w:rPr>
        <w:t>年第七次临时会议，审议通过了《关于</w:t>
      </w:r>
    </w:p>
    <w:p>
      <w:pPr>
        <w:pStyle w:val="BodyText"/>
        <w:spacing w:line="300" w:lineRule="auto" w:before="7"/>
        <w:ind w:right="1032"/>
        <w:jc w:val="left"/>
      </w:pPr>
      <w:r>
        <w:rPr>
          <w:rFonts w:ascii="Times New Roman" w:hAnsi="Times New Roman" w:cs="Times New Roman" w:eastAsia="Times New Roman" w:hint="default"/>
          <w:spacing w:val="-2"/>
        </w:rPr>
        <w:t>2018</w:t>
      </w:r>
      <w:r>
        <w:rPr>
          <w:spacing w:val="-2"/>
        </w:rPr>
        <w:t>年股票期权激励计划部分股票期权注销的议案》，公司</w:t>
      </w:r>
      <w:r>
        <w:rPr>
          <w:rFonts w:ascii="Times New Roman" w:hAnsi="Times New Roman" w:cs="Times New Roman" w:eastAsia="Times New Roman" w:hint="default"/>
          <w:spacing w:val="-2"/>
        </w:rPr>
        <w:t>2018</w:t>
      </w:r>
      <w:r>
        <w:rPr>
          <w:spacing w:val="-2"/>
        </w:rPr>
        <w:t>年股票期权激励计划激励对象中有</w:t>
      </w:r>
      <w:r>
        <w:rPr>
          <w:rFonts w:ascii="Times New Roman" w:hAnsi="Times New Roman" w:cs="Times New Roman" w:eastAsia="Times New Roman" w:hint="default"/>
          <w:spacing w:val="-2"/>
        </w:rPr>
        <w:t>12</w:t>
      </w:r>
      <w:r>
        <w:rPr>
          <w:spacing w:val="-2"/>
        </w:rPr>
        <w:t>名激励对象离职。鉴于</w:t>
      </w:r>
      <w:r>
        <w:rPr>
          <w:spacing w:val="-56"/>
        </w:rPr>
        <w:t> </w:t>
      </w:r>
      <w:r>
        <w:rPr>
          <w:spacing w:val="-56"/>
        </w:rPr>
      </w:r>
      <w:r>
        <w:rPr/>
        <w:t>此，公司将对上述离职人员已获授但尚未行权的</w:t>
      </w:r>
      <w:r>
        <w:rPr>
          <w:rFonts w:ascii="Times New Roman" w:hAnsi="Times New Roman" w:cs="Times New Roman" w:eastAsia="Times New Roman" w:hint="default"/>
        </w:rPr>
        <w:t>295</w:t>
      </w:r>
      <w:r>
        <w:rPr/>
        <w:t>万份股票期权予以注销。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日，经中国证券登记结算有限责任公司深圳分公司审核确认，上述</w:t>
      </w:r>
      <w:r>
        <w:rPr>
          <w:rFonts w:ascii="Times New Roman" w:hAnsi="Times New Roman" w:cs="Times New Roman" w:eastAsia="Times New Roman" w:hint="default"/>
        </w:rPr>
        <w:t>295</w:t>
      </w:r>
      <w:r>
        <w:rPr/>
        <w:t>万份股票期权注销事宜已办理完毕。 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日刊载于《证券时报》、</w:t>
      </w:r>
    </w:p>
    <w:p>
      <w:pPr>
        <w:pStyle w:val="BodyText"/>
        <w:spacing w:line="240" w:lineRule="auto" w:before="13"/>
        <w:ind w:right="0"/>
        <w:jc w:val="left"/>
      </w:pPr>
      <w:r>
        <w:rPr/>
        <w:t>《证券日报》和巨潮资讯网的相关公告。</w:t>
      </w:r>
    </w:p>
    <w:p>
      <w:pPr>
        <w:pStyle w:val="BodyText"/>
        <w:spacing w:line="300" w:lineRule="auto" w:before="76"/>
        <w:ind w:right="1132"/>
        <w:jc w:val="left"/>
      </w:pPr>
      <w:r>
        <w:rPr>
          <w:rFonts w:ascii="Times New Roman" w:hAnsi="Times New Roman" w:cs="Times New Roman" w:eastAsia="Times New Roman" w:hint="default"/>
        </w:rPr>
        <w:t>2</w:t>
      </w:r>
      <w:r>
        <w:rPr/>
        <w:t>、员工持股计划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日召开第七届董事会</w:t>
      </w:r>
      <w:r>
        <w:rPr>
          <w:rFonts w:ascii="Times New Roman" w:hAnsi="Times New Roman" w:cs="Times New Roman" w:eastAsia="Times New Roman" w:hint="default"/>
        </w:rPr>
        <w:t>2017</w:t>
      </w:r>
      <w:r>
        <w:rPr/>
        <w:t>年第二次临时会议、第七届监事会</w:t>
      </w:r>
      <w:r>
        <w:rPr>
          <w:rFonts w:ascii="Times New Roman" w:hAnsi="Times New Roman" w:cs="Times New Roman" w:eastAsia="Times New Roman" w:hint="default"/>
        </w:rPr>
        <w:t>2017</w:t>
      </w:r>
      <w:r>
        <w:rPr/>
        <w:t>年第二次临时会议、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日召开 </w:t>
      </w:r>
      <w:r>
        <w:rPr>
          <w:rFonts w:ascii="Times New Roman" w:hAnsi="Times New Roman" w:cs="Times New Roman" w:eastAsia="Times New Roman" w:hint="default"/>
          <w:spacing w:val="-2"/>
        </w:rPr>
        <w:t>2016</w:t>
      </w:r>
      <w:r>
        <w:rPr>
          <w:spacing w:val="-2"/>
        </w:rPr>
        <w:t>年度股东大会，审议通过了《关于员工持股计划（草案）及摘要的议案》及相关议案。截至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日，公司第一</w:t>
      </w:r>
      <w:r>
        <w:rPr>
          <w:spacing w:val="-59"/>
        </w:rPr>
        <w:t> </w:t>
      </w:r>
      <w:r>
        <w:rPr>
          <w:spacing w:val="-59"/>
        </w:rPr>
      </w:r>
      <w:r>
        <w:rPr/>
        <w:t>期员工持股计划通过深圳证券交易所交易系统购买公司股票合计</w:t>
      </w:r>
      <w:r>
        <w:rPr>
          <w:rFonts w:ascii="Times New Roman" w:hAnsi="Times New Roman" w:cs="Times New Roman" w:eastAsia="Times New Roman" w:hint="default"/>
        </w:rPr>
        <w:t>18,764,066</w:t>
      </w:r>
      <w:r>
        <w:rPr/>
        <w:t>股，交易均价为</w:t>
      </w:r>
      <w:r>
        <w:rPr>
          <w:rFonts w:ascii="Times New Roman" w:hAnsi="Times New Roman" w:cs="Times New Roman" w:eastAsia="Times New Roman" w:hint="default"/>
        </w:rPr>
        <w:t>10.114</w:t>
      </w:r>
      <w:r>
        <w:rPr/>
        <w:t>元</w:t>
      </w:r>
      <w:r>
        <w:rPr>
          <w:rFonts w:ascii="Times New Roman" w:hAnsi="Times New Roman" w:cs="Times New Roman" w:eastAsia="Times New Roman" w:hint="default"/>
        </w:rPr>
        <w:t>/</w:t>
      </w:r>
      <w:r>
        <w:rPr/>
        <w:t>股，成交金额合计 </w:t>
      </w:r>
      <w:r>
        <w:rPr>
          <w:rFonts w:ascii="Times New Roman" w:hAnsi="Times New Roman" w:cs="Times New Roman" w:eastAsia="Times New Roman" w:hint="default"/>
          <w:spacing w:val="-5"/>
        </w:rPr>
        <w:t>189,780,335.96</w:t>
      </w:r>
      <w:r>
        <w:rPr>
          <w:spacing w:val="-5"/>
        </w:rPr>
        <w:t>元，买入股票数量占公司总股本的</w:t>
      </w:r>
      <w:r>
        <w:rPr>
          <w:rFonts w:ascii="Times New Roman" w:hAnsi="Times New Roman" w:cs="Times New Roman" w:eastAsia="Times New Roman" w:hint="default"/>
          <w:spacing w:val="-5"/>
        </w:rPr>
        <w:t>2.45%</w:t>
      </w:r>
      <w:r>
        <w:rPr>
          <w:spacing w:val="-5"/>
        </w:rPr>
        <w:t>。公司已完成本期员工持股计划标的股票的购买。根据公司《</w:t>
      </w:r>
      <w:r>
        <w:rPr>
          <w:rFonts w:ascii="Times New Roman" w:hAnsi="Times New Roman" w:cs="Times New Roman" w:eastAsia="Times New Roman" w:hint="default"/>
          <w:spacing w:val="-5"/>
        </w:rPr>
        <w:t>2017-2019</w:t>
      </w:r>
      <w:r>
        <w:rPr>
          <w:rFonts w:ascii="Times New Roman" w:hAnsi="Times New Roman" w:cs="Times New Roman" w:eastAsia="Times New Roman" w:hint="default"/>
          <w:spacing w:val="6"/>
        </w:rPr>
        <w:t> </w:t>
      </w:r>
      <w:r>
        <w:rPr/>
        <w:t>员工持股计划方案》，所购买股票锁定期为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日起</w:t>
      </w:r>
      <w:r>
        <w:rPr>
          <w:rFonts w:ascii="Times New Roman" w:hAnsi="Times New Roman" w:cs="Times New Roman" w:eastAsia="Times New Roman" w:hint="default"/>
        </w:rPr>
        <w:t>12</w:t>
      </w:r>
      <w:r>
        <w:rPr/>
        <w:t>个月。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日，上述员工持股计划所购买股票锁定期已满。 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日刊载于《证券时报》、《证券日报》和巨潮资讯网的相关公告。</w:t>
      </w:r>
    </w:p>
    <w:p>
      <w:pPr>
        <w:spacing w:after="0" w:line="30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754" w:right="6760"/>
        <w:jc w:val="left"/>
      </w:pPr>
      <w:r>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left="754" w:right="676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754" w:right="67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754" w:right="676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7"/>
        <w:gridCol w:w="1552"/>
        <w:gridCol w:w="925"/>
        <w:gridCol w:w="1566"/>
        <w:gridCol w:w="1048"/>
        <w:gridCol w:w="1208"/>
        <w:gridCol w:w="1054"/>
        <w:gridCol w:w="787"/>
        <w:gridCol w:w="778"/>
      </w:tblGrid>
      <w:tr>
        <w:trPr>
          <w:trHeight w:val="402" w:hRule="exact"/>
        </w:trPr>
        <w:tc>
          <w:tcPr>
            <w:tcW w:w="1090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0"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8"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0" w:right="3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4"/>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35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91" w:type="dxa"/>
            <w:gridSpan w:val="2"/>
            <w:vMerge w:val="restart"/>
            <w:tcBorders>
              <w:top w:val="single" w:sz="4" w:space="0" w:color="000000"/>
              <w:left w:val="single" w:sz="9" w:space="0" w:color="D2D2D2"/>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 w:right="71"/>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9" w:type="dxa"/>
            <w:gridSpan w:val="3"/>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4,700</w:t>
            </w:r>
          </w:p>
        </w:tc>
      </w:tr>
      <w:tr>
        <w:trPr>
          <w:trHeight w:val="391" w:hRule="exact"/>
        </w:trPr>
        <w:tc>
          <w:tcPr>
            <w:tcW w:w="35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491" w:type="dxa"/>
            <w:gridSpan w:val="2"/>
            <w:vMerge/>
            <w:tcBorders>
              <w:left w:val="single" w:sz="9" w:space="0" w:color="D2D2D2"/>
              <w:right w:val="single" w:sz="9" w:space="0" w:color="D2D2D2"/>
            </w:tcBorders>
          </w:tcPr>
          <w:p>
            <w:pPr/>
          </w:p>
        </w:tc>
        <w:tc>
          <w:tcPr>
            <w:tcW w:w="2256" w:type="dxa"/>
            <w:gridSpan w:val="2"/>
            <w:vMerge/>
            <w:tcBorders>
              <w:left w:val="single" w:sz="4" w:space="0" w:color="000000"/>
              <w:right w:val="single" w:sz="4" w:space="0" w:color="000000"/>
            </w:tcBorders>
            <w:shd w:val="clear" w:color="auto" w:fill="D2D2D2"/>
          </w:tcPr>
          <w:p>
            <w:pPr/>
          </w:p>
        </w:tc>
        <w:tc>
          <w:tcPr>
            <w:tcW w:w="2619" w:type="dxa"/>
            <w:gridSpan w:val="3"/>
            <w:vMerge/>
            <w:tcBorders>
              <w:left w:val="single" w:sz="10" w:space="0" w:color="D2D2D2"/>
              <w:right w:val="single" w:sz="4" w:space="0" w:color="000000"/>
            </w:tcBorders>
          </w:tcPr>
          <w:p>
            <w:pPr/>
          </w:p>
        </w:tc>
      </w:tr>
      <w:tr>
        <w:trPr>
          <w:trHeight w:val="161" w:hRule="exact"/>
        </w:trPr>
        <w:tc>
          <w:tcPr>
            <w:tcW w:w="35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91" w:type="dxa"/>
            <w:gridSpan w:val="2"/>
            <w:vMerge/>
            <w:tcBorders>
              <w:left w:val="single" w:sz="9" w:space="0" w:color="D2D2D2"/>
              <w:bottom w:val="single" w:sz="4" w:space="0" w:color="000000"/>
              <w:right w:val="single" w:sz="9" w:space="0" w:color="D2D2D2"/>
            </w:tcBorders>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2619" w:type="dxa"/>
            <w:gridSpan w:val="3"/>
            <w:vMerge/>
            <w:tcBorders>
              <w:left w:val="single" w:sz="10" w:space="0" w:color="D2D2D2"/>
              <w:bottom w:val="single" w:sz="4" w:space="0" w:color="000000"/>
              <w:right w:val="single" w:sz="4" w:space="0" w:color="000000"/>
            </w:tcBorders>
          </w:tcPr>
          <w:p>
            <w:pPr/>
          </w:p>
        </w:tc>
      </w:tr>
      <w:tr>
        <w:trPr>
          <w:trHeight w:val="161" w:hRule="exact"/>
        </w:trPr>
        <w:tc>
          <w:tcPr>
            <w:tcW w:w="35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91" w:type="dxa"/>
            <w:gridSpan w:val="2"/>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 w:right="71"/>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9" w:type="dxa"/>
            <w:gridSpan w:val="3"/>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4,700</w:t>
            </w:r>
          </w:p>
        </w:tc>
      </w:tr>
      <w:tr>
        <w:trPr>
          <w:trHeight w:val="391" w:hRule="exact"/>
        </w:trPr>
        <w:tc>
          <w:tcPr>
            <w:tcW w:w="35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491" w:type="dxa"/>
            <w:gridSpan w:val="2"/>
            <w:vMerge/>
            <w:tcBorders>
              <w:left w:val="single" w:sz="9" w:space="0" w:color="D2D2D2"/>
              <w:right w:val="single" w:sz="9" w:space="0" w:color="D2D2D2"/>
            </w:tcBorders>
          </w:tcPr>
          <w:p>
            <w:pPr/>
          </w:p>
        </w:tc>
        <w:tc>
          <w:tcPr>
            <w:tcW w:w="2256" w:type="dxa"/>
            <w:gridSpan w:val="2"/>
            <w:vMerge/>
            <w:tcBorders>
              <w:left w:val="single" w:sz="4" w:space="0" w:color="000000"/>
              <w:right w:val="single" w:sz="4" w:space="0" w:color="000000"/>
            </w:tcBorders>
            <w:shd w:val="clear" w:color="auto" w:fill="D2D2D2"/>
          </w:tcPr>
          <w:p>
            <w:pPr/>
          </w:p>
        </w:tc>
        <w:tc>
          <w:tcPr>
            <w:tcW w:w="2619" w:type="dxa"/>
            <w:gridSpan w:val="3"/>
            <w:vMerge/>
            <w:tcBorders>
              <w:left w:val="single" w:sz="10" w:space="0" w:color="D2D2D2"/>
              <w:right w:val="single" w:sz="4" w:space="0" w:color="000000"/>
            </w:tcBorders>
          </w:tcPr>
          <w:p>
            <w:pPr/>
          </w:p>
        </w:tc>
      </w:tr>
      <w:tr>
        <w:trPr>
          <w:trHeight w:val="167" w:hRule="exact"/>
        </w:trPr>
        <w:tc>
          <w:tcPr>
            <w:tcW w:w="35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91" w:type="dxa"/>
            <w:gridSpan w:val="2"/>
            <w:vMerge/>
            <w:tcBorders>
              <w:left w:val="single" w:sz="9" w:space="0" w:color="D2D2D2"/>
              <w:bottom w:val="single" w:sz="4" w:space="0" w:color="000000"/>
              <w:right w:val="single" w:sz="9" w:space="0" w:color="D2D2D2"/>
            </w:tcBorders>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2619" w:type="dxa"/>
            <w:gridSpan w:val="3"/>
            <w:vMerge/>
            <w:tcBorders>
              <w:left w:val="single" w:sz="10" w:space="0" w:color="D2D2D2"/>
              <w:bottom w:val="single" w:sz="4" w:space="0" w:color="000000"/>
              <w:right w:val="single" w:sz="4" w:space="0" w:color="000000"/>
            </w:tcBorders>
          </w:tcPr>
          <w:p>
            <w:pPr/>
          </w:p>
        </w:tc>
      </w:tr>
      <w:tr>
        <w:trPr>
          <w:trHeight w:val="397" w:hRule="exact"/>
        </w:trPr>
        <w:tc>
          <w:tcPr>
            <w:tcW w:w="1090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0"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25" w:right="7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05"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7" w:right="1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2"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1"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pacing w:val="-5"/>
                <w:sz w:val="18"/>
                <w:szCs w:val="18"/>
              </w:rPr>
              <w:t>神州易桥（北京）财税科</w:t>
            </w:r>
            <w:r>
              <w:rPr>
                <w:rFonts w:ascii="宋体" w:hAnsi="宋体" w:cs="宋体" w:eastAsia="宋体" w:hint="default"/>
                <w:sz w:val="18"/>
                <w:szCs w:val="18"/>
              </w:rPr>
              <w:t>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霍尔果斯快马财税管理 服务有限公司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w:t>
            </w:r>
          </w:p>
        </w:tc>
        <w:tc>
          <w:tcPr>
            <w:tcW w:w="1566"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35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91" w:type="dxa"/>
            <w:gridSpan w:val="2"/>
            <w:vMerge w:val="restart"/>
            <w:tcBorders>
              <w:top w:val="single" w:sz="4" w:space="0" w:color="000000"/>
              <w:left w:val="single" w:sz="9" w:space="0" w:color="D2D2D2"/>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50,000</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2"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9" w:type="dxa"/>
            <w:gridSpan w:val="3"/>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5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91" w:type="dxa"/>
            <w:gridSpan w:val="2"/>
            <w:vMerge/>
            <w:tcBorders>
              <w:left w:val="single" w:sz="9" w:space="0" w:color="D2D2D2"/>
              <w:right w:val="single" w:sz="9" w:space="0" w:color="D2D2D2"/>
            </w:tcBorders>
          </w:tcPr>
          <w:p>
            <w:pPr/>
          </w:p>
        </w:tc>
        <w:tc>
          <w:tcPr>
            <w:tcW w:w="2256" w:type="dxa"/>
            <w:gridSpan w:val="2"/>
            <w:vMerge/>
            <w:tcBorders>
              <w:left w:val="single" w:sz="4" w:space="0" w:color="000000"/>
              <w:right w:val="single" w:sz="4" w:space="0" w:color="000000"/>
            </w:tcBorders>
            <w:shd w:val="clear" w:color="auto" w:fill="D2D2D2"/>
          </w:tcPr>
          <w:p>
            <w:pPr/>
          </w:p>
        </w:tc>
        <w:tc>
          <w:tcPr>
            <w:tcW w:w="2619" w:type="dxa"/>
            <w:gridSpan w:val="3"/>
            <w:vMerge/>
            <w:tcBorders>
              <w:left w:val="single" w:sz="10" w:space="0" w:color="D2D2D2"/>
              <w:right w:val="single" w:sz="4" w:space="0" w:color="000000"/>
            </w:tcBorders>
          </w:tcPr>
          <w:p>
            <w:pPr/>
          </w:p>
        </w:tc>
      </w:tr>
      <w:tr>
        <w:trPr>
          <w:trHeight w:val="161" w:hRule="exact"/>
        </w:trPr>
        <w:tc>
          <w:tcPr>
            <w:tcW w:w="35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91" w:type="dxa"/>
            <w:gridSpan w:val="2"/>
            <w:vMerge/>
            <w:tcBorders>
              <w:left w:val="single" w:sz="9" w:space="0" w:color="D2D2D2"/>
              <w:bottom w:val="single" w:sz="4" w:space="0" w:color="000000"/>
              <w:right w:val="single" w:sz="9" w:space="0" w:color="D2D2D2"/>
            </w:tcBorders>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2619" w:type="dxa"/>
            <w:gridSpan w:val="3"/>
            <w:vMerge/>
            <w:tcBorders>
              <w:left w:val="single" w:sz="10" w:space="0" w:color="D2D2D2"/>
              <w:bottom w:val="single" w:sz="4" w:space="0" w:color="000000"/>
              <w:right w:val="single" w:sz="4" w:space="0" w:color="000000"/>
            </w:tcBorders>
          </w:tcPr>
          <w:p>
            <w:pPr/>
          </w:p>
        </w:tc>
      </w:tr>
      <w:tr>
        <w:trPr>
          <w:trHeight w:val="719" w:hRule="exact"/>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9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50,000</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1090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0" w:right="5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6"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11" w:right="2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2"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1"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090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167" w:hRule="exact"/>
        </w:trPr>
        <w:tc>
          <w:tcPr>
            <w:tcW w:w="353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491" w:type="dxa"/>
            <w:gridSpan w:val="2"/>
            <w:vMerge w:val="restart"/>
            <w:tcBorders>
              <w:top w:val="single" w:sz="4" w:space="0" w:color="000000"/>
              <w:left w:val="single" w:sz="9" w:space="0" w:color="D2D2D2"/>
              <w:right w:val="single" w:sz="9" w:space="0" w:color="D2D2D2"/>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55,000</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2"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9" w:type="dxa"/>
            <w:gridSpan w:val="3"/>
            <w:vMerge w:val="restart"/>
            <w:tcBorders>
              <w:top w:val="single" w:sz="4" w:space="0" w:color="000000"/>
              <w:left w:val="single" w:sz="10" w:space="0" w:color="D2D2D2"/>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4,700</w:t>
            </w:r>
          </w:p>
        </w:tc>
      </w:tr>
      <w:tr>
        <w:trPr>
          <w:trHeight w:val="391" w:hRule="exact"/>
        </w:trPr>
        <w:tc>
          <w:tcPr>
            <w:tcW w:w="353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491" w:type="dxa"/>
            <w:gridSpan w:val="2"/>
            <w:vMerge/>
            <w:tcBorders>
              <w:left w:val="single" w:sz="9" w:space="0" w:color="D2D2D2"/>
              <w:right w:val="single" w:sz="9" w:space="0" w:color="D2D2D2"/>
            </w:tcBorders>
          </w:tcPr>
          <w:p>
            <w:pPr/>
          </w:p>
        </w:tc>
        <w:tc>
          <w:tcPr>
            <w:tcW w:w="2256" w:type="dxa"/>
            <w:gridSpan w:val="2"/>
            <w:vMerge/>
            <w:tcBorders>
              <w:left w:val="single" w:sz="4" w:space="0" w:color="000000"/>
              <w:right w:val="single" w:sz="4" w:space="0" w:color="000000"/>
            </w:tcBorders>
            <w:shd w:val="clear" w:color="auto" w:fill="D2D2D2"/>
          </w:tcPr>
          <w:p>
            <w:pPr/>
          </w:p>
        </w:tc>
        <w:tc>
          <w:tcPr>
            <w:tcW w:w="2619" w:type="dxa"/>
            <w:gridSpan w:val="3"/>
            <w:vMerge/>
            <w:tcBorders>
              <w:left w:val="single" w:sz="10" w:space="0" w:color="D2D2D2"/>
              <w:right w:val="single" w:sz="4" w:space="0" w:color="000000"/>
            </w:tcBorders>
          </w:tcPr>
          <w:p>
            <w:pPr/>
          </w:p>
        </w:tc>
      </w:tr>
      <w:tr>
        <w:trPr>
          <w:trHeight w:val="161" w:hRule="exact"/>
        </w:trPr>
        <w:tc>
          <w:tcPr>
            <w:tcW w:w="353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491" w:type="dxa"/>
            <w:gridSpan w:val="2"/>
            <w:vMerge/>
            <w:tcBorders>
              <w:left w:val="single" w:sz="9" w:space="0" w:color="D2D2D2"/>
              <w:bottom w:val="single" w:sz="4" w:space="0" w:color="000000"/>
              <w:right w:val="single" w:sz="9" w:space="0" w:color="D2D2D2"/>
            </w:tcBorders>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2619" w:type="dxa"/>
            <w:gridSpan w:val="3"/>
            <w:vMerge/>
            <w:tcBorders>
              <w:left w:val="single" w:sz="10" w:space="0" w:color="D2D2D2"/>
              <w:bottom w:val="single" w:sz="4" w:space="0" w:color="000000"/>
              <w:right w:val="single" w:sz="4" w:space="0" w:color="000000"/>
            </w:tcBorders>
          </w:tcPr>
          <w:p>
            <w:pPr/>
          </w:p>
        </w:tc>
      </w:tr>
      <w:tr>
        <w:trPr>
          <w:trHeight w:val="714" w:hRule="exact"/>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49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55,000</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4,700</w:t>
            </w:r>
          </w:p>
        </w:tc>
      </w:tr>
      <w:tr>
        <w:trPr>
          <w:trHeight w:val="407" w:hRule="exact"/>
        </w:trPr>
        <w:tc>
          <w:tcPr>
            <w:tcW w:w="60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87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1.69%</w:t>
            </w:r>
          </w:p>
        </w:tc>
      </w:tr>
      <w:tr>
        <w:trPr>
          <w:trHeight w:val="397" w:hRule="exact"/>
        </w:trPr>
        <w:tc>
          <w:tcPr>
            <w:tcW w:w="1090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7" w:footer="979" w:top="1100" w:bottom="1160" w:left="380" w:right="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6013"/>
        <w:gridCol w:w="4887"/>
      </w:tblGrid>
      <w:tr>
        <w:trPr>
          <w:trHeight w:val="402"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对未到期担保，报告期内已发生担保责任或可能承担连带清偿责任的情况说 明（如有）</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6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754" w:right="676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754" w:right="676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754" w:right="67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754" w:right="676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754" w:right="676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380" w:right="0"/>
        </w:sectPr>
      </w:pPr>
    </w:p>
    <w:p>
      <w:pPr>
        <w:pStyle w:val="BodyText"/>
        <w:spacing w:line="340" w:lineRule="auto" w:before="44"/>
        <w:ind w:left="7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753" w:right="0"/>
        <w:jc w:val="left"/>
      </w:pPr>
      <w:r>
        <w:rPr/>
        <w:t>单位：万元</w:t>
      </w:r>
    </w:p>
    <w:p>
      <w:pPr>
        <w:spacing w:after="0" w:line="240" w:lineRule="auto"/>
        <w:jc w:val="left"/>
        <w:sectPr>
          <w:type w:val="continuous"/>
          <w:pgSz w:w="11910" w:h="16840"/>
          <w:pgMar w:top="1060" w:bottom="1160" w:left="380" w:right="0"/>
          <w:cols w:num="2" w:equalWidth="0">
            <w:col w:w="2555" w:space="6185"/>
            <w:col w:w="2790"/>
          </w:cols>
        </w:sectPr>
      </w:pPr>
    </w:p>
    <w:p>
      <w:pPr>
        <w:spacing w:line="240" w:lineRule="auto" w:before="0"/>
        <w:rPr>
          <w:rFonts w:ascii="宋体" w:hAnsi="宋体" w:cs="宋体" w:eastAsia="宋体" w:hint="default"/>
          <w:sz w:val="8"/>
          <w:szCs w:val="8"/>
        </w:rPr>
      </w:pPr>
    </w:p>
    <w:tbl>
      <w:tblPr>
        <w:tblW w:w="0" w:type="auto"/>
        <w:jc w:val="left"/>
        <w:tblInd w:w="749" w:type="dxa"/>
        <w:tblLayout w:type="fixed"/>
        <w:tblCellMar>
          <w:top w:w="0" w:type="dxa"/>
          <w:left w:w="0" w:type="dxa"/>
          <w:bottom w:w="0" w:type="dxa"/>
          <w:right w:w="0" w:type="dxa"/>
        </w:tblCellMar>
        <w:tblLook w:val="01E0"/>
      </w:tblPr>
      <w:tblGrid>
        <w:gridCol w:w="1869"/>
        <w:gridCol w:w="1959"/>
        <w:gridCol w:w="1981"/>
        <w:gridCol w:w="1910"/>
        <w:gridCol w:w="1850"/>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18,669.9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4,881.62</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28,669.9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4,881.62</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380" w:right="0"/>
        </w:sectPr>
      </w:pPr>
    </w:p>
    <w:p>
      <w:pPr>
        <w:pStyle w:val="BodyText"/>
        <w:spacing w:line="240" w:lineRule="auto" w:before="78"/>
        <w:ind w:left="300" w:right="-20"/>
        <w:jc w:val="left"/>
      </w:pPr>
      <w:r>
        <w:rPr/>
        <w:pict>
          <v:group style="position:absolute;margin-left:70.5pt;margin-top:2.231738pt;width:701pt;height:.1pt;mso-position-horizontal-relative:page;mso-position-vertical-relative:paragraph;z-index:2296" coordorigin="1410,45" coordsize="14020,2">
            <v:shape style="position:absolute;left:1410;top:45;width:14020;height:2" coordorigin="1410,45" coordsize="14020,0" path="m1410,45l15430,45e" filled="false" stroked="true" strokeweight=".72pt" strokecolor="#000000">
              <v:path arrowok="t"/>
            </v:shape>
            <w10:wrap type="none"/>
          </v:group>
        </w:pict>
      </w:r>
      <w:r>
        <w:rPr/>
        <w:t>单项金额重大或安全性较低、流动性较差、不保本的高风险委托理财具体情况</w:t>
      </w:r>
    </w:p>
    <w:p>
      <w:pPr>
        <w:pStyle w:val="BodyText"/>
        <w:spacing w:line="240" w:lineRule="auto" w:before="116"/>
        <w:ind w:left="300"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240" w:lineRule="auto"/>
        <w:ind w:left="300" w:right="0"/>
        <w:jc w:val="left"/>
      </w:pPr>
      <w:r>
        <w:rPr/>
        <w:t>单位：万元</w:t>
      </w:r>
    </w:p>
    <w:p>
      <w:pPr>
        <w:spacing w:after="0" w:line="240" w:lineRule="auto"/>
        <w:jc w:val="left"/>
        <w:sectPr>
          <w:headerReference w:type="default" r:id="rId22"/>
          <w:footerReference w:type="default" r:id="rId23"/>
          <w:pgSz w:w="16840" w:h="11910" w:orient="landscape"/>
          <w:pgMar w:header="867" w:footer="979" w:top="1060" w:bottom="1160" w:left="1140" w:right="1140"/>
          <w:pgNumType w:start="58"/>
          <w:cols w:num="2" w:equalWidth="0">
            <w:col w:w="6421" w:space="6542"/>
            <w:col w:w="1597"/>
          </w:cols>
        </w:sectPr>
      </w:pP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51"/>
        <w:gridCol w:w="819"/>
        <w:gridCol w:w="607"/>
        <w:gridCol w:w="574"/>
        <w:gridCol w:w="560"/>
        <w:gridCol w:w="786"/>
        <w:gridCol w:w="852"/>
        <w:gridCol w:w="560"/>
        <w:gridCol w:w="715"/>
        <w:gridCol w:w="560"/>
        <w:gridCol w:w="562"/>
        <w:gridCol w:w="560"/>
        <w:gridCol w:w="836"/>
        <w:gridCol w:w="708"/>
        <w:gridCol w:w="547"/>
        <w:gridCol w:w="888"/>
        <w:gridCol w:w="3342"/>
      </w:tblGrid>
      <w:tr>
        <w:trPr>
          <w:trHeight w:val="1650"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 w:right="0"/>
              <w:jc w:val="left"/>
              <w:rPr>
                <w:rFonts w:ascii="宋体" w:hAnsi="宋体" w:cs="宋体" w:eastAsia="宋体" w:hint="default"/>
                <w:sz w:val="18"/>
                <w:szCs w:val="18"/>
              </w:rPr>
            </w:pPr>
            <w:r>
              <w:rPr>
                <w:rFonts w:ascii="宋体" w:hAnsi="宋体" w:cs="宋体" w:eastAsia="宋体" w:hint="default"/>
                <w:sz w:val="18"/>
                <w:szCs w:val="18"/>
              </w:rPr>
              <w:t>受托机构</w:t>
            </w:r>
          </w:p>
          <w:p>
            <w:pPr>
              <w:pStyle w:val="TableParagraph"/>
              <w:spacing w:line="319" w:lineRule="auto" w:before="76"/>
              <w:ind w:left="43" w:right="45"/>
              <w:jc w:val="left"/>
              <w:rPr>
                <w:rFonts w:ascii="宋体" w:hAnsi="宋体" w:cs="宋体" w:eastAsia="宋体" w:hint="default"/>
                <w:sz w:val="18"/>
                <w:szCs w:val="18"/>
              </w:rPr>
            </w:pPr>
            <w:r>
              <w:rPr>
                <w:rFonts w:ascii="宋体" w:hAnsi="宋体" w:cs="宋体" w:eastAsia="宋体" w:hint="default"/>
                <w:sz w:val="18"/>
                <w:szCs w:val="18"/>
              </w:rPr>
              <w:t>（或受托 人）类型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07" w:right="29"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1" w:right="83"/>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4"/>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5" w:right="94"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4" w:right="50"/>
              <w:jc w:val="both"/>
              <w:rPr>
                <w:rFonts w:ascii="宋体" w:hAnsi="宋体" w:cs="宋体" w:eastAsia="宋体" w:hint="default"/>
                <w:sz w:val="18"/>
                <w:szCs w:val="18"/>
              </w:rPr>
            </w:pPr>
            <w:r>
              <w:rPr>
                <w:rFonts w:ascii="宋体" w:hAnsi="宋体" w:cs="宋体" w:eastAsia="宋体" w:hint="default"/>
                <w:sz w:val="18"/>
                <w:szCs w:val="18"/>
              </w:rPr>
              <w:t>报告期损 益实际收 回情况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hanging="2"/>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8"/>
                <w:sz w:val="18"/>
                <w:szCs w:val="18"/>
              </w:rPr>
              <w:t>金额（如</w:t>
            </w:r>
            <w:r>
              <w:rPr>
                <w:rFonts w:ascii="宋体" w:hAnsi="宋体" w:cs="宋体" w:eastAsia="宋体" w:hint="default"/>
                <w:sz w:val="18"/>
                <w:szCs w:val="18"/>
              </w:rPr>
              <w:t>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7" w:right="78"/>
              <w:jc w:val="both"/>
              <w:rPr>
                <w:rFonts w:ascii="宋体" w:hAnsi="宋体" w:cs="宋体" w:eastAsia="宋体" w:hint="default"/>
                <w:sz w:val="18"/>
                <w:szCs w:val="18"/>
              </w:rPr>
            </w:pPr>
            <w:r>
              <w:rPr>
                <w:rFonts w:ascii="宋体" w:hAnsi="宋体" w:cs="宋体" w:eastAsia="宋体" w:hint="default"/>
                <w:sz w:val="18"/>
                <w:szCs w:val="18"/>
              </w:rPr>
              <w:t>未来是否 还有委托 理财计划</w:t>
            </w:r>
          </w:p>
        </w:tc>
        <w:tc>
          <w:tcPr>
            <w:tcW w:w="3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事项概述及相关查询索引（如有）</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中国光大 银行西宁 分行</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2"/>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center"/>
              <w:rPr>
                <w:rFonts w:ascii="Times New Roman" w:hAnsi="Times New Roman" w:cs="Times New Roman" w:eastAsia="Times New Roman" w:hint="default"/>
                <w:sz w:val="18"/>
                <w:szCs w:val="18"/>
              </w:rPr>
            </w:pPr>
            <w:r>
              <w:rPr>
                <w:rFonts w:ascii="Times New Roman"/>
                <w:sz w:val="18"/>
              </w:rPr>
              <w:t>207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center"/>
              <w:rPr>
                <w:rFonts w:ascii="Times New Roman" w:hAnsi="Times New Roman" w:cs="Times New Roman" w:eastAsia="Times New Roman" w:hint="default"/>
                <w:sz w:val="18"/>
                <w:szCs w:val="18"/>
              </w:rPr>
            </w:pPr>
            <w:r>
              <w:rPr>
                <w:rFonts w:ascii="Times New Roman"/>
                <w:sz w:val="18"/>
              </w:rPr>
              <w:t>207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全额收回</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《关于公司使用部分暂时闲置募集资金购 买银行保本型理财产品的进展公告》 </w:t>
            </w:r>
            <w:r>
              <w:rPr>
                <w:rFonts w:ascii="Times New Roman" w:hAnsi="Times New Roman" w:cs="Times New Roman" w:eastAsia="Times New Roman" w:hint="default"/>
                <w:spacing w:val="-10"/>
                <w:sz w:val="18"/>
                <w:szCs w:val="18"/>
              </w:rPr>
              <w:t>(2018-020)</w:t>
            </w:r>
            <w:r>
              <w:rPr>
                <w:rFonts w:ascii="宋体" w:hAnsi="宋体" w:cs="宋体" w:eastAsia="宋体" w:hint="default"/>
                <w:spacing w:val="-10"/>
                <w:sz w:val="18"/>
                <w:szCs w:val="18"/>
              </w:rPr>
              <w:t>，刊载于《证券时报》、《证券日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报》和巨潮资讯网</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中国光大 银行西宁 分行</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2"/>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0"/>
              <w:jc w:val="both"/>
              <w:rPr>
                <w:rFonts w:ascii="宋体" w:hAnsi="宋体" w:cs="宋体" w:eastAsia="宋体" w:hint="default"/>
                <w:sz w:val="18"/>
                <w:szCs w:val="18"/>
              </w:rPr>
            </w:pPr>
            <w:r>
              <w:rPr>
                <w:rFonts w:ascii="宋体" w:hAnsi="宋体" w:cs="宋体" w:eastAsia="宋体" w:hint="default"/>
                <w:sz w:val="18"/>
                <w:szCs w:val="18"/>
              </w:rPr>
              <w:t>一次性 还本付 息</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67.5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67.5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全额收回</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《关于使用部分暂时闲置募集资金购买银 行保本型理财产品的进展公告》</w:t>
            </w:r>
          </w:p>
          <w:p>
            <w:pPr>
              <w:pStyle w:val="TableParagraph"/>
              <w:spacing w:line="302" w:lineRule="auto" w:before="19"/>
              <w:ind w:left="22" w:right="21"/>
              <w:jc w:val="left"/>
              <w:rPr>
                <w:rFonts w:ascii="宋体" w:hAnsi="宋体" w:cs="宋体" w:eastAsia="宋体" w:hint="default"/>
                <w:sz w:val="18"/>
                <w:szCs w:val="18"/>
              </w:rPr>
            </w:pPr>
            <w:r>
              <w:rPr>
                <w:rFonts w:ascii="Times New Roman" w:hAnsi="Times New Roman" w:cs="Times New Roman" w:eastAsia="Times New Roman" w:hint="default"/>
                <w:spacing w:val="-10"/>
                <w:w w:val="99"/>
                <w:sz w:val="18"/>
                <w:szCs w:val="18"/>
              </w:rPr>
              <w:t>(2018-093)</w:t>
            </w:r>
            <w:r>
              <w:rPr>
                <w:rFonts w:ascii="宋体" w:hAnsi="宋体" w:cs="宋体" w:eastAsia="宋体" w:hint="default"/>
                <w:spacing w:val="-10"/>
                <w:w w:val="99"/>
                <w:sz w:val="18"/>
                <w:szCs w:val="18"/>
              </w:rPr>
              <w:t>，刊载于《证券时报》、《证券日</w:t>
            </w:r>
            <w:r>
              <w:rPr>
                <w:rFonts w:ascii="宋体" w:hAnsi="宋体" w:cs="宋体" w:eastAsia="宋体" w:hint="default"/>
                <w:spacing w:val="-66"/>
                <w:w w:val="99"/>
                <w:sz w:val="18"/>
                <w:szCs w:val="18"/>
              </w:rPr>
              <w:t> </w:t>
            </w:r>
            <w:r>
              <w:rPr>
                <w:rFonts w:ascii="宋体" w:hAnsi="宋体" w:cs="宋体" w:eastAsia="宋体" w:hint="default"/>
                <w:spacing w:val="-66"/>
                <w:w w:val="99"/>
                <w:sz w:val="18"/>
                <w:szCs w:val="18"/>
              </w:rPr>
            </w:r>
            <w:r>
              <w:rPr>
                <w:rFonts w:ascii="宋体" w:hAnsi="宋体" w:cs="宋体" w:eastAsia="宋体" w:hint="default"/>
                <w:sz w:val="18"/>
                <w:szCs w:val="18"/>
              </w:rPr>
              <w:t>报》和巨潮资讯网</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2"/>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0"/>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11.22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11.22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全额收回</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《关于公司使用部分闲置自有资金购买银 </w:t>
            </w:r>
            <w:r>
              <w:rPr>
                <w:rFonts w:ascii="宋体" w:hAnsi="宋体" w:cs="宋体" w:eastAsia="宋体" w:hint="default"/>
                <w:spacing w:val="-3"/>
                <w:sz w:val="18"/>
                <w:szCs w:val="18"/>
              </w:rPr>
              <w:t>行保本型理财产品的公告》</w:t>
            </w:r>
            <w:r>
              <w:rPr>
                <w:rFonts w:ascii="Times New Roman" w:hAnsi="Times New Roman" w:cs="Times New Roman" w:eastAsia="Times New Roman" w:hint="default"/>
                <w:spacing w:val="-3"/>
                <w:sz w:val="18"/>
                <w:szCs w:val="18"/>
              </w:rPr>
              <w:t>(2017-172)</w:t>
            </w:r>
            <w:r>
              <w:rPr>
                <w:rFonts w:ascii="宋体" w:hAnsi="宋体" w:cs="宋体" w:eastAsia="宋体" w:hint="default"/>
                <w:spacing w:val="-3"/>
                <w:sz w:val="18"/>
                <w:szCs w:val="18"/>
              </w:rPr>
              <w:t>，刊</w:t>
            </w:r>
            <w:r>
              <w:rPr>
                <w:rFonts w:ascii="宋体" w:hAnsi="宋体" w:cs="宋体" w:eastAsia="宋体" w:hint="default"/>
                <w:spacing w:val="-85"/>
                <w:sz w:val="18"/>
                <w:szCs w:val="18"/>
              </w:rPr>
              <w:t> </w:t>
            </w:r>
            <w:r>
              <w:rPr>
                <w:rFonts w:ascii="宋体" w:hAnsi="宋体" w:cs="宋体" w:eastAsia="宋体" w:hint="default"/>
                <w:spacing w:val="-10"/>
                <w:sz w:val="18"/>
                <w:szCs w:val="18"/>
              </w:rPr>
              <w:t>载于《证券时报》、《证券日报》和巨潮资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2"/>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0"/>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21.57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21.57</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全额收回</w:t>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《关于公司使用部分闲置自有资金购买银 </w:t>
            </w:r>
            <w:r>
              <w:rPr>
                <w:rFonts w:ascii="宋体" w:hAnsi="宋体" w:cs="宋体" w:eastAsia="宋体" w:hint="default"/>
                <w:spacing w:val="-3"/>
                <w:sz w:val="18"/>
                <w:szCs w:val="18"/>
              </w:rPr>
              <w:t>行保本型理财产品的公告》</w:t>
            </w:r>
            <w:r>
              <w:rPr>
                <w:rFonts w:ascii="Times New Roman" w:hAnsi="Times New Roman" w:cs="Times New Roman" w:eastAsia="Times New Roman" w:hint="default"/>
                <w:spacing w:val="-3"/>
                <w:sz w:val="18"/>
                <w:szCs w:val="18"/>
              </w:rPr>
              <w:t>(2017-172)</w:t>
            </w:r>
            <w:r>
              <w:rPr>
                <w:rFonts w:ascii="宋体" w:hAnsi="宋体" w:cs="宋体" w:eastAsia="宋体" w:hint="default"/>
                <w:spacing w:val="-3"/>
                <w:sz w:val="18"/>
                <w:szCs w:val="18"/>
              </w:rPr>
              <w:t>，刊</w:t>
            </w:r>
            <w:r>
              <w:rPr>
                <w:rFonts w:ascii="宋体" w:hAnsi="宋体" w:cs="宋体" w:eastAsia="宋体" w:hint="default"/>
                <w:spacing w:val="-85"/>
                <w:sz w:val="18"/>
                <w:szCs w:val="18"/>
              </w:rPr>
              <w:t> </w:t>
            </w:r>
            <w:r>
              <w:rPr>
                <w:rFonts w:ascii="宋体" w:hAnsi="宋体" w:cs="宋体" w:eastAsia="宋体" w:hint="default"/>
                <w:spacing w:val="-10"/>
                <w:sz w:val="18"/>
                <w:szCs w:val="18"/>
              </w:rPr>
              <w:t>载于《证券时报》、《证券日报》和巨潮资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tc>
      </w:tr>
      <w:tr>
        <w:trPr>
          <w:trHeight w:val="133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2"/>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结构 性存 款</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0"/>
              <w:jc w:val="left"/>
              <w:rPr>
                <w:rFonts w:ascii="宋体" w:hAnsi="宋体" w:cs="宋体" w:eastAsia="宋体" w:hint="default"/>
                <w:sz w:val="18"/>
                <w:szCs w:val="18"/>
              </w:rPr>
            </w:pPr>
            <w:r>
              <w:rPr>
                <w:rFonts w:ascii="宋体" w:hAnsi="宋体" w:cs="宋体" w:eastAsia="宋体" w:hint="default"/>
                <w:sz w:val="18"/>
                <w:szCs w:val="18"/>
              </w:rPr>
              <w:t>本金保 障</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4.48%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4.36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4.36</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不确定</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《关于公司使用部分闲置自有资金购买银 </w:t>
            </w:r>
            <w:r>
              <w:rPr>
                <w:rFonts w:ascii="宋体" w:hAnsi="宋体" w:cs="宋体" w:eastAsia="宋体" w:hint="default"/>
                <w:spacing w:val="-3"/>
                <w:sz w:val="18"/>
                <w:szCs w:val="18"/>
              </w:rPr>
              <w:t>行保本型理财产品的公告》</w:t>
            </w:r>
            <w:r>
              <w:rPr>
                <w:rFonts w:ascii="Times New Roman" w:hAnsi="Times New Roman" w:cs="Times New Roman" w:eastAsia="Times New Roman" w:hint="default"/>
                <w:spacing w:val="-3"/>
                <w:sz w:val="18"/>
                <w:szCs w:val="18"/>
              </w:rPr>
              <w:t>(2017-172)</w:t>
            </w:r>
            <w:r>
              <w:rPr>
                <w:rFonts w:ascii="宋体" w:hAnsi="宋体" w:cs="宋体" w:eastAsia="宋体" w:hint="default"/>
                <w:spacing w:val="-3"/>
                <w:sz w:val="18"/>
                <w:szCs w:val="18"/>
              </w:rPr>
              <w:t>，刊</w:t>
            </w:r>
            <w:r>
              <w:rPr>
                <w:rFonts w:ascii="宋体" w:hAnsi="宋体" w:cs="宋体" w:eastAsia="宋体" w:hint="default"/>
                <w:spacing w:val="-85"/>
                <w:sz w:val="18"/>
                <w:szCs w:val="18"/>
              </w:rPr>
              <w:t> </w:t>
            </w:r>
            <w:r>
              <w:rPr>
                <w:rFonts w:ascii="宋体" w:hAnsi="宋体" w:cs="宋体" w:eastAsia="宋体" w:hint="default"/>
                <w:spacing w:val="-10"/>
                <w:sz w:val="18"/>
                <w:szCs w:val="18"/>
              </w:rPr>
              <w:t>载于《证券时报》、《证券日报》和巨潮资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tc>
      </w:tr>
    </w:tbl>
    <w:p>
      <w:pPr>
        <w:spacing w:after="0" w:line="312" w:lineRule="auto"/>
        <w:jc w:val="both"/>
        <w:rPr>
          <w:rFonts w:ascii="宋体" w:hAnsi="宋体" w:cs="宋体" w:eastAsia="宋体" w:hint="default"/>
          <w:sz w:val="18"/>
          <w:szCs w:val="18"/>
        </w:rPr>
        <w:sectPr>
          <w:type w:val="continuous"/>
          <w:pgSz w:w="16840" w:h="11910" w:orient="landscape"/>
          <w:pgMar w:top="1060" w:bottom="1160" w:left="1140" w:right="1140"/>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79"/>
        <w:gridCol w:w="574"/>
        <w:gridCol w:w="560"/>
        <w:gridCol w:w="786"/>
        <w:gridCol w:w="852"/>
        <w:gridCol w:w="560"/>
        <w:gridCol w:w="715"/>
        <w:gridCol w:w="560"/>
        <w:gridCol w:w="562"/>
        <w:gridCol w:w="561"/>
        <w:gridCol w:w="836"/>
        <w:gridCol w:w="708"/>
        <w:gridCol w:w="547"/>
        <w:gridCol w:w="888"/>
        <w:gridCol w:w="3331"/>
      </w:tblGrid>
      <w:tr>
        <w:trPr>
          <w:trHeight w:val="416" w:hRule="exact"/>
        </w:trPr>
        <w:tc>
          <w:tcPr>
            <w:tcW w:w="227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32,500</w:t>
            </w:r>
          </w:p>
        </w:tc>
        <w:tc>
          <w:tcPr>
            <w:tcW w:w="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311.65</w:t>
            </w:r>
          </w:p>
        </w:tc>
        <w:tc>
          <w:tcPr>
            <w:tcW w:w="56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311.65</w:t>
            </w:r>
          </w:p>
        </w:tc>
        <w:tc>
          <w:tcPr>
            <w:tcW w:w="8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15" w:space="0" w:color="000000"/>
              <w:left w:val="single" w:sz="4" w:space="0" w:color="000000"/>
              <w:bottom w:val="single" w:sz="4" w:space="0" w:color="000000"/>
              <w:right w:val="single" w:sz="4" w:space="0" w:color="000000"/>
            </w:tcBorders>
          </w:tcPr>
          <w:p>
            <w:pPr/>
          </w:p>
        </w:tc>
        <w:tc>
          <w:tcPr>
            <w:tcW w:w="5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3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300" w:right="0"/>
        <w:jc w:val="left"/>
      </w:pPr>
      <w:r>
        <w:rPr/>
        <w:t>委托理财出现预期无法收回本金或存在其他可能导致减值的情形</w:t>
      </w:r>
    </w:p>
    <w:p>
      <w:pPr>
        <w:pStyle w:val="BodyText"/>
        <w:spacing w:line="240" w:lineRule="auto" w:before="117"/>
        <w:ind w:left="30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00"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300" w:right="118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300"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300" w:right="115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left="300" w:right="0"/>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00"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300" w:right="0"/>
        <w:jc w:val="left"/>
      </w:pPr>
      <w:r>
        <w:rPr>
          <w:spacing w:val="-2"/>
        </w:rPr>
        <w:t>公司严格按照国家相关法律法规和行政规章的规定，结合公司实际情况，积极履行社会责任，将公司自身发展与社会进步紧密相连。作为企业服务行业的深耕者，公司对上链接区</w:t>
      </w:r>
      <w:r>
        <w:rPr>
          <w:spacing w:val="-18"/>
        </w:rPr>
        <w:t> </w:t>
      </w:r>
      <w:r>
        <w:rPr>
          <w:spacing w:val="-18"/>
        </w:rPr>
      </w:r>
      <w:r>
        <w:rPr/>
        <w:t>域政府及园区，通过精准招商帮助政府促进当地经济发展，对下链接中小微企业，利用自身的百城千店布局，组织优秀企业服务提供商，全方位服务企业需求，达到</w:t>
      </w:r>
      <w:r>
        <w:rPr>
          <w:rFonts w:ascii="Times New Roman" w:hAnsi="Times New Roman" w:cs="Times New Roman" w:eastAsia="Times New Roman" w:hint="default"/>
        </w:rPr>
        <w:t>“</w:t>
      </w:r>
      <w:r>
        <w:rPr/>
        <w:t>千店协同、 跨越空间、万人服务、分享时间</w:t>
      </w:r>
      <w:r>
        <w:rPr>
          <w:rFonts w:ascii="Times New Roman" w:hAnsi="Times New Roman" w:cs="Times New Roman" w:eastAsia="Times New Roman" w:hint="default"/>
        </w:rPr>
        <w:t>”</w:t>
      </w:r>
      <w:r>
        <w:rPr/>
        <w:t>，切实做到公司效益与社会效益、短期利益与长远利益、自身发展与社会发展相互协调，努力实现公司与社会、公司与环境的健康和谐发展。 </w:t>
      </w:r>
      <w:r>
        <w:rPr>
          <w:spacing w:val="-2"/>
        </w:rPr>
        <w:t>公司严格遵守《劳动法》、《劳动合同法》、《社会保险法》等相关法律法规，尊重、关心、维护员工的合法权益，建立和完善了符合法律要求的人力资源管理体系。公司建立和</w:t>
      </w:r>
      <w:r>
        <w:rPr>
          <w:spacing w:val="-18"/>
        </w:rPr>
        <w:t> </w:t>
      </w:r>
      <w:r>
        <w:rPr>
          <w:spacing w:val="-18"/>
        </w:rPr>
      </w:r>
      <w:r>
        <w:rPr/>
        <w:t>完善包括薪酬体系、绩效考核体系等在内的用人制度，充分调动员工积极性，保障员工依法享有劳动权利和履行劳动义务。 </w:t>
      </w:r>
      <w:r>
        <w:rPr>
          <w:spacing w:val="-2"/>
        </w:rPr>
        <w:t>报告期内，公司与其他慈善机构开展爱心企业慰问贫困儿童活动，为霍尔果斯市莫乎尔牧场开干村的孩子们送上了九十套运动服、书包、玩具等慰问品。倡导公益创新，积极参与</w:t>
      </w:r>
      <w:r>
        <w:rPr>
          <w:spacing w:val="-19"/>
        </w:rPr>
        <w:t> </w:t>
      </w:r>
      <w:r>
        <w:rPr>
          <w:spacing w:val="-19"/>
        </w:rPr>
      </w:r>
      <w:r>
        <w:rPr/>
        <w:t>慈善救助工作。</w:t>
      </w:r>
    </w:p>
    <w:p>
      <w:pPr>
        <w:spacing w:after="0" w:line="312" w:lineRule="auto"/>
        <w:jc w:val="left"/>
        <w:sectPr>
          <w:pgSz w:w="16840" w:h="11910" w:orient="landscape"/>
          <w:pgMar w:header="867" w:footer="979" w:top="1060" w:bottom="1160" w:left="114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240" w:lineRule="auto" w:before="35"/>
        <w:ind w:right="0"/>
        <w:jc w:val="left"/>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8"/>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、报告期内，公司筹划并实施完成重大资产购买事项，以现金方式购买霍尔果斯神州易桥股权投资合伙企业（有限合伙） 持有的霍尔果斯快马财税管理服务有限公司</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日，公司召开第七届董事会第四次会议、第七届监事会</w:t>
      </w:r>
    </w:p>
    <w:p>
      <w:pPr>
        <w:pStyle w:val="BodyText"/>
        <w:spacing w:line="302" w:lineRule="auto"/>
        <w:ind w:right="1032"/>
        <w:jc w:val="left"/>
      </w:pPr>
      <w:r>
        <w:rPr/>
        <w:t>第四次会议，审议通过了重大资产收购预案等相关议案；</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日召开第七届董事会</w:t>
      </w:r>
      <w:r>
        <w:rPr>
          <w:rFonts w:ascii="Times New Roman" w:hAnsi="Times New Roman" w:cs="Times New Roman" w:eastAsia="Times New Roman" w:hint="default"/>
        </w:rPr>
        <w:t>2018</w:t>
      </w:r>
      <w:r>
        <w:rPr/>
        <w:t>年第七次临时会议、第七届监事会 </w:t>
      </w:r>
      <w:r>
        <w:rPr>
          <w:rFonts w:ascii="Times New Roman" w:hAnsi="Times New Roman" w:cs="Times New Roman" w:eastAsia="Times New Roman" w:hint="default"/>
        </w:rPr>
        <w:t>2018</w:t>
      </w:r>
      <w:r>
        <w:rPr/>
        <w:t>年第七次临时会议，审议通过了重大资产购买报告书（草案）等相关议案；</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年第三次临时股东大会审 议通过了上述方案。上述股权变更的工商登记手续于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日完成。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12</w:t>
      </w:r>
      <w:r>
        <w:rPr>
          <w:spacing w:val="-6"/>
        </w:rPr>
        <w:t>日，公司召开第七届董事会第四次会议、第七届监事会第四次会议，审议通过了《关于会计政策变更的议案》。</w:t>
      </w:r>
      <w:r>
        <w:rPr>
          <w:spacing w:val="-84"/>
        </w:rPr>
        <w:t> </w:t>
      </w:r>
      <w:r>
        <w:rPr>
          <w:spacing w:val="-84"/>
        </w:rPr>
      </w:r>
      <w:r>
        <w:rPr>
          <w:spacing w:val="-2"/>
        </w:rPr>
        <w:t>本次会计政策变更是根据财政部相关文件规定进行的合理变更，不会对公司财务报表项目及金额产生影响，也无需进行追溯</w:t>
      </w:r>
      <w:r>
        <w:rPr>
          <w:spacing w:val="-64"/>
        </w:rPr>
        <w:t> </w:t>
      </w:r>
      <w:r>
        <w:rPr>
          <w:spacing w:val="-64"/>
        </w:rPr>
      </w:r>
      <w:r>
        <w:rPr/>
        <w:t>调整。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日，公司召开第八届董事会</w:t>
      </w:r>
      <w:r>
        <w:rPr>
          <w:rFonts w:ascii="Times New Roman" w:hAnsi="Times New Roman" w:cs="Times New Roman" w:eastAsia="Times New Roman" w:hint="default"/>
          <w:spacing w:val="-2"/>
        </w:rPr>
        <w:t>2018</w:t>
      </w:r>
      <w:r>
        <w:rPr>
          <w:spacing w:val="-2"/>
        </w:rPr>
        <w:t>年第二次临时会议、第八届监事会</w:t>
      </w:r>
      <w:r>
        <w:rPr>
          <w:rFonts w:ascii="Times New Roman" w:hAnsi="Times New Roman" w:cs="Times New Roman" w:eastAsia="Times New Roman" w:hint="default"/>
          <w:spacing w:val="-2"/>
        </w:rPr>
        <w:t>2018</w:t>
      </w:r>
      <w:r>
        <w:rPr>
          <w:spacing w:val="-2"/>
        </w:rPr>
        <w:t>年第二次临时会议，审议通过了《关于</w:t>
      </w:r>
      <w:r>
        <w:rPr>
          <w:spacing w:val="-51"/>
        </w:rPr>
        <w:t> </w:t>
      </w:r>
      <w:r>
        <w:rPr>
          <w:spacing w:val="-51"/>
        </w:rPr>
      </w:r>
      <w:r>
        <w:rPr>
          <w:spacing w:val="-4"/>
        </w:rPr>
        <w:t>公司会计政策变更的议案》，公司根据财政部发布的《关于修订印发</w:t>
      </w:r>
      <w:r>
        <w:rPr>
          <w:rFonts w:ascii="Times New Roman" w:hAnsi="Times New Roman" w:cs="Times New Roman" w:eastAsia="Times New Roman" w:hint="default"/>
          <w:spacing w:val="-4"/>
        </w:rPr>
        <w:t>2018</w:t>
      </w:r>
      <w:r>
        <w:rPr>
          <w:spacing w:val="-4"/>
        </w:rPr>
        <w:t>年度一般企业财务报表格式的通知》（财会</w:t>
      </w:r>
      <w:r>
        <w:rPr>
          <w:rFonts w:ascii="Times New Roman" w:hAnsi="Times New Roman" w:cs="Times New Roman" w:eastAsia="Times New Roman" w:hint="default"/>
          <w:spacing w:val="-4"/>
        </w:rPr>
        <w:t>[2018]15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号）的相关规定，对公司财务报表格式进行调整。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日，公司召开第七届董事会</w:t>
      </w:r>
      <w:r>
        <w:rPr>
          <w:rFonts w:ascii="Times New Roman" w:hAnsi="Times New Roman" w:cs="Times New Roman" w:eastAsia="Times New Roman" w:hint="default"/>
          <w:spacing w:val="-2"/>
        </w:rPr>
        <w:t>2018</w:t>
      </w:r>
      <w:r>
        <w:rPr>
          <w:spacing w:val="-2"/>
        </w:rPr>
        <w:t>年第四次临时会议、第七届监事会</w:t>
      </w:r>
      <w:r>
        <w:rPr>
          <w:rFonts w:ascii="Times New Roman" w:hAnsi="Times New Roman" w:cs="Times New Roman" w:eastAsia="Times New Roman" w:hint="default"/>
          <w:spacing w:val="-2"/>
        </w:rPr>
        <w:t>2018</w:t>
      </w:r>
      <w:r>
        <w:rPr>
          <w:spacing w:val="-2"/>
        </w:rPr>
        <w:t>年第四次临时会议，审议通过了《关</w:t>
      </w:r>
      <w:r>
        <w:rPr>
          <w:spacing w:val="-52"/>
        </w:rPr>
        <w:t> </w:t>
      </w:r>
      <w:r>
        <w:rPr>
          <w:spacing w:val="-52"/>
        </w:rPr>
      </w:r>
      <w:r>
        <w:rPr/>
        <w:t>于公司使用部分募集资金对子公司企业管家增资的议案》，同意公司以人民币</w:t>
      </w:r>
      <w:r>
        <w:rPr>
          <w:rFonts w:ascii="Times New Roman" w:hAnsi="Times New Roman" w:cs="Times New Roman" w:eastAsia="Times New Roman" w:hint="default"/>
        </w:rPr>
        <w:t>5,000</w:t>
      </w:r>
      <w:r>
        <w:rPr/>
        <w:t>万元对子公司企业管家（北京）科技服 务有限公司进行增资。增资完成后，企业管家（北京）科技服务有限公司注册资本由</w:t>
      </w:r>
      <w:r>
        <w:rPr>
          <w:rFonts w:ascii="Times New Roman" w:hAnsi="Times New Roman" w:cs="Times New Roman" w:eastAsia="Times New Roman" w:hint="default"/>
        </w:rPr>
        <w:t>65,000</w:t>
      </w:r>
      <w:r>
        <w:rPr/>
        <w:t>万元增至</w:t>
      </w:r>
      <w:r>
        <w:rPr>
          <w:rFonts w:ascii="Times New Roman" w:hAnsi="Times New Roman" w:cs="Times New Roman" w:eastAsia="Times New Roman" w:hint="default"/>
        </w:rPr>
        <w:t>70,000</w:t>
      </w:r>
      <w:r>
        <w:rPr/>
        <w:t>万元。上述股权 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日完成。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日，公司召开第七届董事会</w:t>
      </w:r>
      <w:r>
        <w:rPr>
          <w:rFonts w:ascii="Times New Roman" w:hAnsi="Times New Roman" w:cs="Times New Roman" w:eastAsia="Times New Roman" w:hint="default"/>
          <w:spacing w:val="-2"/>
        </w:rPr>
        <w:t>2018</w:t>
      </w:r>
      <w:r>
        <w:rPr>
          <w:spacing w:val="-2"/>
        </w:rPr>
        <w:t>年第四次临时会议、第七届监事会</w:t>
      </w:r>
      <w:r>
        <w:rPr>
          <w:rFonts w:ascii="Times New Roman" w:hAnsi="Times New Roman" w:cs="Times New Roman" w:eastAsia="Times New Roman" w:hint="default"/>
          <w:spacing w:val="-2"/>
        </w:rPr>
        <w:t>2018</w:t>
      </w:r>
      <w:r>
        <w:rPr>
          <w:spacing w:val="-2"/>
        </w:rPr>
        <w:t>年第四次临时会议，审议通过了《关</w:t>
      </w:r>
      <w:r>
        <w:rPr>
          <w:spacing w:val="-52"/>
        </w:rPr>
        <w:t> </w:t>
      </w:r>
      <w:r>
        <w:rPr>
          <w:spacing w:val="-52"/>
        </w:rPr>
      </w:r>
      <w:r>
        <w:rPr/>
        <w:t>于公司以自有资金对子公司易桥财税科技增资的议案》，同意公司以人民币</w:t>
      </w:r>
      <w:r>
        <w:rPr>
          <w:rFonts w:ascii="Times New Roman" w:hAnsi="Times New Roman" w:cs="Times New Roman" w:eastAsia="Times New Roman" w:hint="default"/>
        </w:rPr>
        <w:t>40,000</w:t>
      </w:r>
      <w:r>
        <w:rPr/>
        <w:t>万元债权向全资子公司神州易桥（北京） 财税科技有限公司进行增资。增资完成后，神州易桥（北京）财税科技有限公司注册资本由</w:t>
      </w:r>
      <w:r>
        <w:rPr>
          <w:rFonts w:ascii="Times New Roman" w:hAnsi="Times New Roman" w:cs="Times New Roman" w:eastAsia="Times New Roman" w:hint="default"/>
        </w:rPr>
        <w:t>1,122.278</w:t>
      </w:r>
      <w:r>
        <w:rPr/>
        <w:t>万元增至</w:t>
      </w:r>
      <w:r>
        <w:rPr>
          <w:rFonts w:ascii="Times New Roman" w:hAnsi="Times New Roman" w:cs="Times New Roman" w:eastAsia="Times New Roman" w:hint="default"/>
        </w:rPr>
        <w:t>41,122.278</w:t>
      </w:r>
      <w:r>
        <w:rPr/>
        <w:t>万 元。上述股权变更的工商登记手续于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日完成。 </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日，公司召开第七届董事会</w:t>
      </w:r>
      <w:r>
        <w:rPr>
          <w:rFonts w:ascii="Times New Roman" w:hAnsi="Times New Roman" w:cs="Times New Roman" w:eastAsia="Times New Roman" w:hint="default"/>
          <w:spacing w:val="-2"/>
        </w:rPr>
        <w:t>2018</w:t>
      </w:r>
      <w:r>
        <w:rPr>
          <w:spacing w:val="-2"/>
        </w:rPr>
        <w:t>年第四次临时会议、第七届监事会</w:t>
      </w:r>
      <w:r>
        <w:rPr>
          <w:rFonts w:ascii="Times New Roman" w:hAnsi="Times New Roman" w:cs="Times New Roman" w:eastAsia="Times New Roman" w:hint="default"/>
          <w:spacing w:val="-2"/>
        </w:rPr>
        <w:t>2018</w:t>
      </w:r>
      <w:r>
        <w:rPr>
          <w:spacing w:val="-2"/>
        </w:rPr>
        <w:t>年第四次临时会议，审议通过了《关</w:t>
      </w:r>
      <w:r>
        <w:rPr>
          <w:spacing w:val="-52"/>
        </w:rPr>
        <w:t> </w:t>
      </w:r>
      <w:r>
        <w:rPr>
          <w:spacing w:val="-52"/>
        </w:rPr>
      </w:r>
      <w:r>
        <w:rPr/>
        <w:t>于公司为全资子公司提供担保的议案，同意公司为全资子公司神州易桥（北京）财税科技有限公司提供连带责任保证担保， 担保金额不超过人民币</w:t>
      </w:r>
      <w:r>
        <w:rPr>
          <w:rFonts w:ascii="Times New Roman" w:hAnsi="Times New Roman" w:cs="Times New Roman" w:eastAsia="Times New Roman" w:hint="default"/>
        </w:rPr>
        <w:t>25,000</w:t>
      </w:r>
      <w:r>
        <w:rPr/>
        <w:t>万元，担保期限为三年，从借款实际发生之日起至清偿完毕止。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日，公司召开第七届董事会</w:t>
      </w:r>
      <w:r>
        <w:rPr>
          <w:rFonts w:ascii="Times New Roman" w:hAnsi="Times New Roman" w:cs="Times New Roman" w:eastAsia="Times New Roman" w:hint="default"/>
        </w:rPr>
        <w:t>2018</w:t>
      </w:r>
      <w:r>
        <w:rPr/>
        <w:t>年第九次临时会议，审议通过了《关于变更公司名称和注册地址的议案》， 同意公司名称变更为</w:t>
      </w:r>
      <w:r>
        <w:rPr>
          <w:rFonts w:ascii="Times New Roman" w:hAnsi="Times New Roman" w:cs="Times New Roman" w:eastAsia="Times New Roman" w:hint="default"/>
        </w:rPr>
        <w:t>“</w:t>
      </w:r>
      <w:r>
        <w:rPr/>
        <w:t>顺利办信息服务股份有限公司</w:t>
      </w:r>
      <w:r>
        <w:rPr>
          <w:rFonts w:ascii="Times New Roman" w:hAnsi="Times New Roman" w:cs="Times New Roman" w:eastAsia="Times New Roman" w:hint="default"/>
        </w:rPr>
        <w:t>”</w:t>
      </w:r>
      <w:r>
        <w:rPr/>
        <w:t>，注册地址变更为</w:t>
      </w:r>
      <w:r>
        <w:rPr>
          <w:rFonts w:ascii="Times New Roman" w:hAnsi="Times New Roman" w:cs="Times New Roman" w:eastAsia="Times New Roman" w:hint="default"/>
        </w:rPr>
        <w:t>“</w:t>
      </w:r>
      <w:r>
        <w:rPr/>
        <w:t>青海省西宁市城西区五四西路</w:t>
      </w:r>
      <w:r>
        <w:rPr>
          <w:rFonts w:ascii="Times New Roman" w:hAnsi="Times New Roman" w:cs="Times New Roman" w:eastAsia="Times New Roman" w:hint="default"/>
        </w:rPr>
        <w:t>57</w:t>
      </w:r>
      <w:r>
        <w:rPr/>
        <w:t>号</w:t>
      </w:r>
      <w:r>
        <w:rPr>
          <w:rFonts w:ascii="Times New Roman" w:hAnsi="Times New Roman" w:cs="Times New Roman" w:eastAsia="Times New Roman" w:hint="default"/>
        </w:rPr>
        <w:t>5</w:t>
      </w:r>
      <w:r>
        <w:rPr/>
        <w:t>号楼</w:t>
      </w: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 召开</w:t>
      </w:r>
      <w:r>
        <w:rPr>
          <w:rFonts w:ascii="Times New Roman" w:hAnsi="Times New Roman" w:cs="Times New Roman" w:eastAsia="Times New Roman" w:hint="default"/>
        </w:rPr>
        <w:t>2018</w:t>
      </w:r>
      <w:r>
        <w:rPr/>
        <w:t>年第三次临时股东大会审议通过了上述变更事项。上述相关工商变更登记手续于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日完成。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日，公司召开第七届董事会</w:t>
      </w:r>
      <w:r>
        <w:rPr>
          <w:rFonts w:ascii="Times New Roman" w:hAnsi="Times New Roman" w:cs="Times New Roman" w:eastAsia="Times New Roman" w:hint="default"/>
        </w:rPr>
        <w:t>2018</w:t>
      </w:r>
      <w:r>
        <w:rPr/>
        <w:t>年第十次临时会议、第七届监事会</w:t>
      </w:r>
      <w:r>
        <w:rPr>
          <w:rFonts w:ascii="Times New Roman" w:hAnsi="Times New Roman" w:cs="Times New Roman" w:eastAsia="Times New Roman" w:hint="default"/>
        </w:rPr>
        <w:t>2018</w:t>
      </w:r>
      <w:r>
        <w:rPr/>
        <w:t>年第八次临时会议，并于</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 开</w:t>
      </w:r>
      <w:r>
        <w:rPr>
          <w:rFonts w:ascii="Times New Roman" w:hAnsi="Times New Roman" w:cs="Times New Roman" w:eastAsia="Times New Roman" w:hint="default"/>
        </w:rPr>
        <w:t>2018</w:t>
      </w:r>
      <w:r>
        <w:rPr/>
        <w:t>年第四次临时股东大会，完成公司第七届董事会、监事会的换届事项。 </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日，公司召开第七届董事会</w:t>
      </w:r>
      <w:r>
        <w:rPr>
          <w:rFonts w:ascii="Times New Roman" w:hAnsi="Times New Roman" w:cs="Times New Roman" w:eastAsia="Times New Roman" w:hint="default"/>
        </w:rPr>
        <w:t>2018</w:t>
      </w:r>
      <w:r>
        <w:rPr/>
        <w:t>年第十一次临时会议，审议通过了《关于变更公司证券简称的议案》，鉴于 公司名称已变更，决定变更公司证券简称为</w:t>
      </w:r>
      <w:r>
        <w:rPr>
          <w:rFonts w:ascii="Times New Roman" w:hAnsi="Times New Roman" w:cs="Times New Roman" w:eastAsia="Times New Roman" w:hint="default"/>
        </w:rPr>
        <w:t>“</w:t>
      </w:r>
      <w:r>
        <w:rPr/>
        <w:t>顺利办</w:t>
      </w:r>
      <w:r>
        <w:rPr>
          <w:rFonts w:ascii="Times New Roman" w:hAnsi="Times New Roman" w:cs="Times New Roman" w:eastAsia="Times New Roman" w:hint="default"/>
        </w:rPr>
        <w:t>”</w:t>
      </w:r>
      <w:r>
        <w:rPr/>
        <w:t>。经公司申请，并经深圳证券交易所核准，公司证券简称自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 </w:t>
      </w:r>
      <w:r>
        <w:rPr/>
        <w:t>日起由</w:t>
      </w:r>
      <w:r>
        <w:rPr>
          <w:rFonts w:ascii="Times New Roman" w:hAnsi="Times New Roman" w:cs="Times New Roman" w:eastAsia="Times New Roman" w:hint="default"/>
        </w:rPr>
        <w:t>“</w:t>
      </w:r>
      <w:r>
        <w:rPr/>
        <w:t>神州易桥</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顺利办</w:t>
      </w:r>
      <w:r>
        <w:rPr>
          <w:rFonts w:ascii="Times New Roman" w:hAnsi="Times New Roman" w:cs="Times New Roman" w:eastAsia="Times New Roman" w:hint="default"/>
        </w:rPr>
        <w:t>”</w:t>
      </w:r>
      <w:r>
        <w:rPr/>
        <w:t>，公司证券代码保持不变，仍为</w:t>
      </w:r>
      <w:r>
        <w:rPr>
          <w:rFonts w:ascii="Times New Roman" w:hAnsi="Times New Roman" w:cs="Times New Roman" w:eastAsia="Times New Roman" w:hint="default"/>
        </w:rPr>
        <w:t>“000606”</w:t>
      </w:r>
      <w:r>
        <w:rPr/>
        <w:t>。</w:t>
      </w:r>
    </w:p>
    <w:p>
      <w:pPr>
        <w:spacing w:after="0" w:line="302" w:lineRule="auto"/>
        <w:jc w:val="left"/>
        <w:sectPr>
          <w:headerReference w:type="default" r:id="rId24"/>
          <w:footerReference w:type="default" r:id="rId25"/>
          <w:pgSz w:w="11910" w:h="16840"/>
          <w:pgMar w:header="877" w:footer="979" w:top="1100" w:bottom="1160" w:left="980" w:right="0"/>
          <w:pgNumType w:start="60"/>
        </w:sectPr>
      </w:pPr>
    </w:p>
    <w:p>
      <w:pPr>
        <w:spacing w:line="240" w:lineRule="auto" w:before="12"/>
        <w:rPr>
          <w:rFonts w:ascii="宋体" w:hAnsi="宋体" w:cs="宋体" w:eastAsia="宋体" w:hint="default"/>
          <w:sz w:val="21"/>
          <w:szCs w:val="21"/>
        </w:rPr>
      </w:pPr>
    </w:p>
    <w:p>
      <w:pPr>
        <w:pStyle w:val="BodyText"/>
        <w:spacing w:line="307" w:lineRule="auto" w:before="44"/>
        <w:ind w:right="0"/>
        <w:jc w:val="left"/>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日，公司股东彭聪先生、百达永信投资有限公司办理的部分非公开发行股份限售股上市流通，其中，彭聪先</w:t>
      </w:r>
      <w:r>
        <w:rPr>
          <w:spacing w:val="-58"/>
        </w:rPr>
        <w:t> </w:t>
      </w:r>
      <w:r>
        <w:rPr>
          <w:spacing w:val="-58"/>
        </w:rPr>
      </w:r>
      <w:r>
        <w:rPr>
          <w:spacing w:val="-2"/>
        </w:rPr>
        <w:t>生</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日上市流通股份数为</w:t>
      </w:r>
      <w:r>
        <w:rPr>
          <w:rFonts w:ascii="Times New Roman" w:hAnsi="Times New Roman" w:cs="Times New Roman" w:eastAsia="Times New Roman" w:hint="default"/>
          <w:spacing w:val="-2"/>
        </w:rPr>
        <w:t>4,678,196</w:t>
      </w:r>
      <w:r>
        <w:rPr>
          <w:spacing w:val="-2"/>
        </w:rPr>
        <w:t>股，</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日上市流通股份数为</w:t>
      </w:r>
      <w:r>
        <w:rPr>
          <w:rFonts w:ascii="Times New Roman" w:hAnsi="Times New Roman" w:cs="Times New Roman" w:eastAsia="Times New Roman" w:hint="default"/>
          <w:spacing w:val="-2"/>
        </w:rPr>
        <w:t>42,200,000</w:t>
      </w:r>
      <w:r>
        <w:rPr>
          <w:spacing w:val="-2"/>
        </w:rPr>
        <w:t>股；百达永信投资有限公司</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日上市流通</w:t>
      </w:r>
      <w:r>
        <w:rPr>
          <w:spacing w:val="-40"/>
        </w:rPr>
        <w:t> </w:t>
      </w:r>
      <w:r>
        <w:rPr>
          <w:spacing w:val="-40"/>
        </w:rPr>
      </w:r>
      <w:r>
        <w:rPr/>
        <w:t>股份数为</w:t>
      </w:r>
      <w:r>
        <w:rPr>
          <w:rFonts w:ascii="Times New Roman" w:hAnsi="Times New Roman" w:cs="Times New Roman" w:eastAsia="Times New Roman" w:hint="default"/>
        </w:rPr>
        <w:t>27,461,004</w:t>
      </w:r>
      <w:r>
        <w:rPr/>
        <w:t>股。 </w:t>
      </w:r>
      <w:r>
        <w:rPr>
          <w:rFonts w:ascii="Times New Roman" w:hAnsi="Times New Roman" w:cs="Times New Roman" w:eastAsia="Times New Roman" w:hint="default"/>
          <w:spacing w:val="-2"/>
        </w:rPr>
        <w:t>10</w:t>
      </w:r>
      <w:r>
        <w:rPr>
          <w:spacing w:val="-2"/>
        </w:rPr>
        <w:t>、报告期内，经总裁办公会审议，同意注销参股公司融金狗金融信息服务有限公司，同意注销参股公司易桥企业服务股份</w:t>
      </w:r>
      <w:r>
        <w:rPr>
          <w:spacing w:val="-64"/>
        </w:rPr>
        <w:t> </w:t>
      </w:r>
      <w:r>
        <w:rPr>
          <w:spacing w:val="-64"/>
        </w:rPr>
      </w:r>
      <w:r>
        <w:rPr/>
        <w:t>有限公司。截至本报告披露日，该事项尚未办理完成。 </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日，公司召开第八届董事会</w:t>
      </w:r>
      <w:r>
        <w:rPr>
          <w:rFonts w:ascii="Times New Roman" w:hAnsi="Times New Roman" w:cs="Times New Roman" w:eastAsia="Times New Roman" w:hint="default"/>
        </w:rPr>
        <w:t>2018</w:t>
      </w:r>
      <w:r>
        <w:rPr/>
        <w:t>年第四次临时会议、第八届监事会</w:t>
      </w:r>
      <w:r>
        <w:rPr>
          <w:rFonts w:ascii="Times New Roman" w:hAnsi="Times New Roman" w:cs="Times New Roman" w:eastAsia="Times New Roman" w:hint="default"/>
        </w:rPr>
        <w:t>2018</w:t>
      </w:r>
      <w:r>
        <w:rPr/>
        <w:t>年第四次临时会议，并于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 </w:t>
      </w:r>
      <w:r>
        <w:rPr>
          <w:spacing w:val="-2"/>
        </w:rPr>
        <w:t>日召开</w:t>
      </w:r>
      <w:r>
        <w:rPr>
          <w:rFonts w:ascii="Times New Roman" w:hAnsi="Times New Roman" w:cs="Times New Roman" w:eastAsia="Times New Roman" w:hint="default"/>
          <w:spacing w:val="-2"/>
        </w:rPr>
        <w:t>2018</w:t>
      </w:r>
      <w:r>
        <w:rPr>
          <w:spacing w:val="-2"/>
        </w:rPr>
        <w:t>年第五次临时股东大会审议通过了《关于公司及子公司申请借款的议案》，同意公司及子公司霍尔果斯快马财税</w:t>
      </w:r>
      <w:r>
        <w:rPr>
          <w:spacing w:val="-62"/>
        </w:rPr>
        <w:t> </w:t>
      </w:r>
      <w:r>
        <w:rPr>
          <w:spacing w:val="-62"/>
        </w:rPr>
      </w:r>
      <w:r>
        <w:rPr>
          <w:spacing w:val="-1"/>
        </w:rPr>
        <w:t>管理服务有限公司向昆仑信托有限责任公司申请合计最高额不超过</w:t>
      </w:r>
      <w:r>
        <w:rPr>
          <w:rFonts w:ascii="Times New Roman" w:hAnsi="Times New Roman" w:cs="Times New Roman" w:eastAsia="Times New Roman" w:hint="default"/>
          <w:spacing w:val="-1"/>
        </w:rPr>
        <w:t>50,000</w:t>
      </w:r>
      <w:r>
        <w:rPr>
          <w:spacing w:val="-1"/>
        </w:rPr>
        <w:t>万元的信托贷款，期限为不超过</w:t>
      </w:r>
      <w:r>
        <w:rPr>
          <w:rFonts w:ascii="Times New Roman" w:hAnsi="Times New Roman" w:cs="Times New Roman" w:eastAsia="Times New Roman" w:hint="default"/>
          <w:spacing w:val="-1"/>
        </w:rPr>
        <w:t>36</w:t>
      </w:r>
      <w:r>
        <w:rPr>
          <w:spacing w:val="-1"/>
        </w:rPr>
        <w:t>个月，贷款利率</w:t>
      </w:r>
      <w:r>
        <w:rPr>
          <w:spacing w:val="-70"/>
        </w:rPr>
        <w:t> </w:t>
      </w:r>
      <w:r>
        <w:rPr>
          <w:spacing w:val="-70"/>
        </w:rPr>
      </w:r>
      <w:r>
        <w:rPr/>
        <w:t>由双方参照市场利率协商确定。截至本报告披露日，该事项尚未开展。 </w:t>
      </w:r>
      <w:r>
        <w:rPr>
          <w:rFonts w:ascii="Times New Roman" w:hAnsi="Times New Roman" w:cs="Times New Roman" w:eastAsia="Times New Roman" w:hint="default"/>
          <w:spacing w:val="-3"/>
        </w:rPr>
        <w:t>12</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日，公司召开第八届董事会</w:t>
      </w:r>
      <w:r>
        <w:rPr>
          <w:rFonts w:ascii="Times New Roman" w:hAnsi="Times New Roman" w:cs="Times New Roman" w:eastAsia="Times New Roman" w:hint="default"/>
          <w:spacing w:val="-3"/>
        </w:rPr>
        <w:t>2018</w:t>
      </w:r>
      <w:r>
        <w:rPr>
          <w:spacing w:val="-3"/>
        </w:rPr>
        <w:t>年第五次临时会议、第八届监事会</w:t>
      </w:r>
      <w:r>
        <w:rPr>
          <w:rFonts w:ascii="Times New Roman" w:hAnsi="Times New Roman" w:cs="Times New Roman" w:eastAsia="Times New Roman" w:hint="default"/>
          <w:spacing w:val="-3"/>
        </w:rPr>
        <w:t>2018</w:t>
      </w:r>
      <w:r>
        <w:rPr>
          <w:spacing w:val="-3"/>
        </w:rPr>
        <w:t>年第五次临时会议，审议通过了《关</w:t>
      </w:r>
      <w:r>
        <w:rPr>
          <w:spacing w:val="-77"/>
        </w:rPr>
        <w:t> </w:t>
      </w:r>
      <w:r>
        <w:rPr>
          <w:spacing w:val="-77"/>
        </w:rPr>
      </w:r>
      <w:r>
        <w:rPr/>
        <w:t>于对外提供担保的议案》，同意为参股公司洛阳蓝宝氟业有限公司申请的短期借款提供连带责任保证担保，担保额不超过 </w:t>
      </w:r>
      <w:r>
        <w:rPr>
          <w:rFonts w:ascii="Times New Roman" w:hAnsi="Times New Roman" w:cs="Times New Roman" w:eastAsia="Times New Roman" w:hint="default"/>
        </w:rPr>
        <w:t>5,000</w:t>
      </w:r>
      <w:r>
        <w:rPr/>
        <w:t>万元，担保期限为一年，从借款实际发生之日起到清偿完毕止（具体以借款合同为准）。作为公司提供担保的反担保 措施，洛阳蓝宝氟业有限公司其余三名股东的所有股权质押给公司。 </w:t>
      </w:r>
      <w:r>
        <w:rPr>
          <w:rFonts w:ascii="Times New Roman" w:hAnsi="Times New Roman" w:cs="Times New Roman" w:eastAsia="Times New Roman" w:hint="default"/>
          <w:spacing w:val="-5"/>
        </w:rPr>
        <w:t>13</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21</w:t>
      </w:r>
      <w:r>
        <w:rPr>
          <w:spacing w:val="-5"/>
        </w:rPr>
        <w:t>日，公司召开第八届董事会</w:t>
      </w:r>
      <w:r>
        <w:rPr>
          <w:rFonts w:ascii="Times New Roman" w:hAnsi="Times New Roman" w:cs="Times New Roman" w:eastAsia="Times New Roman" w:hint="default"/>
          <w:spacing w:val="-5"/>
        </w:rPr>
        <w:t>2018</w:t>
      </w:r>
      <w:r>
        <w:rPr>
          <w:spacing w:val="-5"/>
        </w:rPr>
        <w:t>年第六次临时会议、第八届监事会</w:t>
      </w:r>
      <w:r>
        <w:rPr>
          <w:rFonts w:ascii="Times New Roman" w:hAnsi="Times New Roman" w:cs="Times New Roman" w:eastAsia="Times New Roman" w:hint="default"/>
          <w:spacing w:val="-5"/>
        </w:rPr>
        <w:t>2018</w:t>
      </w:r>
      <w:r>
        <w:rPr>
          <w:spacing w:val="-5"/>
        </w:rPr>
        <w:t>年第六次临时会议，审议通过了《关</w:t>
      </w:r>
      <w:r>
        <w:rPr>
          <w:spacing w:val="-36"/>
        </w:rPr>
        <w:t> </w:t>
      </w:r>
      <w:r>
        <w:rPr>
          <w:spacing w:val="-36"/>
        </w:rPr>
      </w:r>
      <w:r>
        <w:rPr/>
        <w:t>于使用部分闲置自有资金购买银行保本型理财产品的议案》，同意公司和子公司使用部分闲置自有资金购买不超过人民币 </w:t>
      </w:r>
      <w:r>
        <w:rPr>
          <w:rFonts w:ascii="Times New Roman" w:hAnsi="Times New Roman" w:cs="Times New Roman" w:eastAsia="Times New Roman" w:hint="default"/>
        </w:rPr>
        <w:t>15,000</w:t>
      </w:r>
      <w:r>
        <w:rPr/>
        <w:t>万元额度的银行保本型理财产品，期限为一年。在上述额度内，资金可以滚动使用。</w:t>
      </w:r>
    </w:p>
    <w:p>
      <w:pPr>
        <w:pStyle w:val="BodyText"/>
        <w:spacing w:line="300" w:lineRule="auto" w:before="7"/>
        <w:ind w:right="0"/>
        <w:jc w:val="left"/>
      </w:pPr>
      <w:r>
        <w:rPr>
          <w:rFonts w:ascii="Times New Roman" w:hAnsi="Times New Roman" w:cs="Times New Roman" w:eastAsia="Times New Roman" w:hint="default"/>
          <w:spacing w:val="-2"/>
        </w:rPr>
        <w:t>14</w:t>
      </w:r>
      <w:r>
        <w:rPr>
          <w:spacing w:val="-2"/>
        </w:rPr>
        <w:t>、为进一步做好投资者关系管理工作，扩大公司信息披露覆盖面，公司决定自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日起增加《中国证券报》为公司</w:t>
      </w:r>
      <w:r>
        <w:rPr>
          <w:spacing w:val="-58"/>
        </w:rPr>
        <w:t> </w:t>
      </w:r>
      <w:r>
        <w:rPr>
          <w:spacing w:val="-58"/>
        </w:rPr>
      </w:r>
      <w:r>
        <w:rPr/>
        <w:t>指定信息披露媒体。增加后，公司指定信息披露媒体为《中国证券报》、《证券时报》、《证券日报》和巨潮资讯网</w:t>
      </w:r>
    </w:p>
    <w:p>
      <w:pPr>
        <w:pStyle w:val="BodyText"/>
        <w:spacing w:line="240" w:lineRule="auto" w:before="31"/>
        <w:ind w:right="0"/>
        <w:jc w:val="left"/>
      </w:pPr>
      <w:r>
        <w:rPr/>
        <w:t>（</w:t>
      </w:r>
      <w:hyperlink r:id="rId12">
        <w:r>
          <w:rPr>
            <w:rFonts w:ascii="Times New Roman" w:hAnsi="Times New Roman" w:cs="Times New Roman" w:eastAsia="Times New Roman" w:hint="default"/>
          </w:rPr>
          <w:t>www.cninfo.com.cn</w:t>
        </w:r>
      </w:hyperlink>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、霍尔果斯快马财税管理服务有限公司与其收购整合的终端资产原控股股东统一成立的首个持股平台浙江自贸区顺利办资 产管理合伙企业（有限合伙），</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日增资完成并办理了工商登记手续。截至报告期末，上述持股平台通过深圳证</w:t>
      </w:r>
    </w:p>
    <w:p>
      <w:pPr>
        <w:pStyle w:val="BodyText"/>
        <w:spacing w:line="300" w:lineRule="auto"/>
        <w:ind w:right="1062"/>
        <w:jc w:val="left"/>
      </w:pPr>
      <w:r>
        <w:rPr/>
        <w:t>券交易所交易系统购买公司股票共计</w:t>
      </w:r>
      <w:r>
        <w:rPr>
          <w:rFonts w:ascii="Times New Roman" w:hAnsi="Times New Roman" w:cs="Times New Roman" w:eastAsia="Times New Roman" w:hint="default"/>
        </w:rPr>
        <w:t>13,611,075</w:t>
      </w:r>
      <w:r>
        <w:rPr/>
        <w:t>股，买入股票数量占公司总股本的</w:t>
      </w:r>
      <w:r>
        <w:rPr>
          <w:rFonts w:ascii="Times New Roman" w:hAnsi="Times New Roman" w:cs="Times New Roman" w:eastAsia="Times New Roman" w:hint="default"/>
        </w:rPr>
        <w:t>1.78%</w:t>
      </w:r>
      <w:r>
        <w:rPr/>
        <w:t>。 </w:t>
      </w:r>
      <w:r>
        <w:rPr>
          <w:rFonts w:ascii="Times New Roman" w:hAnsi="Times New Roman" w:cs="Times New Roman" w:eastAsia="Times New Roman" w:hint="default"/>
        </w:rPr>
        <w:t>2</w:t>
      </w:r>
      <w:r>
        <w:rPr/>
        <w:t>、霍尔果斯快马财税管理服务有限公司与其收购整合的终端资产原控股股东统一成立的持股平台浙江自贸区顺利办贰号资 产管理合伙企业（有限合伙），</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日设立完成并办理了工商登记手续。 </w:t>
      </w:r>
      <w:r>
        <w:rPr>
          <w:rFonts w:ascii="Times New Roman" w:hAnsi="Times New Roman" w:cs="Times New Roman" w:eastAsia="Times New Roman" w:hint="default"/>
        </w:rPr>
        <w:t>3</w:t>
      </w:r>
      <w:r>
        <w:rPr/>
        <w:t>、报告期内，经公司总裁办公会审议，同意子公司神州易桥（北京）财税科技有限公司收购宁波神州开元会计服务有限公 司</w:t>
      </w:r>
      <w:r>
        <w:rPr>
          <w:rFonts w:ascii="Times New Roman" w:hAnsi="Times New Roman" w:cs="Times New Roman" w:eastAsia="Times New Roman" w:hint="default"/>
        </w:rPr>
        <w:t>20%</w:t>
      </w:r>
      <w:r>
        <w:rPr/>
        <w:t>的股权，分别为西藏天元方创创业投资有限公司持有宁波神州开元会计服务有限公司</w:t>
      </w:r>
      <w:r>
        <w:rPr>
          <w:rFonts w:ascii="Times New Roman" w:hAnsi="Times New Roman" w:cs="Times New Roman" w:eastAsia="Times New Roman" w:hint="default"/>
        </w:rPr>
        <w:t>10%</w:t>
      </w:r>
      <w:r>
        <w:rPr/>
        <w:t>股权、霍尔果斯硕佳股权投 资有限公司持有宁波神州开元会计服务有限公司</w:t>
      </w:r>
      <w:r>
        <w:rPr>
          <w:rFonts w:ascii="Times New Roman" w:hAnsi="Times New Roman" w:cs="Times New Roman" w:eastAsia="Times New Roman" w:hint="default"/>
        </w:rPr>
        <w:t>10%</w:t>
      </w:r>
      <w:r>
        <w:rPr/>
        <w:t>股权。上述股权变更的工商登记手续于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日完成。 </w:t>
      </w:r>
      <w:r>
        <w:rPr>
          <w:rFonts w:ascii="Times New Roman" w:hAnsi="Times New Roman" w:cs="Times New Roman" w:eastAsia="Times New Roman" w:hint="default"/>
        </w:rPr>
        <w:t>4</w:t>
      </w:r>
      <w:r>
        <w:rPr/>
        <w:t>、报告期内，经公司总裁办公会审议，同意子公司神州易桥（北京）财税科技有限公司将持有广西神州易桥企业管理有限 </w:t>
      </w:r>
      <w:r>
        <w:rPr>
          <w:spacing w:val="-1"/>
        </w:rPr>
        <w:t>公司</w:t>
      </w:r>
      <w:r>
        <w:rPr>
          <w:rFonts w:ascii="Times New Roman" w:hAnsi="Times New Roman" w:cs="Times New Roman" w:eastAsia="Times New Roman" w:hint="default"/>
          <w:spacing w:val="-1"/>
        </w:rPr>
        <w:t>51%</w:t>
      </w:r>
      <w:r>
        <w:rPr>
          <w:spacing w:val="-1"/>
        </w:rPr>
        <w:t>的股权转让给贺州弘毅股权投资合伙企业（有限合伙）；同意子公司神州易桥（北京）财税科技有限公司将持有黑</w:t>
      </w:r>
      <w:r>
        <w:rPr>
          <w:spacing w:val="-88"/>
        </w:rPr>
        <w:t> </w:t>
      </w:r>
      <w:r>
        <w:rPr>
          <w:spacing w:val="-88"/>
        </w:rPr>
      </w:r>
      <w:r>
        <w:rPr/>
        <w:t>龙江易桥科技有限公司</w:t>
      </w:r>
      <w:r>
        <w:rPr>
          <w:rFonts w:ascii="Times New Roman" w:hAnsi="Times New Roman" w:cs="Times New Roman" w:eastAsia="Times New Roman" w:hint="default"/>
        </w:rPr>
        <w:t>51%</w:t>
      </w:r>
      <w:r>
        <w:rPr/>
        <w:t>的股权转让给北京鼎和瑞成投资有限公司。上述股权变更的工商登记手续分别于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 </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日完成。</w:t>
      </w:r>
    </w:p>
    <w:p>
      <w:pPr>
        <w:pStyle w:val="BodyText"/>
        <w:spacing w:line="304" w:lineRule="auto" w:before="13"/>
        <w:ind w:right="0"/>
        <w:jc w:val="left"/>
      </w:pPr>
      <w:r>
        <w:rPr>
          <w:rFonts w:ascii="Times New Roman" w:hAnsi="Times New Roman" w:cs="Times New Roman" w:eastAsia="Times New Roman" w:hint="default"/>
          <w:spacing w:val="-4"/>
        </w:rPr>
        <w:t>5</w:t>
      </w:r>
      <w:r>
        <w:rPr>
          <w:spacing w:val="-4"/>
        </w:rPr>
        <w:t>、报告期内，经公司总裁办公会审议，同意子公司神州易桥（北京）财税科技有限公司出资设立全资子公司神州顺利办（芜</w:t>
      </w:r>
      <w:r>
        <w:rPr>
          <w:spacing w:val="-44"/>
        </w:rPr>
        <w:t> </w:t>
      </w:r>
      <w:r>
        <w:rPr>
          <w:spacing w:val="-44"/>
        </w:rPr>
      </w:r>
      <w:r>
        <w:rPr/>
        <w:t>湖）人力资源服务有限公司，注册资本</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日完成工商登记手续。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日，公司召开第八届董事会</w:t>
      </w:r>
      <w:r>
        <w:rPr>
          <w:rFonts w:ascii="Times New Roman" w:hAnsi="Times New Roman" w:cs="Times New Roman" w:eastAsia="Times New Roman" w:hint="default"/>
        </w:rPr>
        <w:t>2018</w:t>
      </w:r>
      <w:r>
        <w:rPr/>
        <w:t>年第三次临时会议、第八届监事会</w:t>
      </w:r>
      <w:r>
        <w:rPr>
          <w:rFonts w:ascii="Times New Roman" w:hAnsi="Times New Roman" w:cs="Times New Roman" w:eastAsia="Times New Roman" w:hint="default"/>
        </w:rPr>
        <w:t>2018</w:t>
      </w:r>
      <w:r>
        <w:rPr/>
        <w:t>年第三次临时会议，并于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 召开</w:t>
      </w:r>
      <w:r>
        <w:rPr>
          <w:rFonts w:ascii="Times New Roman" w:hAnsi="Times New Roman" w:cs="Times New Roman" w:eastAsia="Times New Roman" w:hint="default"/>
        </w:rPr>
        <w:t>2018</w:t>
      </w:r>
      <w:r>
        <w:rPr/>
        <w:t>年第五次临时股东大会审议通过了《关于子公司签署</w:t>
      </w:r>
      <w:r>
        <w:rPr>
          <w:rFonts w:ascii="Times New Roman" w:hAnsi="Times New Roman" w:cs="Times New Roman" w:eastAsia="Times New Roman" w:hint="default"/>
        </w:rPr>
        <w:t>&lt;</w:t>
      </w:r>
      <w:r>
        <w:rPr/>
        <w:t>终止合作协议</w:t>
      </w:r>
      <w:r>
        <w:rPr>
          <w:rFonts w:ascii="Times New Roman" w:hAnsi="Times New Roman" w:cs="Times New Roman" w:eastAsia="Times New Roman" w:hint="default"/>
        </w:rPr>
        <w:t>&gt;</w:t>
      </w:r>
      <w:r>
        <w:rPr/>
        <w:t>的议案》，同意子公司霍尔果斯快马财税管 </w:t>
      </w:r>
      <w:r>
        <w:rPr>
          <w:spacing w:val="-4"/>
        </w:rPr>
        <w:t>理服务有限公司与霍尔果斯神州易桥股权投资合伙企业（有限合伙）、部分终端资产合伙人三方共同签署《终止合作协议》，</w:t>
      </w:r>
      <w:r>
        <w:rPr>
          <w:spacing w:val="-44"/>
        </w:rPr>
        <w:t> </w:t>
      </w:r>
      <w:r>
        <w:rPr>
          <w:spacing w:val="-44"/>
        </w:rPr>
      </w:r>
      <w:r>
        <w:rPr/>
        <w:t>截至报告期末，上述终端资产已处置完毕。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日，公司召开第八届董事会</w:t>
      </w:r>
      <w:r>
        <w:rPr>
          <w:rFonts w:ascii="Times New Roman" w:hAnsi="Times New Roman" w:cs="Times New Roman" w:eastAsia="Times New Roman" w:hint="default"/>
        </w:rPr>
        <w:t>2018</w:t>
      </w:r>
      <w:r>
        <w:rPr/>
        <w:t>年第四次临时会议、第八届监事会</w:t>
      </w:r>
      <w:r>
        <w:rPr>
          <w:rFonts w:ascii="Times New Roman" w:hAnsi="Times New Roman" w:cs="Times New Roman" w:eastAsia="Times New Roman" w:hint="default"/>
        </w:rPr>
        <w:t>2018</w:t>
      </w:r>
      <w:r>
        <w:rPr/>
        <w:t>年第四次临时会议，并于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 </w:t>
      </w:r>
      <w:r>
        <w:rPr>
          <w:spacing w:val="-2"/>
        </w:rPr>
        <w:t>召开</w:t>
      </w:r>
      <w:r>
        <w:rPr>
          <w:rFonts w:ascii="Times New Roman" w:hAnsi="Times New Roman" w:cs="Times New Roman" w:eastAsia="Times New Roman" w:hint="default"/>
          <w:spacing w:val="-2"/>
        </w:rPr>
        <w:t>2018</w:t>
      </w:r>
      <w:r>
        <w:rPr>
          <w:spacing w:val="-2"/>
        </w:rPr>
        <w:t>年第五次临时股东大会审议通过了《关于对子公司提供担保的议案》，同意对子公司霍尔果斯快马财税管理服务有</w:t>
      </w:r>
      <w:r>
        <w:rPr>
          <w:spacing w:val="-62"/>
        </w:rPr>
        <w:t> </w:t>
      </w:r>
      <w:r>
        <w:rPr>
          <w:spacing w:val="-62"/>
        </w:rPr>
      </w:r>
      <w:r>
        <w:rPr/>
        <w:t>限公司申请的</w:t>
      </w:r>
      <w:r>
        <w:rPr>
          <w:rFonts w:ascii="Times New Roman" w:hAnsi="Times New Roman" w:cs="Times New Roman" w:eastAsia="Times New Roman" w:hint="default"/>
        </w:rPr>
        <w:t>25,000</w:t>
      </w:r>
      <w:r>
        <w:rPr/>
        <w:t>万元信托贷款提供连带责任保证担保，担保期限为不超过</w:t>
      </w:r>
      <w:r>
        <w:rPr>
          <w:rFonts w:ascii="Times New Roman" w:hAnsi="Times New Roman" w:cs="Times New Roman" w:eastAsia="Times New Roman" w:hint="default"/>
        </w:rPr>
        <w:t>36</w:t>
      </w:r>
      <w:r>
        <w:rPr/>
        <w:t>个月，从借款实际发生之日起到清偿完毕止</w:t>
      </w:r>
    </w:p>
    <w:p>
      <w:pPr>
        <w:spacing w:after="0" w:line="30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4" w:lineRule="auto" w:before="44"/>
        <w:ind w:right="1122"/>
        <w:jc w:val="left"/>
      </w:pPr>
      <w:r>
        <w:rPr/>
        <w:t>（具体以借款合同为准）。截至本报告披露日，该事项尚未开展。 </w:t>
      </w:r>
      <w:r>
        <w:rPr>
          <w:rFonts w:ascii="Times New Roman" w:hAnsi="Times New Roman" w:cs="Times New Roman" w:eastAsia="Times New Roman" w:hint="default"/>
        </w:rPr>
        <w:t>8</w:t>
      </w:r>
      <w:r>
        <w:rPr/>
        <w:t>、报告期内，经公司总裁办公会审议，同意子公司霍尔果斯快马财税管理服务有限公司与霍尔果斯神州易桥股权投资合伙 企业（有限合伙）、部分终端资产合伙人签署《终止合作协议》，截至报告期末，上述终端资产已处置完毕。 </w:t>
      </w:r>
      <w:r>
        <w:rPr>
          <w:rFonts w:ascii="Times New Roman" w:hAnsi="Times New Roman" w:cs="Times New Roman" w:eastAsia="Times New Roman" w:hint="default"/>
          <w:spacing w:val="-3"/>
        </w:rPr>
        <w:t>9</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日，公司召开第八届董事会</w:t>
      </w:r>
      <w:r>
        <w:rPr>
          <w:rFonts w:ascii="Times New Roman" w:hAnsi="Times New Roman" w:cs="Times New Roman" w:eastAsia="Times New Roman" w:hint="default"/>
          <w:spacing w:val="-3"/>
        </w:rPr>
        <w:t>2018</w:t>
      </w:r>
      <w:r>
        <w:rPr>
          <w:spacing w:val="-3"/>
        </w:rPr>
        <w:t>年第六次临时会议、第八届监事会</w:t>
      </w:r>
      <w:r>
        <w:rPr>
          <w:rFonts w:ascii="Times New Roman" w:hAnsi="Times New Roman" w:cs="Times New Roman" w:eastAsia="Times New Roman" w:hint="default"/>
          <w:spacing w:val="-3"/>
        </w:rPr>
        <w:t>2018</w:t>
      </w:r>
      <w:r>
        <w:rPr>
          <w:spacing w:val="-3"/>
        </w:rPr>
        <w:t>年第六次临时会议，审议通过了《关</w:t>
      </w:r>
      <w:r>
        <w:rPr>
          <w:spacing w:val="-77"/>
        </w:rPr>
        <w:t> </w:t>
      </w:r>
      <w:r>
        <w:rPr>
          <w:spacing w:val="-77"/>
        </w:rPr>
      </w:r>
      <w:r>
        <w:rPr/>
        <w:t>于孙公司签署</w:t>
      </w:r>
      <w:r>
        <w:rPr>
          <w:rFonts w:ascii="Times New Roman" w:hAnsi="Times New Roman" w:cs="Times New Roman" w:eastAsia="Times New Roman" w:hint="default"/>
        </w:rPr>
        <w:t>&lt;</w:t>
      </w:r>
      <w:r>
        <w:rPr/>
        <w:t>终止合作协议</w:t>
      </w:r>
      <w:r>
        <w:rPr>
          <w:rFonts w:ascii="Times New Roman" w:hAnsi="Times New Roman" w:cs="Times New Roman" w:eastAsia="Times New Roman" w:hint="default"/>
        </w:rPr>
        <w:t>&gt;</w:t>
      </w:r>
      <w:r>
        <w:rPr/>
        <w:t>的议案》，同意孙公司霍尔果斯易桥快马企业管理咨询有限公司与霍尔果斯神州易桥股权投 资合伙企业（有限合伙）、部分终端资产合伙人共同签署《终止合作协议》，截至报告期末，上述终端资产已处置完毕。 </w:t>
      </w:r>
      <w:r>
        <w:rPr>
          <w:rFonts w:ascii="Times New Roman" w:hAnsi="Times New Roman" w:cs="Times New Roman" w:eastAsia="Times New Roman" w:hint="default"/>
        </w:rPr>
        <w:t>10</w:t>
      </w:r>
      <w:r>
        <w:rPr/>
        <w:t>、报告期内，经公司总裁办公会审议，同意孙公司宁波神州开元会计服务有限公司注册资本由原</w:t>
      </w:r>
      <w:r>
        <w:rPr>
          <w:rFonts w:ascii="Times New Roman" w:hAnsi="Times New Roman" w:cs="Times New Roman" w:eastAsia="Times New Roman" w:hint="default"/>
        </w:rPr>
        <w:t>16,000</w:t>
      </w:r>
      <w:r>
        <w:rPr/>
        <w:t>万元减少至</w:t>
      </w:r>
      <w:r>
        <w:rPr>
          <w:rFonts w:ascii="Times New Roman" w:hAnsi="Times New Roman" w:cs="Times New Roman" w:eastAsia="Times New Roman" w:hint="default"/>
        </w:rPr>
        <w:t>1,300 </w:t>
      </w:r>
      <w:r>
        <w:rPr/>
        <w:t>万元，子公司神州易桥（北京）财税科技有限公司持股比例仍为</w:t>
      </w:r>
      <w:r>
        <w:rPr>
          <w:rFonts w:ascii="Times New Roman" w:hAnsi="Times New Roman" w:cs="Times New Roman" w:eastAsia="Times New Roman" w:hint="default"/>
        </w:rPr>
        <w:t>80%</w:t>
      </w:r>
      <w:r>
        <w:rPr/>
        <w:t>。上述工商变更登记手续于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日完成。 </w:t>
      </w:r>
      <w:r>
        <w:rPr>
          <w:rFonts w:ascii="Times New Roman" w:hAnsi="Times New Roman" w:cs="Times New Roman" w:eastAsia="Times New Roman" w:hint="default"/>
          <w:spacing w:val="-2"/>
        </w:rPr>
        <w:t>11</w:t>
      </w:r>
      <w:r>
        <w:rPr>
          <w:spacing w:val="-2"/>
        </w:rPr>
        <w:t>、报告期内，经公司总裁办公会审议，同意河北兴石创业投资有限公司注册资本由</w:t>
      </w:r>
      <w:r>
        <w:rPr>
          <w:rFonts w:ascii="Times New Roman" w:hAnsi="Times New Roman" w:cs="Times New Roman" w:eastAsia="Times New Roman" w:hint="default"/>
          <w:spacing w:val="-2"/>
        </w:rPr>
        <w:t>10,000</w:t>
      </w:r>
      <w:r>
        <w:rPr>
          <w:spacing w:val="-2"/>
        </w:rPr>
        <w:t>万元减少至</w:t>
      </w:r>
      <w:r>
        <w:rPr>
          <w:rFonts w:ascii="Times New Roman" w:hAnsi="Times New Roman" w:cs="Times New Roman" w:eastAsia="Times New Roman" w:hint="default"/>
          <w:spacing w:val="-2"/>
        </w:rPr>
        <w:t>8,800</w:t>
      </w:r>
      <w:r>
        <w:rPr>
          <w:spacing w:val="-2"/>
        </w:rPr>
        <w:t>万元，公司持股</w:t>
      </w:r>
      <w:r>
        <w:rPr>
          <w:spacing w:val="-55"/>
        </w:rPr>
        <w:t> </w:t>
      </w:r>
      <w:r>
        <w:rPr>
          <w:spacing w:val="-55"/>
        </w:rPr>
      </w:r>
      <w:r>
        <w:rPr/>
        <w:t>比例仍为</w:t>
      </w:r>
      <w:r>
        <w:rPr>
          <w:rFonts w:ascii="Times New Roman" w:hAnsi="Times New Roman" w:cs="Times New Roman" w:eastAsia="Times New Roman" w:hint="default"/>
        </w:rPr>
        <w:t>31%</w:t>
      </w:r>
      <w:r>
        <w:rPr/>
        <w:t>。上述工商变更登记手续于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日完成。 </w:t>
      </w:r>
      <w:r>
        <w:rPr>
          <w:rFonts w:ascii="Times New Roman" w:hAnsi="Times New Roman" w:cs="Times New Roman" w:eastAsia="Times New Roman" w:hint="default"/>
          <w:spacing w:val="-2"/>
        </w:rPr>
        <w:t>12</w:t>
      </w:r>
      <w:r>
        <w:rPr>
          <w:spacing w:val="-2"/>
        </w:rPr>
        <w:t>、报告期内，经公司总裁办公会审议，同意子公司霍尔果斯快马财税管理服务有限公司收购天津易桥普达财务咨询有限公</w:t>
      </w:r>
      <w:r>
        <w:rPr>
          <w:spacing w:val="-64"/>
        </w:rPr>
        <w:t> </w:t>
      </w:r>
      <w:r>
        <w:rPr>
          <w:spacing w:val="-64"/>
        </w:rPr>
      </w:r>
      <w:r>
        <w:rPr/>
        <w:t>司</w:t>
      </w:r>
      <w:r>
        <w:rPr>
          <w:rFonts w:ascii="Times New Roman" w:hAnsi="Times New Roman" w:cs="Times New Roman" w:eastAsia="Times New Roman" w:hint="default"/>
        </w:rPr>
        <w:t>100%</w:t>
      </w:r>
      <w:r>
        <w:rPr/>
        <w:t>股权。上述股权变更的工商登记手续于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日完成。</w:t>
      </w:r>
    </w:p>
    <w:p>
      <w:pPr>
        <w:spacing w:after="0" w:line="304"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386" w:right="1392"/>
        <w:jc w:val="left"/>
        <w:rPr>
          <w:b w:val="0"/>
          <w:bCs w:val="0"/>
        </w:rPr>
      </w:pPr>
      <w:bookmarkStart w:name="_TOC_250006" w:id="107"/>
      <w:bookmarkStart w:name="第六节 股份变动及股东情况" w:id="108"/>
      <w:r>
        <w:rPr>
          <w:b w:val="0"/>
          <w:bCs w:val="0"/>
        </w:rPr>
      </w:r>
      <w:r>
        <w:rPr/>
        <w:t>第六节</w:t>
      </w:r>
      <w:r>
        <w:rPr>
          <w:spacing w:val="-10"/>
        </w:rPr>
        <w:t> </w:t>
      </w:r>
      <w:r>
        <w:rPr/>
        <w:t>股份变动及股东情况</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574" w:right="1392"/>
        <w:jc w:val="left"/>
        <w:rPr>
          <w:b w:val="0"/>
          <w:bCs w:val="0"/>
        </w:rPr>
      </w:pPr>
      <w:bookmarkStart w:name="一、股份变动情况" w:id="109"/>
      <w:bookmarkEnd w:id="109"/>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74" w:right="1392"/>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205"/>
        <w:gridCol w:w="1046"/>
        <w:gridCol w:w="823"/>
        <w:gridCol w:w="822"/>
        <w:gridCol w:w="822"/>
        <w:gridCol w:w="822"/>
        <w:gridCol w:w="1104"/>
        <w:gridCol w:w="1134"/>
        <w:gridCol w:w="992"/>
        <w:gridCol w:w="794"/>
      </w:tblGrid>
      <w:tr>
        <w:trPr>
          <w:trHeight w:val="402"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7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1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110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293,685,753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-46,993,586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-46,993,586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246,692,167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32.21%</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293,685,753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-46,993,586</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-46,993,586</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246,692,167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32.21%</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68,712,547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-27,461,004</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-27,461,004</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41,251,543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224,973,206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-19,532,582</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-19,532,582</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205,440,624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472,113,600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46,993,586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46,993,586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519,107,186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472,113,600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46,993,586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46,993,586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519,107,186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67.79%</w:t>
            </w:r>
          </w:p>
        </w:tc>
      </w:tr>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765,799,353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765,799,353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574" w:right="1392"/>
        <w:jc w:val="left"/>
      </w:pPr>
      <w:r>
        <w:rPr/>
        <w:t>股份变动的原因</w:t>
      </w:r>
    </w:p>
    <w:p>
      <w:pPr>
        <w:pStyle w:val="BodyText"/>
        <w:spacing w:line="348" w:lineRule="auto" w:before="117"/>
        <w:ind w:left="574" w:right="4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本报告期办理了股东彭聪、百达永信投资有限公司所持部分限售股解除限售事宜。 股份变动的批准情况</w:t>
      </w:r>
    </w:p>
    <w:p>
      <w:pPr>
        <w:pStyle w:val="BodyText"/>
        <w:spacing w:line="338" w:lineRule="auto" w:before="36"/>
        <w:ind w:left="574"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3"/>
        <w:ind w:left="574"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40" w:lineRule="auto" w:before="42"/>
        <w:ind w:left="574"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0"/>
        <w:ind w:left="574"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left="57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left="574"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574" w:right="1392"/>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574"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after="0" w:line="240" w:lineRule="auto"/>
        <w:jc w:val="right"/>
        <w:sectPr>
          <w:pgSz w:w="11910" w:h="16840"/>
          <w:pgMar w:header="877" w:footer="979" w:top="1100" w:bottom="1160" w:left="560" w:right="0"/>
        </w:sectPr>
      </w:pPr>
    </w:p>
    <w:p>
      <w:pPr>
        <w:spacing w:line="240" w:lineRule="auto" w:before="6"/>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479"/>
        <w:gridCol w:w="1349"/>
        <w:gridCol w:w="1349"/>
        <w:gridCol w:w="1350"/>
        <w:gridCol w:w="1349"/>
        <w:gridCol w:w="2057"/>
        <w:gridCol w:w="1346"/>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9"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78,130,329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46,878,196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27,345,614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58,597,747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配套资金暨关联交易；上 述事项解除限售后产生高 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124,816,446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124,816,446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百达永信投资有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45,768,340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27,461,004</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18,307,336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广西泰达新原股 权投资有限公司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22,944,207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22,944,207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智尚田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22,026,431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22,026,431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发行股份购买资产并募集 配套资金暨关联交易</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293,685,753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74,339,200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27,345,614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246,692,167</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434"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34"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434"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434"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434"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34"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73.756989pt;margin-top:70.491714pt;width:79pt;height:31.25pt;mso-position-horizontal-relative:page;mso-position-vertical-relative:paragraph;z-index:-1038568"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506.880005pt;margin-top:70.491714pt;width:45.85pt;height:31.25pt;mso-position-horizontal-relative:page;mso-position-vertical-relative:paragraph;z-index:-1038544" coordorigin="10138,1410" coordsize="917,625">
            <v:shape style="position:absolute;left:10138;top:1410;width:917;height:625" coordorigin="10138,1410" coordsize="917,625" path="m10138,2034l11054,2034,11054,1410,10138,1410,1013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2" w:type="dxa"/>
        <w:tblLayout w:type="fixed"/>
        <w:tblCellMar>
          <w:top w:w="0" w:type="dxa"/>
          <w:left w:w="0" w:type="dxa"/>
          <w:bottom w:w="0" w:type="dxa"/>
          <w:right w:w="0" w:type="dxa"/>
        </w:tblCellMar>
        <w:tblLook w:val="01E0"/>
      </w:tblPr>
      <w:tblGrid>
        <w:gridCol w:w="1202"/>
        <w:gridCol w:w="268"/>
        <w:gridCol w:w="940"/>
        <w:gridCol w:w="472"/>
        <w:gridCol w:w="811"/>
        <w:gridCol w:w="987"/>
        <w:gridCol w:w="345"/>
        <w:gridCol w:w="444"/>
        <w:gridCol w:w="1054"/>
        <w:gridCol w:w="208"/>
        <w:gridCol w:w="784"/>
        <w:gridCol w:w="455"/>
        <w:gridCol w:w="1306"/>
        <w:gridCol w:w="447"/>
        <w:gridCol w:w="491"/>
      </w:tblGrid>
      <w:tr>
        <w:trPr>
          <w:trHeight w:val="317"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35,171</w:t>
            </w:r>
          </w:p>
        </w:tc>
        <w:tc>
          <w:tcPr>
            <w:tcW w:w="128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32"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85" w:right="0"/>
              <w:jc w:val="left"/>
              <w:rPr>
                <w:rFonts w:ascii="Times New Roman" w:hAnsi="Times New Roman" w:cs="Times New Roman" w:eastAsia="Times New Roman" w:hint="default"/>
                <w:sz w:val="18"/>
                <w:szCs w:val="18"/>
              </w:rPr>
            </w:pPr>
            <w:r>
              <w:rPr>
                <w:rFonts w:ascii="Times New Roman"/>
                <w:sz w:val="18"/>
              </w:rPr>
              <w:t>31,692</w:t>
            </w:r>
          </w:p>
        </w:tc>
        <w:tc>
          <w:tcPr>
            <w:tcW w:w="170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3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7" w:type="dxa"/>
            <w:vMerge w:val="restart"/>
            <w:tcBorders>
              <w:top w:val="single" w:sz="4" w:space="0" w:color="000000"/>
              <w:left w:val="single" w:sz="13" w:space="0" w:color="D2D2D2"/>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10" w:space="0" w:color="D2D2D2"/>
            </w:tcBorders>
          </w:tcPr>
          <w:p>
            <w:pPr/>
          </w:p>
        </w:tc>
        <w:tc>
          <w:tcPr>
            <w:tcW w:w="12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332" w:type="dxa"/>
            <w:gridSpan w:val="2"/>
            <w:vMerge/>
            <w:tcBorders>
              <w:left w:val="single" w:sz="9" w:space="0" w:color="D2D2D2"/>
              <w:right w:val="single" w:sz="9" w:space="0" w:color="D2D2D2"/>
            </w:tcBorders>
          </w:tcPr>
          <w:p>
            <w:pPr/>
          </w:p>
        </w:tc>
        <w:tc>
          <w:tcPr>
            <w:tcW w:w="170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39" w:type="dxa"/>
            <w:gridSpan w:val="2"/>
            <w:vMerge/>
            <w:tcBorders>
              <w:left w:val="single" w:sz="9" w:space="0" w:color="D2D2D2"/>
              <w:right w:val="single" w:sz="9" w:space="0" w:color="D2D2D2"/>
            </w:tcBorders>
          </w:tcPr>
          <w:p>
            <w:pPr/>
          </w:p>
        </w:tc>
        <w:tc>
          <w:tcPr>
            <w:tcW w:w="1306" w:type="dxa"/>
            <w:vMerge/>
            <w:tcBorders>
              <w:left w:val="single" w:sz="4" w:space="0" w:color="000000"/>
              <w:right w:val="single" w:sz="4" w:space="0" w:color="000000"/>
            </w:tcBorders>
            <w:shd w:val="clear" w:color="auto" w:fill="D2D2D2"/>
          </w:tcPr>
          <w:p>
            <w:pPr/>
          </w:p>
        </w:tc>
        <w:tc>
          <w:tcPr>
            <w:tcW w:w="447"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10" w:space="0" w:color="D2D2D2"/>
            </w:tcBorders>
          </w:tcPr>
          <w:p>
            <w:pPr/>
          </w:p>
        </w:tc>
        <w:tc>
          <w:tcPr>
            <w:tcW w:w="1283" w:type="dxa"/>
            <w:gridSpan w:val="2"/>
            <w:vMerge/>
            <w:tcBorders>
              <w:left w:val="single" w:sz="4" w:space="0" w:color="000000"/>
              <w:right w:val="single" w:sz="4" w:space="0" w:color="000000"/>
            </w:tcBorders>
            <w:shd w:val="clear" w:color="auto" w:fill="D2D2D2"/>
          </w:tcPr>
          <w:p>
            <w:pPr/>
          </w:p>
        </w:tc>
        <w:tc>
          <w:tcPr>
            <w:tcW w:w="1332" w:type="dxa"/>
            <w:gridSpan w:val="2"/>
            <w:vMerge/>
            <w:tcBorders>
              <w:left w:val="single" w:sz="9" w:space="0" w:color="D2D2D2"/>
              <w:right w:val="single" w:sz="9" w:space="0" w:color="D2D2D2"/>
            </w:tcBorders>
          </w:tcPr>
          <w:p>
            <w:pPr/>
          </w:p>
        </w:tc>
        <w:tc>
          <w:tcPr>
            <w:tcW w:w="1706" w:type="dxa"/>
            <w:gridSpan w:val="3"/>
            <w:vMerge/>
            <w:tcBorders>
              <w:left w:val="single" w:sz="4" w:space="0" w:color="000000"/>
              <w:right w:val="single" w:sz="4" w:space="0" w:color="000000"/>
            </w:tcBorders>
            <w:shd w:val="clear" w:color="auto" w:fill="D2D2D2"/>
          </w:tcPr>
          <w:p>
            <w:pPr/>
          </w:p>
        </w:tc>
        <w:tc>
          <w:tcPr>
            <w:tcW w:w="1239" w:type="dxa"/>
            <w:gridSpan w:val="2"/>
            <w:vMerge/>
            <w:tcBorders>
              <w:left w:val="single" w:sz="9" w:space="0" w:color="D2D2D2"/>
              <w:right w:val="single" w:sz="9" w:space="0" w:color="D2D2D2"/>
            </w:tcBorders>
          </w:tcPr>
          <w:p>
            <w:pPr/>
          </w:p>
        </w:tc>
        <w:tc>
          <w:tcPr>
            <w:tcW w:w="1306" w:type="dxa"/>
            <w:vMerge/>
            <w:tcBorders>
              <w:left w:val="single" w:sz="4" w:space="0" w:color="000000"/>
              <w:right w:val="single" w:sz="4" w:space="0" w:color="000000"/>
            </w:tcBorders>
            <w:shd w:val="clear" w:color="auto" w:fill="D2D2D2"/>
          </w:tcPr>
          <w:p>
            <w:pPr/>
          </w:p>
        </w:tc>
        <w:tc>
          <w:tcPr>
            <w:tcW w:w="447"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10" w:space="0" w:color="D2D2D2"/>
            </w:tcBorders>
          </w:tcPr>
          <w:p>
            <w:pPr/>
          </w:p>
        </w:tc>
        <w:tc>
          <w:tcPr>
            <w:tcW w:w="1283" w:type="dxa"/>
            <w:gridSpan w:val="2"/>
            <w:vMerge/>
            <w:tcBorders>
              <w:left w:val="single" w:sz="4" w:space="0" w:color="000000"/>
              <w:bottom w:val="nil" w:sz="6" w:space="0" w:color="auto"/>
              <w:right w:val="single" w:sz="4" w:space="0" w:color="000000"/>
            </w:tcBorders>
            <w:shd w:val="clear" w:color="auto" w:fill="D2D2D2"/>
          </w:tcPr>
          <w:p>
            <w:pPr/>
          </w:p>
        </w:tc>
        <w:tc>
          <w:tcPr>
            <w:tcW w:w="1332" w:type="dxa"/>
            <w:gridSpan w:val="2"/>
            <w:vMerge/>
            <w:tcBorders>
              <w:left w:val="single" w:sz="9" w:space="0" w:color="D2D2D2"/>
              <w:right w:val="single" w:sz="9" w:space="0" w:color="D2D2D2"/>
            </w:tcBorders>
          </w:tcPr>
          <w:p>
            <w:pPr/>
          </w:p>
        </w:tc>
        <w:tc>
          <w:tcPr>
            <w:tcW w:w="1706" w:type="dxa"/>
            <w:gridSpan w:val="3"/>
            <w:vMerge/>
            <w:tcBorders>
              <w:left w:val="single" w:sz="4" w:space="0" w:color="000000"/>
              <w:bottom w:val="nil" w:sz="6" w:space="0" w:color="auto"/>
              <w:right w:val="single" w:sz="4" w:space="0" w:color="000000"/>
            </w:tcBorders>
            <w:shd w:val="clear" w:color="auto" w:fill="D2D2D2"/>
          </w:tcPr>
          <w:p>
            <w:pPr/>
          </w:p>
        </w:tc>
        <w:tc>
          <w:tcPr>
            <w:tcW w:w="1239" w:type="dxa"/>
            <w:gridSpan w:val="2"/>
            <w:vMerge/>
            <w:tcBorders>
              <w:left w:val="single" w:sz="9" w:space="0" w:color="D2D2D2"/>
              <w:right w:val="single" w:sz="9" w:space="0" w:color="D2D2D2"/>
            </w:tcBorders>
          </w:tcPr>
          <w:p>
            <w:pPr/>
          </w:p>
        </w:tc>
        <w:tc>
          <w:tcPr>
            <w:tcW w:w="1306" w:type="dxa"/>
            <w:vMerge/>
            <w:tcBorders>
              <w:left w:val="single" w:sz="4" w:space="0" w:color="000000"/>
              <w:right w:val="single" w:sz="4" w:space="0" w:color="000000"/>
            </w:tcBorders>
            <w:shd w:val="clear" w:color="auto" w:fill="D2D2D2"/>
          </w:tcPr>
          <w:p>
            <w:pPr/>
          </w:p>
        </w:tc>
        <w:tc>
          <w:tcPr>
            <w:tcW w:w="447"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322"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10" w:space="0" w:color="D2D2D2"/>
            </w:tcBorders>
          </w:tcPr>
          <w:p>
            <w:pPr/>
          </w:p>
        </w:tc>
        <w:tc>
          <w:tcPr>
            <w:tcW w:w="12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32" w:type="dxa"/>
            <w:gridSpan w:val="2"/>
            <w:vMerge/>
            <w:tcBorders>
              <w:left w:val="single" w:sz="9" w:space="0" w:color="D2D2D2"/>
              <w:bottom w:val="single" w:sz="4" w:space="0" w:color="000000"/>
              <w:right w:val="single" w:sz="9" w:space="0" w:color="D2D2D2"/>
            </w:tcBorders>
          </w:tcPr>
          <w:p>
            <w:pPr/>
          </w:p>
        </w:tc>
        <w:tc>
          <w:tcPr>
            <w:tcW w:w="170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239" w:type="dxa"/>
            <w:gridSpan w:val="2"/>
            <w:vMerge/>
            <w:tcBorders>
              <w:left w:val="single" w:sz="9" w:space="0" w:color="D2D2D2"/>
              <w:bottom w:val="single" w:sz="4" w:space="0" w:color="000000"/>
              <w:right w:val="single" w:sz="9" w:space="0" w:color="D2D2D2"/>
            </w:tcBorders>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102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38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7" w:hRule="exact"/>
        </w:trPr>
        <w:tc>
          <w:tcPr>
            <w:tcW w:w="14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报告期末持</w:t>
            </w:r>
          </w:p>
        </w:tc>
        <w:tc>
          <w:tcPr>
            <w:tcW w:w="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72"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0" w:right="0"/>
              <w:jc w:val="left"/>
              <w:rPr>
                <w:rFonts w:ascii="宋体" w:hAnsi="宋体" w:cs="宋体" w:eastAsia="宋体" w:hint="default"/>
                <w:sz w:val="18"/>
                <w:szCs w:val="18"/>
              </w:rPr>
            </w:pPr>
            <w:r>
              <w:rPr>
                <w:rFonts w:ascii="宋体" w:hAnsi="宋体" w:cs="宋体" w:eastAsia="宋体" w:hint="default"/>
                <w:sz w:val="18"/>
                <w:szCs w:val="18"/>
              </w:rPr>
              <w:t>持有无限售</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877" w:footer="979" w:top="1100" w:bottom="1160" w:left="700" w:right="0"/>
        </w:sectPr>
      </w:pPr>
    </w:p>
    <w:p>
      <w:pPr>
        <w:spacing w:line="240" w:lineRule="auto" w:before="0"/>
        <w:rPr>
          <w:rFonts w:ascii="宋体" w:hAnsi="宋体" w:cs="宋体" w:eastAsia="宋体" w:hint="default"/>
          <w:sz w:val="20"/>
          <w:szCs w:val="20"/>
        </w:rPr>
      </w:pPr>
      <w:r>
        <w:rPr/>
        <w:pict>
          <v:shape style="position:absolute;margin-left:42.119999pt;margin-top:71.999985pt;width:511.35pt;height:685.9pt;mso-position-horizontal-relative:page;mso-position-vertical-relative:page;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7"/>
                    <w:gridCol w:w="1010"/>
                    <w:gridCol w:w="790"/>
                    <w:gridCol w:w="1054"/>
                    <w:gridCol w:w="993"/>
                    <w:gridCol w:w="1349"/>
                    <w:gridCol w:w="1349"/>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0"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8" w:right="29"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1" w:right="71"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10" w:right="40"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连良桂</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128,536,103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124,816,446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3,719,657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128,490,000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78,130,329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58,597,747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19,532,582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百达永信投资有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45,768,340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18,307,336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27,461,004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27,461,004</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青海省国有资产 投资管理有限公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36,150,000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广西泰达新原股 权投资有限公司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22,944,207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22,944,207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西藏华毓创业投 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智尚田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22,026,431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22,026,431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天津泰达科技投 资股份有限公司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21,422,000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21,422,000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平安基金－浦发 银行－中融国际 信托－宏金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 </w:t>
                        </w:r>
                        <w:r>
                          <w:rPr>
                            <w:rFonts w:ascii="宋体" w:hAnsi="宋体" w:cs="宋体" w:eastAsia="宋体" w:hint="default"/>
                            <w:sz w:val="18"/>
                            <w:szCs w:val="18"/>
                          </w:rPr>
                          <w:t>号 集合资金信托计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18,764,066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18,764,066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西宁城市投资管 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17,385,951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17,385,951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30"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330"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97"/>
                          <w:jc w:val="both"/>
                          <w:rPr>
                            <w:rFonts w:ascii="宋体" w:hAnsi="宋体" w:cs="宋体" w:eastAsia="宋体" w:hint="default"/>
                            <w:sz w:val="18"/>
                            <w:szCs w:val="18"/>
                          </w:rPr>
                        </w:pPr>
                        <w:r>
                          <w:rPr>
                            <w:rFonts w:ascii="宋体" w:hAnsi="宋体" w:cs="宋体" w:eastAsia="宋体" w:hint="default"/>
                            <w:sz w:val="18"/>
                            <w:szCs w:val="18"/>
                          </w:rPr>
                          <w:t>上述股东中，连良桂、广西泰达新原股权投资有限公司、西藏华毓创业投资管理有限公司、 天津泰达科技投资股份有限公司为一致行动人；彭聪、百达永信投资有限公司为一致行动人 除此之外，公司未知股东之间是否存在关联关系，也未知是否属于《上市公司股东持股变动 信息披露管理办法》中规定的一致行动人。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330" w:type="dxa"/>
                        <w:gridSpan w:val="7"/>
                        <w:vMerge/>
                        <w:tcBorders>
                          <w:left w:val="single" w:sz="9"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330" w:type="dxa"/>
                        <w:gridSpan w:val="7"/>
                        <w:vMerge/>
                        <w:tcBorders>
                          <w:left w:val="single" w:sz="9" w:space="0" w:color="D2D2D2"/>
                          <w:bottom w:val="single" w:sz="4" w:space="0" w:color="000000"/>
                          <w:right w:val="single" w:sz="4" w:space="0" w:color="000000"/>
                        </w:tcBorders>
                      </w:tcPr>
                      <w:p>
                        <w:pPr/>
                      </w:p>
                    </w:tc>
                  </w:tr>
                  <w:tr>
                    <w:trPr>
                      <w:trHeight w:val="402" w:hRule="exact"/>
                    </w:trPr>
                    <w:tc>
                      <w:tcPr>
                        <w:tcW w:w="1021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63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3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4633"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63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27,461,004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27,461,004</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西藏华毓创业投资管理有限公司</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21,422,000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21,422,000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19,532,582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19,532,582</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before="44"/>
        <w:ind w:left="0" w:right="783"/>
        <w:jc w:val="right"/>
      </w:pPr>
      <w:r>
        <w:rPr/>
        <w:t>。</w:t>
      </w:r>
    </w:p>
    <w:p>
      <w:pPr>
        <w:spacing w:after="0" w:line="240" w:lineRule="auto"/>
        <w:jc w:val="right"/>
        <w:sectPr>
          <w:pgSz w:w="11910" w:h="16840"/>
          <w:pgMar w:header="877" w:footer="979" w:top="1100" w:bottom="1160" w:left="740" w:right="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882"/>
        <w:gridCol w:w="4633"/>
        <w:gridCol w:w="1349"/>
        <w:gridCol w:w="1349"/>
      </w:tblGrid>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平安基金－浦发银行－中融国际信 托－宏金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18,764,066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18,764,066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西宁城市投资管理有限公司</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17,385,951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17,385,951</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浙江自贸区顺利办资产管理合伙企 业（有限合伙）</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13,611,075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13,611,075</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中信建投证券股份有限公司转融通 担保证券明细账户</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 型证券投资基金</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3,933,220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3,933,220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上述股东中，西藏华毓创业投资管理有限公司、天津泰达科技投资股份有限公司为一致行动 人；彭聪、百达永信投资有限公司为一致行动人。除此之外，公司未知前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名无限售条件股 东之间是否存在关联关系，也未知是否属于《上市公司股东持股变动信息披露管理办法》中 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中信建投证券股份有限公司转融通担保证券明细账户通过转融通担保证券账户持有公司股票</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39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39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39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394"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394" w:right="8592"/>
        <w:jc w:val="left"/>
      </w:pPr>
      <w:r>
        <w:rPr/>
        <w:t>控股股东性质：无控股主体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141"/>
        <w:jc w:val="right"/>
      </w:pPr>
      <w:r>
        <w:rPr/>
        <w:pict>
          <v:shape style="position:absolute;margin-left:56.459999pt;margin-top:-114.548286pt;width:479.2pt;height:263.6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70"/>
                          <w:jc w:val="left"/>
                          <w:rPr>
                            <w:rFonts w:ascii="宋体" w:hAnsi="宋体" w:cs="宋体" w:eastAsia="宋体" w:hint="default"/>
                            <w:sz w:val="18"/>
                            <w:szCs w:val="18"/>
                          </w:rPr>
                        </w:pPr>
                        <w:r>
                          <w:rPr>
                            <w:rFonts w:ascii="宋体" w:hAnsi="宋体" w:cs="宋体" w:eastAsia="宋体" w:hint="default"/>
                            <w:sz w:val="18"/>
                            <w:szCs w:val="18"/>
                          </w:rPr>
                          <w:t>天津泰达科技投资股份有限 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赵华</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5"/>
                          <w:jc w:val="center"/>
                          <w:rPr>
                            <w:rFonts w:ascii="Times New Roman" w:hAnsi="Times New Roman" w:cs="Times New Roman" w:eastAsia="Times New Roman" w:hint="default"/>
                            <w:sz w:val="18"/>
                            <w:szCs w:val="18"/>
                          </w:rPr>
                        </w:pPr>
                        <w:r>
                          <w:rPr>
                            <w:rFonts w:ascii="Times New Roman"/>
                            <w:sz w:val="18"/>
                          </w:rPr>
                          <w:t>91120116724485883M</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高新技术产业投资及投资 管理；相关的投资咨询业 务；设备租赁（汽车、医 </w:t>
                        </w:r>
                        <w:r>
                          <w:rPr>
                            <w:rFonts w:ascii="宋体" w:hAnsi="宋体" w:cs="宋体" w:eastAsia="宋体" w:hint="default"/>
                            <w:spacing w:val="-8"/>
                            <w:sz w:val="18"/>
                            <w:szCs w:val="18"/>
                          </w:rPr>
                          <w:t>疗设备除外）；厂房租赁；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批发和零售业；国内、国 </w:t>
                        </w:r>
                        <w:r>
                          <w:rPr>
                            <w:rFonts w:ascii="宋体" w:hAnsi="宋体" w:cs="宋体" w:eastAsia="宋体" w:hint="default"/>
                            <w:spacing w:val="-4"/>
                            <w:sz w:val="18"/>
                            <w:szCs w:val="18"/>
                          </w:rPr>
                          <w:t>际货运代理（海运、陆运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空运）；代办仓储；简单加</w:t>
                        </w:r>
                        <w:r>
                          <w:rPr>
                            <w:rFonts w:ascii="宋体" w:hAnsi="宋体" w:cs="宋体" w:eastAsia="宋体" w:hint="default"/>
                            <w:sz w:val="18"/>
                            <w:szCs w:val="18"/>
                          </w:rPr>
                          <w:t> 工；黄铂金制品加工及销 </w:t>
                        </w:r>
                        <w:r>
                          <w:rPr>
                            <w:rFonts w:ascii="宋体" w:hAnsi="宋体" w:cs="宋体" w:eastAsia="宋体" w:hint="default"/>
                            <w:spacing w:val="-9"/>
                            <w:sz w:val="18"/>
                            <w:szCs w:val="18"/>
                          </w:rPr>
                          <w:t>售。（依法须经批准的项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目，经相关部门批准后方 可开展经营活动）</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广西泰达新原股权投资有限公司持有青海春天药用资源科技股份有限公司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6.57%</w:t>
                        </w:r>
                        <w:r>
                          <w:rPr>
                            <w:rFonts w:ascii="宋体" w:hAnsi="宋体" w:cs="宋体" w:eastAsia="宋体" w:hint="default"/>
                            <w:sz w:val="18"/>
                            <w:szCs w:val="18"/>
                          </w:rPr>
                          <w:t>的股份。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left="394" w:right="0"/>
        <w:jc w:val="left"/>
      </w:pPr>
      <w:r>
        <w:rPr/>
        <w:t>控股股东报告期内变更</w:t>
      </w:r>
    </w:p>
    <w:p>
      <w:pPr>
        <w:pStyle w:val="BodyText"/>
        <w:spacing w:line="240" w:lineRule="auto" w:before="117"/>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740" w:right="0"/>
        </w:sectPr>
      </w:pPr>
    </w:p>
    <w:p>
      <w:pPr>
        <w:spacing w:line="240" w:lineRule="auto" w:before="13"/>
        <w:rPr>
          <w:rFonts w:ascii="宋体" w:hAnsi="宋体" w:cs="宋体" w:eastAsia="宋体" w:hint="default"/>
          <w:sz w:val="21"/>
          <w:szCs w:val="21"/>
        </w:rPr>
      </w:pPr>
    </w:p>
    <w:p>
      <w:pPr>
        <w:pStyle w:val="BodyText"/>
        <w:spacing w:line="240" w:lineRule="auto" w:before="44"/>
        <w:ind w:left="334" w:right="0"/>
        <w:jc w:val="left"/>
      </w:pPr>
      <w:r>
        <w:rPr/>
        <w:t>公司报告期控股股东未发生变更。</w:t>
      </w:r>
    </w:p>
    <w:p>
      <w:pPr>
        <w:spacing w:line="240" w:lineRule="auto" w:before="10"/>
        <w:rPr>
          <w:rFonts w:ascii="宋体" w:hAnsi="宋体" w:cs="宋体" w:eastAsia="宋体" w:hint="default"/>
          <w:sz w:val="26"/>
          <w:szCs w:val="26"/>
        </w:rPr>
      </w:pPr>
    </w:p>
    <w:p>
      <w:pPr>
        <w:pStyle w:val="Heading3"/>
        <w:spacing w:line="240" w:lineRule="auto"/>
        <w:ind w:left="334" w:right="0"/>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334" w:right="8052"/>
        <w:jc w:val="left"/>
      </w:pPr>
      <w:r>
        <w:rPr/>
        <w:t>实际控制人性质：无实际控制人 实际控制人类型：不存在 公司不存在实际控制人情况的说明</w:t>
      </w:r>
    </w:p>
    <w:p>
      <w:pPr>
        <w:pStyle w:val="BodyText"/>
        <w:spacing w:line="309" w:lineRule="auto" w:before="25"/>
        <w:ind w:left="334" w:right="0"/>
        <w:jc w:val="left"/>
      </w:pPr>
      <w:r>
        <w:rPr>
          <w:spacing w:val="-2"/>
        </w:rPr>
        <w:t>天津泰达科技投资股份有限公司及其控制的广西泰达新原股权投资有限公司、西藏华毓创业投资管理有限公司，以及天津泰</w:t>
      </w:r>
      <w:r>
        <w:rPr>
          <w:spacing w:val="-64"/>
        </w:rPr>
        <w:t> </w:t>
      </w:r>
      <w:r>
        <w:rPr>
          <w:spacing w:val="-64"/>
        </w:rPr>
      </w:r>
      <w:r>
        <w:rPr/>
        <w:t>达科技投资股份有限公司的一致行动人连良桂及其控制的天津滨海浙商投资集团有限公司合计持有本公司总股本的 </w:t>
      </w:r>
      <w:r>
        <w:rPr>
          <w:rFonts w:ascii="Times New Roman" w:hAnsi="Times New Roman" w:cs="Times New Roman" w:eastAsia="Times New Roman" w:hint="default"/>
        </w:rPr>
        <w:t>25.79%</w:t>
      </w:r>
      <w:r>
        <w:rPr/>
        <w:t>，天津泰达科技投资股份有限公司仍为本公司控股股东，由于股权结构较为分散，天津泰达科技投资股份有限公司 </w:t>
      </w:r>
      <w:r>
        <w:rPr>
          <w:spacing w:val="-2"/>
        </w:rPr>
        <w:t>无实际控制人，因此公司仍无实际控制人。具体内容详见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日巨潮资讯网（</w:t>
      </w:r>
      <w:r>
        <w:rPr>
          <w:rFonts w:ascii="Times New Roman" w:hAnsi="Times New Roman" w:cs="Times New Roman" w:eastAsia="Times New Roman" w:hint="default"/>
          <w:spacing w:val="-2"/>
        </w:rPr>
        <w:t>www.cninfo.com.cn)</w:t>
      </w:r>
      <w:r>
        <w:rPr>
          <w:spacing w:val="-2"/>
        </w:rPr>
        <w:t>刊载的《发行股份</w:t>
      </w:r>
      <w:r>
        <w:rPr>
          <w:spacing w:val="-39"/>
        </w:rPr>
        <w:t> </w:t>
      </w:r>
      <w:r>
        <w:rPr>
          <w:spacing w:val="-39"/>
        </w:rPr>
      </w:r>
      <w:r>
        <w:rPr/>
        <w:t>购买资产并募集配套资金暨关联交易报告书</w:t>
      </w:r>
      <w:r>
        <w:rPr>
          <w:rFonts w:ascii="Times New Roman" w:hAnsi="Times New Roman" w:cs="Times New Roman" w:eastAsia="Times New Roman" w:hint="default"/>
        </w:rPr>
        <w:t>(</w:t>
      </w:r>
      <w:r>
        <w:rPr/>
        <w:t>修订稿</w:t>
      </w:r>
      <w:r>
        <w:rPr>
          <w:rFonts w:ascii="Times New Roman" w:hAnsi="Times New Roman" w:cs="Times New Roman" w:eastAsia="Times New Roman" w:hint="default"/>
        </w:rPr>
        <w:t>)</w:t>
      </w:r>
      <w:r>
        <w:rPr/>
        <w:t>》。</w:t>
      </w:r>
    </w:p>
    <w:p>
      <w:pPr>
        <w:pStyle w:val="BodyText"/>
        <w:spacing w:line="240" w:lineRule="auto" w:before="46"/>
        <w:ind w:left="334" w:right="0"/>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103"/>
        <w:ind w:left="334" w:right="964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法人</w:t>
      </w:r>
    </w:p>
    <w:p>
      <w:pPr>
        <w:pStyle w:val="BodyText"/>
        <w:spacing w:line="240" w:lineRule="auto" w:before="42"/>
        <w:ind w:left="334" w:right="0"/>
        <w:jc w:val="left"/>
      </w:pPr>
      <w:r>
        <w:rPr/>
        <w:t>最终控制层面持股情况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848"/>
        <w:jc w:val="right"/>
      </w:pPr>
      <w:r>
        <w:rPr/>
        <w:pict>
          <v:shape style="position:absolute;margin-left:45.299999pt;margin-top:-214.868256pt;width:505.05pt;height:433.2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354"/>
                    <w:gridCol w:w="1565"/>
                    <w:gridCol w:w="1883"/>
                    <w:gridCol w:w="3021"/>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0" w:right="107"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3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天津泰达科技发展集团有限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马杰</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9112011656269733X5</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科技投资；对不动产进行投资管理； 建筑材料批发兼零售；科技咨询；专 利代理服务；工业物业管理；技术管 </w:t>
                        </w:r>
                        <w:r>
                          <w:rPr>
                            <w:rFonts w:ascii="宋体" w:hAnsi="宋体" w:cs="宋体" w:eastAsia="宋体" w:hint="default"/>
                            <w:spacing w:val="-6"/>
                            <w:sz w:val="18"/>
                            <w:szCs w:val="18"/>
                          </w:rPr>
                          <w:t>理培训（不含发证）；孵化器建设、开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发、管理、运营；科技平台建设、运 营及其他相关服务；技术产权交易服 务；技术服务及其他与促进科技产业 相关的业务；房屋租赁；办公租赁； 商务办公服务；受委托为企业提供商 </w:t>
                        </w:r>
                        <w:r>
                          <w:rPr>
                            <w:rFonts w:ascii="宋体" w:hAnsi="宋体" w:cs="宋体" w:eastAsia="宋体" w:hint="default"/>
                            <w:spacing w:val="-6"/>
                            <w:sz w:val="18"/>
                            <w:szCs w:val="18"/>
                          </w:rPr>
                          <w:t>务服务。（依法须经批准的项目，经相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关部门批准后方可开展经营活动）</w:t>
                        </w:r>
                      </w:p>
                    </w:tc>
                  </w:tr>
                  <w:tr>
                    <w:trPr>
                      <w:trHeight w:val="441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天津滨海浙商投资集团有限 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闫昶煦</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91120000789367458P</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向房地产、宾馆业、餐饮业控股投资 建筑材料、五金交电、环保设备、机 电设备、装饰材料、办公设备、日用 百货、文化用品、通讯器材、裘皮及 服装、鞋帽、金银饰品、珠宝、汽车 装具、汽车配件销售；劳务服务；卷 烟零售；房地产开发及商品房销售； 房屋租赁服务；房地产信息咨询；物 业服务；汽车租赁；计算机软硬件的 开发；电子产品、电子设备研发、销 售；机械设备租赁、销售；土石方工 程施工；房屋建筑工程；室内外装修 设计、施工；绿化工程；房地产中介 服务；展览展示服务；会议、礼仪服</w:t>
                        </w:r>
                      </w:p>
                    </w:tc>
                  </w:tr>
                </w:tbl>
                <w:p>
                  <w:pPr/>
                </w:p>
              </w:txbxContent>
            </v:textbox>
            <w10:wrap type="none"/>
          </v:shape>
        </w:pict>
      </w:r>
      <w:r>
        <w:rPr/>
        <w:t>；</w:t>
      </w:r>
    </w:p>
    <w:p>
      <w:pPr>
        <w:spacing w:after="0" w:line="240" w:lineRule="auto"/>
        <w:jc w:val="right"/>
        <w:sectPr>
          <w:pgSz w:w="11910" w:h="16840"/>
          <w:pgMar w:header="877" w:footer="979" w:top="1100" w:bottom="1160" w:left="8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44"/>
        <w:ind w:left="0" w:right="847"/>
        <w:jc w:val="right"/>
      </w:pPr>
      <w:r>
        <w:rPr/>
        <w:pict>
          <v:shape style="position:absolute;margin-left:45.299999pt;margin-top:-34.568268pt;width:505.05pt;height:546.950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354"/>
                    <w:gridCol w:w="1565"/>
                    <w:gridCol w:w="1883"/>
                    <w:gridCol w:w="3021"/>
                  </w:tblGrid>
                  <w:tr>
                    <w:trPr>
                      <w:trHeight w:val="674"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83" w:type="dxa"/>
                        <w:tcBorders>
                          <w:top w:val="single" w:sz="4" w:space="0" w:color="000000"/>
                          <w:left w:val="single" w:sz="4" w:space="0" w:color="000000"/>
                          <w:bottom w:val="single" w:sz="4" w:space="0" w:color="000000"/>
                          <w:right w:val="single" w:sz="4" w:space="0" w:color="000000"/>
                        </w:tcBorders>
                      </w:tcPr>
                      <w:p>
                        <w:pP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务。（依法须经批准的项目，经相关部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门批准后方可开展经营活动）</w:t>
                        </w:r>
                      </w:p>
                    </w:tc>
                  </w:tr>
                  <w:tr>
                    <w:trPr>
                      <w:trHeight w:val="477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浙江隆北实业有限公司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朱建海</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91330103593055815B</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服务：实业投资，投资咨询（除证券 </w:t>
                        </w:r>
                        <w:r>
                          <w:rPr>
                            <w:rFonts w:ascii="宋体" w:hAnsi="宋体" w:cs="宋体" w:eastAsia="宋体" w:hint="default"/>
                            <w:spacing w:val="-11"/>
                            <w:sz w:val="18"/>
                            <w:szCs w:val="18"/>
                          </w:rPr>
                          <w:t>期货），投资管理（除证券、期货），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承办会展，商务信息咨询（除证券、 </w:t>
                        </w:r>
                        <w:r>
                          <w:rPr>
                            <w:rFonts w:ascii="宋体" w:hAnsi="宋体" w:cs="宋体" w:eastAsia="宋体" w:hint="default"/>
                            <w:spacing w:val="-6"/>
                            <w:sz w:val="18"/>
                            <w:szCs w:val="18"/>
                          </w:rPr>
                          <w:t>期货、商品中介），计算机软件的技术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开发、技术咨询；批发、零售：有色 金属，金属制品，电线电缆，家用电 </w:t>
                        </w:r>
                        <w:r>
                          <w:rPr>
                            <w:rFonts w:ascii="宋体" w:hAnsi="宋体" w:cs="宋体" w:eastAsia="宋体" w:hint="default"/>
                            <w:spacing w:val="-6"/>
                            <w:sz w:val="18"/>
                            <w:szCs w:val="18"/>
                          </w:rPr>
                          <w:t>器，机电设备（除轿车），钢材，化工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原料（除化学危险品及易制毒化学 </w:t>
                        </w:r>
                        <w:r>
                          <w:rPr>
                            <w:rFonts w:ascii="宋体" w:hAnsi="宋体" w:cs="宋体" w:eastAsia="宋体" w:hint="default"/>
                            <w:spacing w:val="-6"/>
                            <w:sz w:val="18"/>
                            <w:szCs w:val="18"/>
                          </w:rPr>
                          <w:t>品），建筑材料，商用车及九座以上乘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用车，五金交电，电子计算机及配件</w:t>
                        </w:r>
                        <w:r>
                          <w:rPr>
                            <w:rFonts w:ascii="宋体" w:hAnsi="宋体" w:cs="宋体" w:eastAsia="宋体" w:hint="default"/>
                            <w:sz w:val="18"/>
                            <w:szCs w:val="18"/>
                          </w:rPr>
                          <w:t> 通讯器材；货物进出口（法律、行政 法规禁止除外，法律、行政法规限制 的项目取得许可后方可以从事经营活 </w:t>
                        </w:r>
                        <w:r>
                          <w:rPr>
                            <w:rFonts w:ascii="宋体" w:hAnsi="宋体" w:cs="宋体" w:eastAsia="宋体" w:hint="default"/>
                            <w:spacing w:val="-6"/>
                            <w:sz w:val="18"/>
                            <w:szCs w:val="18"/>
                          </w:rPr>
                          <w:t>动）；其他无需报经审批的一切合法项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r>
                  <w:tr>
                    <w:trPr>
                      <w:trHeight w:val="445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中油资产管理有限公司</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911100007109263695</w:t>
                        </w:r>
                      </w:p>
                    </w:tc>
                    <w:tc>
                      <w:tcPr>
                        <w:tcW w:w="30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资产经营管理；投资；高新技术开发 转让；企业财务、资本运营策划与咨 </w:t>
                        </w:r>
                        <w:r>
                          <w:rPr>
                            <w:rFonts w:ascii="宋体" w:hAnsi="宋体" w:cs="宋体" w:eastAsia="宋体" w:hint="default"/>
                            <w:spacing w:val="-6"/>
                            <w:w w:val="100"/>
                            <w:sz w:val="18"/>
                            <w:szCs w:val="18"/>
                          </w:rPr>
                          <w:t>询；经济信息咨询和服务。（</w:t>
                        </w:r>
                        <w:r>
                          <w:rPr>
                            <w:rFonts w:ascii="Times New Roman" w:hAnsi="Times New Roman" w:cs="Times New Roman" w:eastAsia="Times New Roman" w:hint="default"/>
                            <w:spacing w:val="-6"/>
                            <w:w w:val="100"/>
                            <w:sz w:val="18"/>
                            <w:szCs w:val="18"/>
                          </w:rPr>
                          <w:t>“1</w:t>
                        </w:r>
                        <w:r>
                          <w:rPr>
                            <w:rFonts w:ascii="宋体" w:hAnsi="宋体" w:cs="宋体" w:eastAsia="宋体" w:hint="default"/>
                            <w:spacing w:val="-6"/>
                            <w:w w:val="100"/>
                            <w:sz w:val="18"/>
                            <w:szCs w:val="18"/>
                          </w:rPr>
                          <w:t>、未经</w:t>
                        </w:r>
                        <w:r>
                          <w:rPr>
                            <w:rFonts w:ascii="宋体" w:hAnsi="宋体" w:cs="宋体" w:eastAsia="宋体" w:hint="default"/>
                            <w:spacing w:val="-74"/>
                            <w:w w:val="100"/>
                            <w:sz w:val="18"/>
                            <w:szCs w:val="18"/>
                          </w:rPr>
                          <w:t> </w:t>
                        </w:r>
                        <w:r>
                          <w:rPr>
                            <w:rFonts w:ascii="宋体" w:hAnsi="宋体" w:cs="宋体" w:eastAsia="宋体" w:hint="default"/>
                            <w:sz w:val="18"/>
                            <w:szCs w:val="18"/>
                          </w:rPr>
                          <w:t>有关部门批准，不得以公开方式募集 资金；</w:t>
                        </w:r>
                        <w:r>
                          <w:rPr>
                            <w:rFonts w:ascii="Times New Roman" w:hAnsi="Times New Roman" w:cs="Times New Roman" w:eastAsia="Times New Roman" w:hint="default"/>
                            <w:sz w:val="18"/>
                            <w:szCs w:val="18"/>
                          </w:rPr>
                          <w:t>2</w:t>
                        </w:r>
                        <w:r>
                          <w:rPr>
                            <w:rFonts w:ascii="宋体" w:hAnsi="宋体" w:cs="宋体" w:eastAsia="宋体" w:hint="default"/>
                            <w:sz w:val="18"/>
                            <w:szCs w:val="18"/>
                          </w:rPr>
                          <w:t>、不得公开开展证券类产品和 金融衍生品交易活动；</w:t>
                        </w:r>
                        <w:r>
                          <w:rPr>
                            <w:rFonts w:ascii="Times New Roman" w:hAnsi="Times New Roman" w:cs="Times New Roman" w:eastAsia="Times New Roman" w:hint="default"/>
                            <w:sz w:val="18"/>
                            <w:szCs w:val="18"/>
                          </w:rPr>
                          <w:t>3</w:t>
                        </w:r>
                        <w:r>
                          <w:rPr>
                            <w:rFonts w:ascii="宋体" w:hAnsi="宋体" w:cs="宋体" w:eastAsia="宋体" w:hint="default"/>
                            <w:sz w:val="18"/>
                            <w:szCs w:val="18"/>
                          </w:rPr>
                          <w:t>、不得发放贷 款；</w:t>
                        </w:r>
                        <w:r>
                          <w:rPr>
                            <w:rFonts w:ascii="Times New Roman" w:hAnsi="Times New Roman" w:cs="Times New Roman" w:eastAsia="Times New Roman" w:hint="default"/>
                            <w:sz w:val="18"/>
                            <w:szCs w:val="18"/>
                          </w:rPr>
                          <w:t>4</w:t>
                        </w:r>
                        <w:r>
                          <w:rPr>
                            <w:rFonts w:ascii="宋体" w:hAnsi="宋体" w:cs="宋体" w:eastAsia="宋体" w:hint="default"/>
                            <w:sz w:val="18"/>
                            <w:szCs w:val="18"/>
                          </w:rPr>
                          <w:t>、不得对所投资企业以外的其他 企业提供担保；</w:t>
                        </w:r>
                        <w:r>
                          <w:rPr>
                            <w:rFonts w:ascii="Times New Roman" w:hAnsi="Times New Roman" w:cs="Times New Roman" w:eastAsia="Times New Roman" w:hint="default"/>
                            <w:sz w:val="18"/>
                            <w:szCs w:val="18"/>
                          </w:rPr>
                          <w:t>5</w:t>
                        </w:r>
                        <w:r>
                          <w:rPr>
                            <w:rFonts w:ascii="宋体" w:hAnsi="宋体" w:cs="宋体" w:eastAsia="宋体" w:hint="default"/>
                            <w:sz w:val="18"/>
                            <w:szCs w:val="18"/>
                          </w:rPr>
                          <w:t>、不得向投资者承诺 投资本金不受损失或者承诺最低收 益</w:t>
                        </w:r>
                        <w:r>
                          <w:rPr>
                            <w:rFonts w:ascii="Times New Roman" w:hAnsi="Times New Roman" w:cs="Times New Roman" w:eastAsia="Times New Roman" w:hint="default"/>
                            <w:sz w:val="18"/>
                            <w:szCs w:val="18"/>
                          </w:rPr>
                          <w:t>”</w:t>
                        </w:r>
                        <w:r>
                          <w:rPr>
                            <w:rFonts w:ascii="宋体" w:hAnsi="宋体" w:cs="宋体" w:eastAsia="宋体" w:hint="default"/>
                            <w:sz w:val="18"/>
                            <w:szCs w:val="18"/>
                          </w:rPr>
                          <w:t>；企业依法自主选择经营项目，开 展经营活动；依法须经批准的项目， 经相关部门批准后依批准的内容开展 经营活动；不得从事本市产业政策禁 </w:t>
                        </w:r>
                        <w:r>
                          <w:rPr>
                            <w:rFonts w:ascii="宋体" w:hAnsi="宋体" w:cs="宋体" w:eastAsia="宋体" w:hint="default"/>
                            <w:spacing w:val="-7"/>
                            <w:sz w:val="18"/>
                            <w:szCs w:val="18"/>
                          </w:rPr>
                          <w:t>止和限制类项目的经营活动。）</w:t>
                        </w:r>
                      </w:p>
                    </w:tc>
                  </w:tr>
                  <w:tr>
                    <w:trPr>
                      <w:trHeight w:val="1026"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最终控制层面股东报告期内 控制的其他境内外上市公司 的股权情况</w:t>
                        </w:r>
                      </w:p>
                    </w:tc>
                    <w:tc>
                      <w:tcPr>
                        <w:tcW w:w="78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84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84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334" w:right="0"/>
        <w:jc w:val="left"/>
      </w:pPr>
      <w:r>
        <w:rPr/>
        <w:t>实际控制人报告期内变更</w:t>
      </w:r>
    </w:p>
    <w:p>
      <w:pPr>
        <w:pStyle w:val="BodyText"/>
        <w:spacing w:line="348" w:lineRule="auto" w:before="117"/>
        <w:ind w:left="3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877" w:footer="979" w:top="1100" w:bottom="1160" w:left="800" w:right="0"/>
        </w:sectPr>
      </w:pPr>
    </w:p>
    <w:p>
      <w:pPr>
        <w:spacing w:line="240" w:lineRule="auto" w:before="6"/>
        <w:rPr>
          <w:rFonts w:ascii="宋体" w:hAnsi="宋体" w:cs="宋体" w:eastAsia="宋体" w:hint="default"/>
          <w:sz w:val="28"/>
          <w:szCs w:val="28"/>
        </w:rPr>
      </w:pPr>
    </w:p>
    <w:p>
      <w:pPr>
        <w:spacing w:line="8940" w:lineRule="exact"/>
        <w:ind w:left="1356" w:right="0" w:firstLine="0"/>
        <w:rPr>
          <w:rFonts w:ascii="宋体" w:hAnsi="宋体" w:cs="宋体" w:eastAsia="宋体" w:hint="default"/>
          <w:sz w:val="20"/>
          <w:szCs w:val="20"/>
        </w:rPr>
      </w:pPr>
      <w:r>
        <w:rPr>
          <w:rFonts w:ascii="宋体" w:hAnsi="宋体" w:cs="宋体" w:eastAsia="宋体" w:hint="default"/>
          <w:position w:val="-178"/>
          <w:sz w:val="20"/>
          <w:szCs w:val="20"/>
        </w:rPr>
        <w:drawing>
          <wp:inline distT="0" distB="0" distL="0" distR="0">
            <wp:extent cx="4592049" cy="5676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6" cstate="print"/>
                    <a:stretch>
                      <a:fillRect/>
                    </a:stretch>
                  </pic:blipFill>
                  <pic:spPr>
                    <a:xfrm>
                      <a:off x="0" y="0"/>
                      <a:ext cx="4592049" cy="5676900"/>
                    </a:xfrm>
                    <a:prstGeom prst="rect">
                      <a:avLst/>
                    </a:prstGeom>
                  </pic:spPr>
                </pic:pic>
              </a:graphicData>
            </a:graphic>
          </wp:inline>
        </w:drawing>
      </w:r>
      <w:r>
        <w:rPr>
          <w:rFonts w:ascii="宋体" w:hAnsi="宋体" w:cs="宋体" w:eastAsia="宋体" w:hint="default"/>
          <w:position w:val="-178"/>
          <w:sz w:val="20"/>
          <w:szCs w:val="20"/>
        </w:rPr>
      </w:r>
    </w:p>
    <w:p>
      <w:pPr>
        <w:spacing w:line="240" w:lineRule="auto" w:before="11"/>
        <w:rPr>
          <w:rFonts w:ascii="宋体" w:hAnsi="宋体" w:cs="宋体" w:eastAsia="宋体" w:hint="default"/>
          <w:sz w:val="15"/>
          <w:szCs w:val="15"/>
        </w:rPr>
      </w:pPr>
    </w:p>
    <w:p>
      <w:pPr>
        <w:pStyle w:val="Heading4"/>
        <w:spacing w:line="240" w:lineRule="auto" w:before="35"/>
        <w:ind w:right="0"/>
        <w:jc w:val="left"/>
      </w:pPr>
      <w:r>
        <w:rPr/>
        <w:t>实际控制人通过信托或其他资产管理方式控制公司</w:t>
      </w:r>
    </w:p>
    <w:p>
      <w:pPr>
        <w:spacing w:line="240" w:lineRule="auto" w:before="1"/>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122"/>
      <w:bookmarkStart w:name="第七节 优先股相关情况" w:id="123"/>
      <w:r>
        <w:rPr>
          <w:b w:val="0"/>
          <w:bCs w:val="0"/>
        </w:rPr>
      </w:r>
      <w:r>
        <w:rPr/>
        <w:t>第七节</w:t>
      </w:r>
      <w:r>
        <w:rPr>
          <w:spacing w:val="-8"/>
        </w:rPr>
        <w:t> </w:t>
      </w:r>
      <w:r>
        <w:rPr/>
        <w:t>优先股相关情况</w:t>
      </w:r>
      <w:bookmarkEnd w:id="122"/>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120" w:right="0"/>
        <w:jc w:val="left"/>
        <w:rPr>
          <w:b w:val="0"/>
          <w:bCs w:val="0"/>
        </w:rPr>
      </w:pPr>
      <w:bookmarkStart w:name="_TOC_250004" w:id="124"/>
      <w:bookmarkStart w:name="第八节 董事、监事、高级管理人员和员工情况" w:id="125"/>
      <w:r>
        <w:rPr>
          <w:b w:val="0"/>
          <w:bCs w:val="0"/>
        </w:rPr>
      </w:r>
      <w:r>
        <w:rPr/>
        <w:t>第八节</w:t>
      </w:r>
      <w:r>
        <w:rPr>
          <w:spacing w:val="-16"/>
        </w:rPr>
        <w:t> </w:t>
      </w:r>
      <w:r>
        <w:rPr/>
        <w:t>董事、监事、高级管理人员和员工情况</w:t>
      </w:r>
      <w:bookmarkEnd w:id="124"/>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594"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798"/>
        <w:gridCol w:w="798"/>
        <w:gridCol w:w="488"/>
        <w:gridCol w:w="374"/>
        <w:gridCol w:w="425"/>
        <w:gridCol w:w="1599"/>
        <w:gridCol w:w="1560"/>
        <w:gridCol w:w="1134"/>
        <w:gridCol w:w="798"/>
        <w:gridCol w:w="798"/>
        <w:gridCol w:w="798"/>
        <w:gridCol w:w="100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58" w:right="5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年龄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（股）</w:t>
            </w: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78,130,329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78,130,329</w:t>
            </w:r>
          </w:p>
        </w:tc>
      </w:tr>
      <w:tr>
        <w:trPr>
          <w:trHeight w:val="402" w:hRule="exact"/>
        </w:trPr>
        <w:tc>
          <w:tcPr>
            <w:tcW w:w="798"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vMerge/>
            <w:tcBorders>
              <w:left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vMerge/>
            <w:tcBorders>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现任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离任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离任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离任</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任免</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21"/>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78,130,329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78,130,329</w:t>
            </w:r>
          </w:p>
        </w:tc>
      </w:tr>
    </w:tbl>
    <w:p>
      <w:pPr>
        <w:spacing w:line="240" w:lineRule="auto" w:before="2"/>
        <w:rPr>
          <w:rFonts w:ascii="宋体" w:hAnsi="宋体" w:cs="宋体" w:eastAsia="宋体" w:hint="default"/>
          <w:b/>
          <w:bCs/>
          <w:sz w:val="18"/>
          <w:szCs w:val="18"/>
        </w:rPr>
      </w:pPr>
    </w:p>
    <w:p>
      <w:pPr>
        <w:pStyle w:val="Heading2"/>
        <w:spacing w:line="240" w:lineRule="auto" w:before="26"/>
        <w:ind w:left="594"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1330"/>
        <w:gridCol w:w="1331"/>
        <w:gridCol w:w="1330"/>
        <w:gridCol w:w="1680"/>
        <w:gridCol w:w="396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979" w:top="1100" w:bottom="1160" w:left="54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97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改任高级顾问</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3732"/>
        <w:jc w:val="left"/>
      </w:pPr>
      <w:r>
        <w:rPr/>
        <w:t>公司现任董事、监事、高级管理人员专业背景、主要工作经历以及目前在公司的主要职责 董事：</w:t>
      </w:r>
    </w:p>
    <w:p>
      <w:pPr>
        <w:pStyle w:val="BodyText"/>
        <w:spacing w:line="224" w:lineRule="exact"/>
        <w:ind w:right="0"/>
        <w:jc w:val="left"/>
      </w:pPr>
      <w:r>
        <w:rPr/>
        <w:t>彭聪先生，汉族，硕士研究生。现任顺利办信息服务股份有限公司董事长兼总裁，百达永信投资有限公司执行董事，神州易</w:t>
      </w:r>
    </w:p>
    <w:p>
      <w:pPr>
        <w:pStyle w:val="BodyText"/>
        <w:spacing w:line="314" w:lineRule="auto" w:before="76"/>
        <w:ind w:right="1032"/>
        <w:jc w:val="left"/>
      </w:pPr>
      <w:r>
        <w:rPr>
          <w:spacing w:val="-2"/>
        </w:rPr>
        <w:t>桥（北京）财税科技有限公司执行董事，神州优才人力资源服务有限公司执行董事，神州顺利办（芜湖）人力资源服务有限</w:t>
      </w:r>
      <w:r>
        <w:rPr>
          <w:spacing w:val="-70"/>
        </w:rPr>
        <w:t> </w:t>
      </w:r>
      <w:r>
        <w:rPr>
          <w:spacing w:val="-70"/>
        </w:rPr>
      </w:r>
      <w:r>
        <w:rPr/>
        <w:t>公司执行董事。 </w:t>
      </w:r>
      <w:r>
        <w:rPr>
          <w:spacing w:val="-2"/>
        </w:rPr>
        <w:t>黄海勇先生，汉族，硕士研究生，中国国民党革命委员会青海省委员会委员。曾任青海大正会计师事务所审计项目经理，审</w:t>
      </w:r>
      <w:r>
        <w:rPr>
          <w:spacing w:val="-66"/>
        </w:rPr>
        <w:t> </w:t>
      </w:r>
      <w:r>
        <w:rPr>
          <w:spacing w:val="-66"/>
        </w:rPr>
      </w:r>
      <w:r>
        <w:rPr>
          <w:spacing w:val="-2"/>
        </w:rPr>
        <w:t>计部主任、合伙人，青海明胶股份有限公司财务经理。现任顺利办信息服务股份有限公司董事、副总裁、财务总监、董事会</w:t>
      </w:r>
      <w:r>
        <w:rPr>
          <w:spacing w:val="-68"/>
        </w:rPr>
        <w:t> </w:t>
      </w:r>
      <w:r>
        <w:rPr>
          <w:spacing w:val="-68"/>
        </w:rPr>
      </w:r>
      <w:r>
        <w:rPr>
          <w:spacing w:val="-2"/>
        </w:rPr>
        <w:t>秘书，青海宁达创业投资有限责任公司董事长，吉林省嘉孚化学工业股份有限公司董事，青海神州易桥企业管理服务有限公</w:t>
      </w:r>
      <w:r>
        <w:rPr>
          <w:spacing w:val="-66"/>
        </w:rPr>
        <w:t> </w:t>
      </w:r>
      <w:r>
        <w:rPr>
          <w:spacing w:val="-66"/>
        </w:rPr>
      </w:r>
      <w:r>
        <w:rPr/>
        <w:t>司执行董事。 </w:t>
      </w:r>
      <w:r>
        <w:rPr>
          <w:spacing w:val="-2"/>
        </w:rPr>
        <w:t>赵侠先生，汉族，硕士研究生。历任滨海信托投资有限公司证券部经理、营业部经理，天津泰达科技投资股份有限公司投资</w:t>
      </w:r>
      <w:r>
        <w:rPr>
          <w:spacing w:val="-66"/>
        </w:rPr>
        <w:t> </w:t>
      </w:r>
      <w:r>
        <w:rPr>
          <w:spacing w:val="-66"/>
        </w:rPr>
      </w:r>
      <w:r>
        <w:rPr>
          <w:spacing w:val="-2"/>
        </w:rPr>
        <w:t>银行部经理，青海明胶股份有限公司副总裁、总裁。现任顺利办信息服务股份有限公司董事，天津泰达科技投资股份有限公</w:t>
      </w:r>
      <w:r>
        <w:rPr>
          <w:spacing w:val="-66"/>
        </w:rPr>
        <w:t> </w:t>
      </w:r>
      <w:r>
        <w:rPr>
          <w:spacing w:val="-66"/>
        </w:rPr>
      </w:r>
      <w:r>
        <w:rPr/>
        <w:t>司董事，西藏华毓创业投资管理有限公司执行董事兼经理，深圳树泰科技有限公司执行董事兼经理。 </w:t>
      </w:r>
      <w:r>
        <w:rPr>
          <w:spacing w:val="-3"/>
        </w:rPr>
        <w:t>连杰先生，汉族，本科、长江商学院</w:t>
      </w:r>
      <w:r>
        <w:rPr>
          <w:rFonts w:ascii="Times New Roman" w:hAnsi="Times New Roman" w:cs="Times New Roman" w:eastAsia="Times New Roman" w:hint="default"/>
          <w:spacing w:val="-3"/>
        </w:rPr>
        <w:t>FMBA</w:t>
      </w:r>
      <w:r>
        <w:rPr>
          <w:spacing w:val="-3"/>
        </w:rPr>
        <w:t>（在职金融工商管理硕士）在读。曾任平安银行天津分行市场九部对公客户经理。</w:t>
      </w:r>
      <w:r>
        <w:rPr>
          <w:spacing w:val="-66"/>
        </w:rPr>
        <w:t> </w:t>
      </w:r>
      <w:r>
        <w:rPr>
          <w:spacing w:val="-66"/>
        </w:rPr>
      </w:r>
      <w:r>
        <w:rPr/>
        <w:t>现任顺利办信息服务股份有限公司董事，天津滨海浙商投资集团有限公司副总经理，天津昊娱文化传媒有限公司执行董事。 </w:t>
      </w:r>
      <w:r>
        <w:rPr>
          <w:spacing w:val="-2"/>
        </w:rPr>
        <w:t>王爱俭女士，汉族，金融学教授、博士生导师，民建会员。曾任天津财经大学副校长。现任天津财经大学教授愽导，天津市</w:t>
      </w:r>
      <w:r>
        <w:rPr>
          <w:spacing w:val="-72"/>
        </w:rPr>
        <w:t> </w:t>
      </w:r>
      <w:r>
        <w:rPr>
          <w:spacing w:val="-72"/>
        </w:rPr>
      </w:r>
      <w:r>
        <w:rPr>
          <w:spacing w:val="-2"/>
        </w:rPr>
        <w:t>政府参事，中国滨海金融协同创新中心主任，第十二届全国政协委员，民建中央财政金融委员会副主任，顺利办信息服务股</w:t>
      </w:r>
      <w:r>
        <w:rPr>
          <w:spacing w:val="-65"/>
        </w:rPr>
        <w:t> </w:t>
      </w:r>
      <w:r>
        <w:rPr>
          <w:spacing w:val="-65"/>
        </w:rPr>
      </w:r>
      <w:r>
        <w:rPr>
          <w:spacing w:val="-2"/>
        </w:rPr>
        <w:t>份有限公司独立董事。国家社科、国家自然科学基金同行评议专家，天津市劳动模范，天津市五一劳动奖章获得者，享受国</w:t>
      </w:r>
      <w:r>
        <w:rPr>
          <w:spacing w:val="-66"/>
        </w:rPr>
        <w:t> </w:t>
      </w:r>
      <w:r>
        <w:rPr>
          <w:spacing w:val="-66"/>
        </w:rPr>
      </w:r>
      <w:r>
        <w:rPr/>
        <w:t>务院特殊津贴。 张萱女士，汉族，本科、长江商学院</w:t>
      </w:r>
      <w:r>
        <w:rPr>
          <w:rFonts w:ascii="Times New Roman" w:hAnsi="Times New Roman" w:cs="Times New Roman" w:eastAsia="Times New Roman" w:hint="default"/>
        </w:rPr>
        <w:t>EMBA</w:t>
      </w:r>
      <w:r>
        <w:rPr/>
        <w:t>、清华五道口金融学院</w:t>
      </w:r>
      <w:r>
        <w:rPr>
          <w:rFonts w:ascii="Times New Roman" w:hAnsi="Times New Roman" w:cs="Times New Roman" w:eastAsia="Times New Roman" w:hint="default"/>
        </w:rPr>
        <w:t>EMBA</w:t>
      </w:r>
      <w:r>
        <w:rPr/>
        <w:t>，中国注册会计师、高级会计师。曾任五洲会计师 </w:t>
      </w:r>
      <w:r>
        <w:rPr>
          <w:spacing w:val="-2"/>
        </w:rPr>
        <w:t>事务所副主任会计师，五联方圆会计师事务所副主任会计师。现任信永中和会计师事务所合伙人，顺利办信息服务股份有限</w:t>
      </w:r>
      <w:r>
        <w:rPr>
          <w:spacing w:val="-66"/>
        </w:rPr>
        <w:t> </w:t>
      </w:r>
      <w:r>
        <w:rPr>
          <w:spacing w:val="-66"/>
        </w:rPr>
      </w:r>
      <w:r>
        <w:rPr/>
        <w:t>公司、天津劝业场</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股份有限公司、苏州兴业材料科技股份有限公司独立董事。 </w:t>
      </w:r>
      <w:r>
        <w:rPr>
          <w:spacing w:val="-2"/>
        </w:rPr>
        <w:t>关旭星先生，满族，硕士研究生。曾任神州数码信息服务股份有限公司事业部总经理、集成</w:t>
      </w:r>
      <w:r>
        <w:rPr>
          <w:rFonts w:ascii="Times New Roman" w:hAnsi="Times New Roman" w:cs="Times New Roman" w:eastAsia="Times New Roman" w:hint="default"/>
          <w:spacing w:val="-2"/>
        </w:rPr>
        <w:t>SBU</w:t>
      </w:r>
      <w:r>
        <w:rPr>
          <w:spacing w:val="-2"/>
        </w:rPr>
        <w:t>常务副总裁、总裁。现任神</w:t>
      </w:r>
      <w:r>
        <w:rPr>
          <w:spacing w:val="-59"/>
        </w:rPr>
        <w:t> </w:t>
      </w:r>
      <w:r>
        <w:rPr>
          <w:spacing w:val="-59"/>
        </w:rPr>
      </w:r>
      <w:r>
        <w:rPr/>
        <w:t>州数码信息服务股份有限公司副总裁，顺利办信息服务股份有限公司独立董事。</w:t>
      </w:r>
    </w:p>
    <w:p>
      <w:pPr>
        <w:pStyle w:val="BodyText"/>
        <w:spacing w:line="316" w:lineRule="auto" w:before="20"/>
        <w:ind w:right="1118"/>
        <w:jc w:val="left"/>
      </w:pPr>
      <w:r>
        <w:rPr/>
        <w:t>监事： </w:t>
      </w:r>
      <w:r>
        <w:rPr>
          <w:spacing w:val="-2"/>
        </w:rPr>
        <w:t>于秀芳女士，汉族，硕士，高级会计师、高级人力资源管理师。历任和泰集团投资有限公司副总裁、董事。现任顺利办信息</w:t>
      </w:r>
      <w:r>
        <w:rPr>
          <w:spacing w:val="-72"/>
        </w:rPr>
        <w:t> </w:t>
      </w:r>
      <w:r>
        <w:rPr>
          <w:spacing w:val="-72"/>
        </w:rPr>
      </w:r>
      <w:r>
        <w:rPr>
          <w:spacing w:val="-2"/>
        </w:rPr>
        <w:t>服务股份有限公司监事会主席，天津泰达科技投资股份有限公司董事，天津滨海浙商投资集团有限公司副总裁，天津万科空</w:t>
      </w:r>
      <w:r>
        <w:rPr>
          <w:spacing w:val="-66"/>
        </w:rPr>
        <w:t> </w:t>
      </w:r>
      <w:r>
        <w:rPr>
          <w:spacing w:val="-66"/>
        </w:rPr>
      </w:r>
      <w:r>
        <w:rPr/>
        <w:t>港置业有限公司董事。 </w:t>
      </w:r>
      <w:r>
        <w:rPr>
          <w:spacing w:val="-2"/>
        </w:rPr>
        <w:t>王进先生，汉族，硕士研究生，中共党员。现任天津泰达科技投资股份有限公司高级投资经理、证券事务代表，顺利办信息</w:t>
      </w:r>
      <w:r>
        <w:rPr>
          <w:spacing w:val="-68"/>
        </w:rPr>
        <w:t> </w:t>
      </w:r>
      <w:r>
        <w:rPr>
          <w:spacing w:val="-68"/>
        </w:rPr>
      </w:r>
      <w:r>
        <w:rPr/>
        <w:t>服务股份有限公司监事。 </w:t>
      </w:r>
      <w:r>
        <w:rPr>
          <w:spacing w:val="-2"/>
        </w:rPr>
        <w:t>李弓先生，汉族，硕士研究生。曾任英超纽卡斯尔足球俱乐部运营主管，中国国际展览中心总裁助理兼销售部经理，创易网</w:t>
      </w:r>
      <w:r>
        <w:rPr>
          <w:spacing w:val="-66"/>
        </w:rPr>
        <w:t> </w:t>
      </w:r>
      <w:r>
        <w:rPr>
          <w:spacing w:val="-66"/>
        </w:rPr>
      </w:r>
      <w:r>
        <w:rPr>
          <w:spacing w:val="-2"/>
        </w:rPr>
        <w:t>首席商务品牌执行官，北京英特华集团助理总裁及首席商务品牌执行官。现任顺利办信息服务股份有限公司监事、神州易桥</w:t>
      </w:r>
    </w:p>
    <w:p>
      <w:pPr>
        <w:pStyle w:val="BodyText"/>
        <w:spacing w:line="319" w:lineRule="auto" w:before="19"/>
        <w:ind w:right="7692"/>
        <w:jc w:val="left"/>
      </w:pPr>
      <w:r>
        <w:rPr/>
        <w:t>（北京）财税科技有限公司总裁助理。 高级管理人员：</w:t>
      </w:r>
    </w:p>
    <w:p>
      <w:pPr>
        <w:pStyle w:val="BodyText"/>
        <w:spacing w:line="316" w:lineRule="auto" w:before="17"/>
        <w:ind w:right="1131"/>
        <w:jc w:val="both"/>
      </w:pPr>
      <w:r>
        <w:rPr>
          <w:spacing w:val="-2"/>
        </w:rPr>
        <w:t>彭聪先生，汉族，硕士研究生。现任顺利办信息服务股份有限公司董事长兼总裁，百达永信投资有限公司执行董事，神州易</w:t>
      </w:r>
      <w:r>
        <w:rPr>
          <w:spacing w:val="-66"/>
        </w:rPr>
        <w:t> </w:t>
      </w:r>
      <w:r>
        <w:rPr>
          <w:spacing w:val="-66"/>
        </w:rPr>
      </w:r>
      <w:r>
        <w:rPr>
          <w:spacing w:val="-2"/>
        </w:rPr>
        <w:t>桥（北京）财税科技有限公司执行董事，神州优才人力资源服务有限公司执行董事，神州顺利办（芜湖）人力资源服务有限</w:t>
      </w:r>
      <w:r>
        <w:rPr>
          <w:spacing w:val="-70"/>
        </w:rPr>
        <w:t> </w:t>
      </w:r>
      <w:r>
        <w:rPr>
          <w:spacing w:val="-70"/>
        </w:rPr>
      </w:r>
      <w:r>
        <w:rPr/>
        <w:t>公司执行董事。</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454" w:right="1130"/>
        <w:jc w:val="both"/>
      </w:pPr>
      <w:r>
        <w:rPr>
          <w:spacing w:val="-2"/>
        </w:rPr>
        <w:t>黄海勇先生，汉族，硕士研究生，中国国民党革命委员会青海省委员会委员。曾任青海大正会计师事务所审计项目经理，审</w:t>
      </w:r>
      <w:r>
        <w:rPr>
          <w:spacing w:val="-66"/>
        </w:rPr>
        <w:t> </w:t>
      </w:r>
      <w:r>
        <w:rPr>
          <w:spacing w:val="-66"/>
        </w:rPr>
      </w:r>
      <w:r>
        <w:rPr>
          <w:spacing w:val="-2"/>
        </w:rPr>
        <w:t>计部主任、合伙人，青海明胶股份有限公司财务经理。现任顺利办信息服务股份有限公司董事、副总裁、财务总监、董事会</w:t>
      </w:r>
      <w:r>
        <w:rPr>
          <w:spacing w:val="-68"/>
        </w:rPr>
        <w:t> </w:t>
      </w:r>
      <w:r>
        <w:rPr>
          <w:spacing w:val="-68"/>
        </w:rPr>
      </w:r>
      <w:r>
        <w:rPr>
          <w:spacing w:val="-2"/>
        </w:rPr>
        <w:t>秘书，青海宁达创业投资有限责任公司董事长，吉林省嘉孚化学工业股份有限公司董事，青海神州易桥企业管理服务有限公</w:t>
      </w:r>
      <w:r>
        <w:rPr>
          <w:spacing w:val="-66"/>
        </w:rPr>
        <w:t> </w:t>
      </w:r>
      <w:r>
        <w:rPr>
          <w:spacing w:val="-66"/>
        </w:rPr>
      </w:r>
      <w:r>
        <w:rPr/>
        <w:t>司执行董事。</w:t>
      </w:r>
    </w:p>
    <w:p>
      <w:pPr>
        <w:pStyle w:val="BodyText"/>
        <w:spacing w:line="240" w:lineRule="auto" w:before="60"/>
        <w:ind w:left="454" w:right="0"/>
        <w:jc w:val="both"/>
      </w:pPr>
      <w:r>
        <w:rPr/>
        <w:t>在股东单位任职情况</w:t>
      </w:r>
    </w:p>
    <w:p>
      <w:pPr>
        <w:pStyle w:val="BodyText"/>
        <w:spacing w:line="240" w:lineRule="auto" w:before="117"/>
        <w:ind w:left="4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1217"/>
        <w:gridCol w:w="3231"/>
        <w:gridCol w:w="1076"/>
        <w:gridCol w:w="1565"/>
        <w:gridCol w:w="1701"/>
        <w:gridCol w:w="1486"/>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西藏华毓创业投资管理有限公司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天津滨海浙商投资集团有限公司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天津泰达科技投资股份有限公司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高级投资经 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454" w:right="0"/>
        <w:jc w:val="left"/>
      </w:pPr>
      <w:r>
        <w:rPr/>
        <w:t>在其他单位任职情况</w:t>
      </w:r>
    </w:p>
    <w:p>
      <w:pPr>
        <w:pStyle w:val="BodyText"/>
        <w:spacing w:line="240" w:lineRule="auto" w:before="117"/>
        <w:ind w:left="4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33"/>
        <w:gridCol w:w="3278"/>
        <w:gridCol w:w="1092"/>
        <w:gridCol w:w="1628"/>
        <w:gridCol w:w="1701"/>
        <w:gridCol w:w="1376"/>
      </w:tblGrid>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9"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43" w:right="50"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青海神州易桥企业管理服务有限公司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深圳树泰科技有限公司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天津昊娱文化传媒有限公司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天津劝业场</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苏州兴业材料科技股份有限公司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天津万科空港置业有限公司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454" w:right="0"/>
        <w:jc w:val="left"/>
      </w:pPr>
      <w:r>
        <w:rPr/>
        <w:t>公司现任及报告期内离任董事、监事和高级管理人员近三年证券监管机构处罚的情况</w:t>
      </w:r>
    </w:p>
    <w:p>
      <w:pPr>
        <w:pStyle w:val="BodyText"/>
        <w:spacing w:line="240" w:lineRule="auto" w:before="116"/>
        <w:ind w:left="4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454"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0"/>
        <w:jc w:val="left"/>
      </w:pPr>
      <w:r>
        <w:rPr/>
        <w:t>董事、监事、高级管理人员报酬的决策程序、确定依据、实际支付情况</w:t>
      </w:r>
    </w:p>
    <w:p>
      <w:pPr>
        <w:spacing w:after="0" w:line="240" w:lineRule="auto"/>
        <w:jc w:val="left"/>
        <w:sectPr>
          <w:pgSz w:w="11910" w:h="16840"/>
          <w:pgMar w:header="877" w:footer="979" w:top="1100" w:bottom="1160" w:left="6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决策程序：董事会薪酬与考核委员会向董事会提出董事、监事的津贴方案，董事会审批后报股东大会批准；高级管理人员薪</w:t>
      </w:r>
      <w:r>
        <w:rPr>
          <w:spacing w:val="-66"/>
        </w:rPr>
        <w:t> </w:t>
      </w:r>
      <w:r>
        <w:rPr>
          <w:spacing w:val="-66"/>
        </w:rPr>
      </w:r>
      <w:r>
        <w:rPr/>
        <w:t>酬方案经董事会薪酬与考核委员会对绩效进行评价后，报董事会批准。 确定依据：经公司董事会及股东大会审议通过的公司董（监）事、独立董事津贴方案确定。 支付情况：董事、监事的津贴依据股东大会批准的方案按季度发放；高级管理人员的薪酬按公司薪酬管理制度发放。</w:t>
      </w:r>
    </w:p>
    <w:p>
      <w:pPr>
        <w:pStyle w:val="BodyText"/>
        <w:spacing w:line="240" w:lineRule="auto" w:before="60"/>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董事、董事长、 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黄海勇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董事、副总裁、 财务总监、董事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135.34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1"/>
              <w:jc w:val="right"/>
              <w:rPr>
                <w:rFonts w:ascii="宋体" w:hAnsi="宋体" w:cs="宋体" w:eastAsia="宋体" w:hint="default"/>
                <w:sz w:val="18"/>
                <w:szCs w:val="18"/>
              </w:rPr>
            </w:pPr>
            <w:r>
              <w:rPr>
                <w:rFonts w:ascii="宋体" w:hAnsi="宋体" w:cs="宋体" w:eastAsia="宋体" w:hint="default"/>
                <w:sz w:val="18"/>
                <w:szCs w:val="18"/>
              </w:rPr>
              <w:t>黄海勇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裁、财务总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监、董事会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5.95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6"/>
        <w:gridCol w:w="868"/>
        <w:gridCol w:w="871"/>
        <w:gridCol w:w="870"/>
        <w:gridCol w:w="870"/>
        <w:gridCol w:w="869"/>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华彧民</w:t>
            </w:r>
          </w:p>
        </w:tc>
        <w:tc>
          <w:tcPr>
            <w:tcW w:w="868" w:type="dxa"/>
            <w:tcBorders>
              <w:top w:val="single" w:sz="4" w:space="0" w:color="000000"/>
              <w:left w:val="single" w:sz="4" w:space="0" w:color="000000"/>
              <w:bottom w:val="single" w:sz="4" w:space="0" w:color="000000"/>
              <w:right w:val="single" w:sz="5"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5.95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报告期内，公司实施</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年股票期权激励计划，黄海勇、华彧民获授的股票期权数量分别为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年股票期权激励计划具体内容详见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302" w:lineRule="auto" w:before="63"/>
              <w:ind w:left="17" w:right="22"/>
              <w:jc w:val="left"/>
              <w:rPr>
                <w:rFonts w:ascii="宋体" w:hAnsi="宋体" w:cs="宋体" w:eastAsia="宋体" w:hint="default"/>
                <w:sz w:val="18"/>
                <w:szCs w:val="18"/>
              </w:rPr>
            </w:pP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日刊载于《证券时报》、《证券日报》和巨潮资讯网</w:t>
            </w:r>
            <w:r>
              <w:rPr>
                <w:rFonts w:ascii="宋体" w:hAnsi="宋体" w:cs="宋体" w:eastAsia="宋体" w:hint="default"/>
                <w:sz w:val="18"/>
                <w:szCs w:val="18"/>
              </w:rPr>
              <w:t> 的相关公告。</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4"/>
        </w:rPr>
        <w:t>公司制定了《薪酬管理制度》、《高级管理人员薪酬管理制度》等，统一公司的薪酬管理规范，使薪酬管理充分与岗位价值、</w:t>
      </w:r>
      <w:r>
        <w:rPr>
          <w:spacing w:val="-46"/>
        </w:rPr>
        <w:t> </w:t>
      </w:r>
      <w:r>
        <w:rPr>
          <w:spacing w:val="-46"/>
        </w:rPr>
      </w:r>
      <w:r>
        <w:rPr>
          <w:spacing w:val="-2"/>
        </w:rPr>
        <w:t>市场价值相结合，更好的激励员工，使员工与公司同步分享公司发展带来的收益，实现短、中和长期效益的有效结合。公司</w:t>
      </w:r>
      <w:r>
        <w:rPr>
          <w:spacing w:val="-66"/>
        </w:rPr>
        <w:t> </w:t>
      </w:r>
      <w:r>
        <w:rPr>
          <w:spacing w:val="-66"/>
        </w:rPr>
      </w:r>
      <w:r>
        <w:rPr>
          <w:spacing w:val="-2"/>
        </w:rPr>
        <w:t>通过股权激励计划机制，将业务骨干、核心员工的收入与公司发展紧密的联系在一起，通过任职能力调薪等方式，使薪酬分</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配进一步向核心及关键岗位员工倾斜，成就员工理想，分享公司发展成果的核心理念，激励员工创新发展和保持核心员工队</w:t>
      </w:r>
      <w:r>
        <w:rPr>
          <w:spacing w:val="-66"/>
        </w:rPr>
        <w:t> </w:t>
      </w:r>
      <w:r>
        <w:rPr>
          <w:spacing w:val="-66"/>
        </w:rPr>
      </w:r>
      <w:r>
        <w:rPr/>
        <w:t>伍的稳定性，为公司的业务快速发展提供有力的专业人才保障。</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公司培训计划按照分层次、分需求的要求进行编制，紧密联系实际，秉承资源共享，服务客户的发展理念，坚持内部培训与</w:t>
      </w:r>
      <w:r>
        <w:rPr>
          <w:spacing w:val="-66"/>
        </w:rPr>
        <w:t> </w:t>
      </w:r>
      <w:r>
        <w:rPr>
          <w:spacing w:val="-66"/>
        </w:rPr>
      </w:r>
      <w:r>
        <w:rPr/>
        <w:t>外部培训相结合方式，充分利用现代信息技术和互联网平台的网络培训学习等形式开展培训工作。</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4071" w:right="4729"/>
        <w:jc w:val="center"/>
        <w:rPr>
          <w:b w:val="0"/>
          <w:bCs w:val="0"/>
        </w:rPr>
      </w:pPr>
      <w:bookmarkStart w:name="_TOC_250003" w:id="135"/>
      <w:bookmarkStart w:name="第九节 公司治理" w:id="136"/>
      <w:r>
        <w:rPr>
          <w:b w:val="0"/>
          <w:bCs w:val="0"/>
        </w:rPr>
      </w:r>
      <w:r>
        <w:rPr/>
        <w:t>第九节</w:t>
      </w:r>
      <w:r>
        <w:rPr>
          <w:spacing w:val="-5"/>
        </w:rPr>
        <w:t> </w:t>
      </w:r>
      <w:r>
        <w:rPr/>
        <w:t>公司治理</w:t>
      </w:r>
      <w:bookmarkEnd w:id="13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474" w:right="82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4" w:right="820"/>
        <w:jc w:val="left"/>
      </w:pPr>
      <w:r>
        <w:rPr>
          <w:spacing w:val="-4"/>
        </w:rPr>
        <w:t>公司严格按照《上市公司治理准则》、《公司法》、《证券法》、中国证监会、青海证监局以及深圳证券交易所的有关要求，</w:t>
      </w:r>
      <w:r>
        <w:rPr>
          <w:spacing w:val="-46"/>
        </w:rPr>
        <w:t> </w:t>
      </w:r>
      <w:r>
        <w:rPr>
          <w:spacing w:val="-46"/>
        </w:rPr>
      </w:r>
      <w:r>
        <w:rPr/>
        <w:t>不断完善公司法人治理结构，进一步强化内部控制，规范公司运作，认真履行信息披露义务。 </w:t>
      </w:r>
      <w:r>
        <w:rPr>
          <w:spacing w:val="-2"/>
        </w:rPr>
        <w:t>报告期内，公司根据《公司法》、《证券法》、《上市公司章程指引》等法律法规、规范性文件的规定，并结合公司实际情</w:t>
      </w:r>
      <w:r>
        <w:rPr>
          <w:spacing w:val="-71"/>
        </w:rPr>
        <w:t> </w:t>
      </w:r>
      <w:r>
        <w:rPr>
          <w:spacing w:val="-71"/>
        </w:rPr>
      </w:r>
      <w:r>
        <w:rPr>
          <w:spacing w:val="-2"/>
        </w:rPr>
        <w:t>况，对《公司章程》、《股东大会议事规则》、《董事会议事规则》、《募集资金管理制度》、《信息披露管理制度》等部</w:t>
      </w:r>
      <w:r>
        <w:rPr>
          <w:spacing w:val="-69"/>
        </w:rPr>
        <w:t> </w:t>
      </w:r>
      <w:r>
        <w:rPr>
          <w:spacing w:val="-69"/>
        </w:rPr>
      </w:r>
      <w:r>
        <w:rPr/>
        <w:t>分内容进行了修订。</w:t>
      </w:r>
    </w:p>
    <w:p>
      <w:pPr>
        <w:pStyle w:val="BodyText"/>
        <w:spacing w:line="360" w:lineRule="auto" w:before="19"/>
        <w:ind w:left="474" w:right="2832"/>
        <w:jc w:val="left"/>
      </w:pPr>
      <w:r>
        <w:rPr/>
        <w:t>报告期内，公司治理的实际情况与中国证监会发布的有关上市公司治理的规范性文件要求基本一致。 公司治理的实际状况与中国证监会发布的有关上市公司治理的规范性文件是否存在重大差异</w:t>
      </w:r>
    </w:p>
    <w:p>
      <w:pPr>
        <w:pStyle w:val="BodyText"/>
        <w:spacing w:line="338" w:lineRule="auto" w:before="27"/>
        <w:ind w:left="474"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left="474" w:right="82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4" w:right="820"/>
        <w:jc w:val="left"/>
      </w:pPr>
      <w:r>
        <w:rPr>
          <w:spacing w:val="-2"/>
        </w:rPr>
        <w:t>公司法人治理结构健全，在业务、人员、资产、机构、财务等方面与控股股东完全分开，具有独立完整的业务及自主经营能</w:t>
      </w:r>
      <w:r>
        <w:rPr>
          <w:spacing w:val="-68"/>
        </w:rPr>
        <w:t> </w:t>
      </w:r>
      <w:r>
        <w:rPr>
          <w:spacing w:val="-68"/>
        </w:rPr>
      </w:r>
      <w:r>
        <w:rPr/>
        <w:t>力。</w:t>
      </w:r>
    </w:p>
    <w:p>
      <w:pPr>
        <w:pStyle w:val="BodyText"/>
        <w:spacing w:line="240" w:lineRule="auto" w:before="19"/>
        <w:ind w:left="474" w:right="820"/>
        <w:jc w:val="left"/>
      </w:pPr>
      <w:r>
        <w:rPr>
          <w:rFonts w:ascii="Times New Roman" w:hAnsi="Times New Roman" w:cs="Times New Roman" w:eastAsia="Times New Roman" w:hint="default"/>
        </w:rPr>
        <w:t>1</w:t>
      </w:r>
      <w:r>
        <w:rPr/>
        <w:t>、业务独立：公司具有独立完整的业务及自主经营能力，控股股东不存在直接或间接干预公司经营活动的情况。</w:t>
      </w:r>
    </w:p>
    <w:p>
      <w:pPr>
        <w:pStyle w:val="BodyText"/>
        <w:spacing w:line="240" w:lineRule="auto" w:before="63"/>
        <w:ind w:left="474" w:right="820"/>
        <w:jc w:val="left"/>
      </w:pPr>
      <w:r>
        <w:rPr>
          <w:rFonts w:ascii="Times New Roman" w:hAnsi="Times New Roman" w:cs="Times New Roman" w:eastAsia="Times New Roman" w:hint="default"/>
        </w:rPr>
        <w:t>2</w:t>
      </w:r>
      <w:r>
        <w:rPr/>
        <w:t>、人员独立：公司与控股股东在劳动、人事及工资管理等方面相互独立，有独立完善的人力管理体系。</w:t>
      </w:r>
    </w:p>
    <w:p>
      <w:pPr>
        <w:pStyle w:val="BodyText"/>
        <w:spacing w:line="307" w:lineRule="auto" w:before="63"/>
        <w:ind w:left="474" w:right="820"/>
        <w:jc w:val="left"/>
      </w:pPr>
      <w:r>
        <w:rPr>
          <w:rFonts w:ascii="Times New Roman" w:hAnsi="Times New Roman" w:cs="Times New Roman" w:eastAsia="Times New Roman" w:hint="default"/>
        </w:rPr>
        <w:t>3</w:t>
      </w:r>
      <w:r>
        <w:rPr/>
        <w:t>、资产独立：公司具有独立完整的资产，公司的资产全部处于公司的控制之下，并为公司独立拥有和运营。公司不存在资 金、资产被控股股东占用的情形。 </w:t>
      </w:r>
      <w:r>
        <w:rPr>
          <w:rFonts w:ascii="Times New Roman" w:hAnsi="Times New Roman" w:cs="Times New Roman" w:eastAsia="Times New Roman" w:hint="default"/>
        </w:rPr>
        <w:t>4</w:t>
      </w:r>
      <w:r>
        <w:rPr/>
        <w:t>、机构独立：公司生产经营及办公机构与控股股东完全分开，设立了健全的组织机构体系，董事会、监事会及其他内部机 构独立运作。控股股东及其职能部门与公司及其职能部门之间不存在从属关系。 </w:t>
      </w:r>
      <w:r>
        <w:rPr>
          <w:rFonts w:ascii="Times New Roman" w:hAnsi="Times New Roman" w:cs="Times New Roman" w:eastAsia="Times New Roman" w:hint="default"/>
          <w:spacing w:val="-2"/>
        </w:rPr>
        <w:t>5</w:t>
      </w:r>
      <w:r>
        <w:rPr>
          <w:spacing w:val="-2"/>
        </w:rPr>
        <w:t>、财务独立：公司设有独立的财务部门，配备了充足的专职财务会计人员，并建立了独立的会计核算体系和财务管理制度。</w:t>
      </w:r>
      <w:r>
        <w:rPr>
          <w:spacing w:val="-64"/>
        </w:rPr>
        <w:t> </w:t>
      </w:r>
      <w:r>
        <w:rPr>
          <w:spacing w:val="-64"/>
        </w:rPr>
      </w:r>
      <w:r>
        <w:rPr/>
        <w:t>不存在控股股东干预公司财务、会计活动的情况。</w:t>
      </w:r>
    </w:p>
    <w:p>
      <w:pPr>
        <w:spacing w:line="240" w:lineRule="auto" w:before="4"/>
        <w:rPr>
          <w:rFonts w:ascii="宋体" w:hAnsi="宋体" w:cs="宋体" w:eastAsia="宋体" w:hint="default"/>
          <w:sz w:val="21"/>
          <w:szCs w:val="21"/>
        </w:rPr>
      </w:pPr>
    </w:p>
    <w:p>
      <w:pPr>
        <w:pStyle w:val="Heading2"/>
        <w:spacing w:line="240" w:lineRule="auto"/>
        <w:ind w:left="474" w:right="820"/>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8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474" w:right="82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474" w:right="82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596"/>
        <w:gridCol w:w="1595"/>
        <w:gridCol w:w="1594"/>
        <w:gridCol w:w="1594"/>
        <w:gridCol w:w="1595"/>
        <w:gridCol w:w="237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 </w:t>
            </w:r>
            <w:r>
              <w:rPr>
                <w:rFonts w:ascii="宋体" w:hAnsi="宋体" w:cs="宋体" w:eastAsia="宋体" w:hint="default"/>
                <w:spacing w:val="-10"/>
                <w:sz w:val="18"/>
                <w:szCs w:val="18"/>
              </w:rPr>
              <w:t>会决议公告》（</w:t>
            </w:r>
            <w:r>
              <w:rPr>
                <w:rFonts w:ascii="Times New Roman" w:hAnsi="Times New Roman" w:cs="Times New Roman" w:eastAsia="Times New Roman" w:hint="default"/>
                <w:spacing w:val="-10"/>
                <w:sz w:val="18"/>
                <w:szCs w:val="18"/>
              </w:rPr>
              <w:t>2018-021</w:t>
            </w:r>
            <w:r>
              <w:rPr>
                <w:rFonts w:ascii="宋体" w:hAnsi="宋体" w:cs="宋体" w:eastAsia="宋体" w:hint="default"/>
                <w:spacing w:val="-10"/>
                <w:sz w:val="18"/>
                <w:szCs w:val="18"/>
              </w:rPr>
              <w:t>）刊载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于《证券时报》、《证券日报》</w:t>
            </w:r>
            <w:r>
              <w:rPr>
                <w:rFonts w:ascii="宋体" w:hAnsi="宋体" w:cs="宋体" w:eastAsia="宋体" w:hint="default"/>
                <w:sz w:val="18"/>
                <w:szCs w:val="18"/>
              </w:rPr>
              <w:t> 和巨潮资讯网</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w:t>
            </w:r>
          </w:p>
        </w:tc>
      </w:tr>
    </w:tbl>
    <w:p>
      <w:pPr>
        <w:spacing w:after="0" w:line="240" w:lineRule="auto"/>
        <w:jc w:val="center"/>
        <w:rPr>
          <w:rFonts w:ascii="宋体" w:hAnsi="宋体" w:cs="宋体" w:eastAsia="宋体" w:hint="default"/>
          <w:sz w:val="18"/>
          <w:szCs w:val="18"/>
        </w:rPr>
        <w:sectPr>
          <w:pgSz w:w="11910" w:h="16840"/>
          <w:pgMar w:header="877" w:footer="979" w:top="1100" w:bottom="1160" w:left="660" w:right="0"/>
        </w:sectPr>
      </w:pPr>
    </w:p>
    <w:p>
      <w:pPr>
        <w:spacing w:line="240" w:lineRule="auto" w:before="6"/>
        <w:rPr>
          <w:rFonts w:ascii="宋体" w:hAnsi="宋体" w:cs="宋体" w:eastAsia="宋体" w:hint="default"/>
          <w:b/>
          <w:bCs/>
          <w:sz w:val="24"/>
          <w:szCs w:val="24"/>
        </w:rPr>
      </w:pPr>
    </w:p>
    <w:tbl>
      <w:tblPr>
        <w:tblW w:w="0" w:type="auto"/>
        <w:jc w:val="left"/>
        <w:tblInd w:w="113" w:type="dxa"/>
        <w:tblLayout w:type="fixed"/>
        <w:tblCellMar>
          <w:top w:w="0" w:type="dxa"/>
          <w:left w:w="0" w:type="dxa"/>
          <w:bottom w:w="0" w:type="dxa"/>
          <w:right w:w="0" w:type="dxa"/>
        </w:tblCellMar>
        <w:tblLook w:val="01E0"/>
      </w:tblPr>
      <w:tblGrid>
        <w:gridCol w:w="1596"/>
        <w:gridCol w:w="1595"/>
        <w:gridCol w:w="1594"/>
        <w:gridCol w:w="1594"/>
        <w:gridCol w:w="1595"/>
        <w:gridCol w:w="2376"/>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
              <w:jc w:val="both"/>
              <w:rPr>
                <w:rFonts w:ascii="宋体" w:hAnsi="宋体" w:cs="宋体" w:eastAsia="宋体" w:hint="default"/>
                <w:sz w:val="18"/>
                <w:szCs w:val="18"/>
              </w:rPr>
            </w:pPr>
            <w:r>
              <w:rPr>
                <w:rFonts w:ascii="宋体" w:hAnsi="宋体" w:cs="宋体" w:eastAsia="宋体" w:hint="default"/>
                <w:spacing w:val="-10"/>
                <w:sz w:val="18"/>
                <w:szCs w:val="18"/>
              </w:rPr>
              <w:t>会决议公告》（</w:t>
            </w:r>
            <w:r>
              <w:rPr>
                <w:rFonts w:ascii="Times New Roman" w:hAnsi="Times New Roman" w:cs="Times New Roman" w:eastAsia="Times New Roman" w:hint="default"/>
                <w:spacing w:val="-10"/>
                <w:sz w:val="18"/>
                <w:szCs w:val="18"/>
              </w:rPr>
              <w:t>2018-035</w:t>
            </w:r>
            <w:r>
              <w:rPr>
                <w:rFonts w:ascii="宋体" w:hAnsi="宋体" w:cs="宋体" w:eastAsia="宋体" w:hint="default"/>
                <w:spacing w:val="-10"/>
                <w:sz w:val="18"/>
                <w:szCs w:val="18"/>
              </w:rPr>
              <w:t>）刊载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于《证券时报》、《证券日报》</w:t>
            </w:r>
            <w:r>
              <w:rPr>
                <w:rFonts w:ascii="宋体" w:hAnsi="宋体" w:cs="宋体" w:eastAsia="宋体" w:hint="default"/>
                <w:sz w:val="18"/>
                <w:szCs w:val="18"/>
              </w:rPr>
              <w:t> 和巨潮资讯网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 </w:t>
            </w:r>
            <w:r>
              <w:rPr>
                <w:rFonts w:ascii="宋体" w:hAnsi="宋体" w:cs="宋体" w:eastAsia="宋体" w:hint="default"/>
                <w:spacing w:val="-10"/>
                <w:sz w:val="18"/>
                <w:szCs w:val="18"/>
              </w:rPr>
              <w:t>告》（</w:t>
            </w:r>
            <w:r>
              <w:rPr>
                <w:rFonts w:ascii="Times New Roman" w:hAnsi="Times New Roman" w:cs="Times New Roman" w:eastAsia="Times New Roman" w:hint="default"/>
                <w:spacing w:val="-10"/>
                <w:sz w:val="18"/>
                <w:szCs w:val="18"/>
              </w:rPr>
              <w:t>2018-077</w:t>
            </w:r>
            <w:r>
              <w:rPr>
                <w:rFonts w:ascii="宋体" w:hAnsi="宋体" w:cs="宋体" w:eastAsia="宋体" w:hint="default"/>
                <w:spacing w:val="-10"/>
                <w:sz w:val="18"/>
                <w:szCs w:val="18"/>
              </w:rPr>
              <w:t>）刊载于《证券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5"/>
                <w:sz w:val="18"/>
                <w:szCs w:val="18"/>
              </w:rPr>
              <w:t>时报》、《证券日报》和巨潮资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 </w:t>
            </w:r>
            <w:r>
              <w:rPr>
                <w:rFonts w:ascii="宋体" w:hAnsi="宋体" w:cs="宋体" w:eastAsia="宋体" w:hint="default"/>
                <w:spacing w:val="-10"/>
                <w:sz w:val="18"/>
                <w:szCs w:val="18"/>
              </w:rPr>
              <w:t>会决议公告》（</w:t>
            </w:r>
            <w:r>
              <w:rPr>
                <w:rFonts w:ascii="Times New Roman" w:hAnsi="Times New Roman" w:cs="Times New Roman" w:eastAsia="Times New Roman" w:hint="default"/>
                <w:spacing w:val="-10"/>
                <w:sz w:val="18"/>
                <w:szCs w:val="18"/>
              </w:rPr>
              <w:t>2018-090</w:t>
            </w:r>
            <w:r>
              <w:rPr>
                <w:rFonts w:ascii="宋体" w:hAnsi="宋体" w:cs="宋体" w:eastAsia="宋体" w:hint="default"/>
                <w:spacing w:val="-10"/>
                <w:sz w:val="18"/>
                <w:szCs w:val="18"/>
              </w:rPr>
              <w:t>）刊载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于《证券时报》、《证券日报》</w:t>
            </w:r>
            <w:r>
              <w:rPr>
                <w:rFonts w:ascii="宋体" w:hAnsi="宋体" w:cs="宋体" w:eastAsia="宋体" w:hint="default"/>
                <w:sz w:val="18"/>
                <w:szCs w:val="18"/>
              </w:rPr>
              <w:t> 和巨潮资讯网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 </w:t>
            </w:r>
            <w:r>
              <w:rPr>
                <w:rFonts w:ascii="宋体" w:hAnsi="宋体" w:cs="宋体" w:eastAsia="宋体" w:hint="default"/>
                <w:spacing w:val="-10"/>
                <w:sz w:val="18"/>
                <w:szCs w:val="18"/>
              </w:rPr>
              <w:t>会决议公告》（</w:t>
            </w:r>
            <w:r>
              <w:rPr>
                <w:rFonts w:ascii="Times New Roman" w:hAnsi="Times New Roman" w:cs="Times New Roman" w:eastAsia="Times New Roman" w:hint="default"/>
                <w:spacing w:val="-10"/>
                <w:sz w:val="18"/>
                <w:szCs w:val="18"/>
              </w:rPr>
              <w:t>2018-114</w:t>
            </w:r>
            <w:r>
              <w:rPr>
                <w:rFonts w:ascii="宋体" w:hAnsi="宋体" w:cs="宋体" w:eastAsia="宋体" w:hint="default"/>
                <w:spacing w:val="-10"/>
                <w:sz w:val="18"/>
                <w:szCs w:val="18"/>
              </w:rPr>
              <w:t>）刊载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于《证券时报》、《证券日报》</w:t>
            </w:r>
            <w:r>
              <w:rPr>
                <w:rFonts w:ascii="宋体" w:hAnsi="宋体" w:cs="宋体" w:eastAsia="宋体" w:hint="default"/>
                <w:sz w:val="18"/>
                <w:szCs w:val="18"/>
              </w:rPr>
              <w:t> 和巨潮资讯网</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 </w:t>
            </w:r>
            <w:r>
              <w:rPr>
                <w:rFonts w:ascii="宋体" w:hAnsi="宋体" w:cs="宋体" w:eastAsia="宋体" w:hint="default"/>
                <w:spacing w:val="-10"/>
                <w:sz w:val="18"/>
                <w:szCs w:val="18"/>
              </w:rPr>
              <w:t>会决议公告》（</w:t>
            </w:r>
            <w:r>
              <w:rPr>
                <w:rFonts w:ascii="Times New Roman" w:hAnsi="Times New Roman" w:cs="Times New Roman" w:eastAsia="Times New Roman" w:hint="default"/>
                <w:spacing w:val="-10"/>
                <w:sz w:val="18"/>
                <w:szCs w:val="18"/>
              </w:rPr>
              <w:t>2018-148</w:t>
            </w:r>
            <w:r>
              <w:rPr>
                <w:rFonts w:ascii="宋体" w:hAnsi="宋体" w:cs="宋体" w:eastAsia="宋体" w:hint="default"/>
                <w:spacing w:val="-10"/>
                <w:sz w:val="18"/>
                <w:szCs w:val="18"/>
              </w:rPr>
              <w:t>）刊载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于《证券时报》、《证券日报》</w:t>
            </w:r>
            <w:r>
              <w:rPr>
                <w:rFonts w:ascii="宋体" w:hAnsi="宋体" w:cs="宋体" w:eastAsia="宋体" w:hint="default"/>
                <w:sz w:val="18"/>
                <w:szCs w:val="18"/>
              </w:rPr>
              <w:t> 和巨潮资讯网</w:t>
            </w:r>
          </w:p>
        </w:tc>
      </w:tr>
    </w:tbl>
    <w:p>
      <w:pPr>
        <w:spacing w:line="240" w:lineRule="auto" w:before="2"/>
        <w:rPr>
          <w:rFonts w:ascii="宋体" w:hAnsi="宋体" w:cs="宋体" w:eastAsia="宋体" w:hint="default"/>
          <w:b/>
          <w:bCs/>
          <w:sz w:val="19"/>
          <w:szCs w:val="19"/>
        </w:rPr>
      </w:pPr>
    </w:p>
    <w:p>
      <w:pPr>
        <w:pStyle w:val="Heading3"/>
        <w:spacing w:line="240" w:lineRule="auto" w:before="35"/>
        <w:ind w:left="474" w:right="82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8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474" w:right="82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474" w:right="82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俞丽辉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韩传模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袁军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474" w:right="820"/>
        <w:jc w:val="left"/>
      </w:pPr>
      <w:r>
        <w:rPr/>
        <w:t>连续两次未亲自出席董事会的说明</w:t>
      </w:r>
    </w:p>
    <w:p>
      <w:pPr>
        <w:spacing w:after="0" w:line="240" w:lineRule="auto"/>
        <w:jc w:val="left"/>
        <w:sectPr>
          <w:pgSz w:w="11910" w:h="16840"/>
          <w:pgMar w:header="877" w:footer="979" w:top="1100" w:bottom="1160" w:left="66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312"/>
        <w:gridCol w:w="3084"/>
        <w:gridCol w:w="4253"/>
        <w:gridCol w:w="851"/>
      </w:tblGrid>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发表时间</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事项</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意见类型</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提名王爱俭女士为第七届董事会独立董事候选人</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w:t>
            </w:r>
            <w:r>
              <w:rPr>
                <w:rFonts w:ascii="Times New Roman" w:hAnsi="Times New Roman" w:cs="Times New Roman" w:eastAsia="Times New Roman" w:hint="default"/>
                <w:sz w:val="18"/>
                <w:szCs w:val="18"/>
              </w:rPr>
              <w:t>(</w:t>
            </w:r>
            <w:r>
              <w:rPr>
                <w:rFonts w:ascii="宋体" w:hAnsi="宋体" w:cs="宋体" w:eastAsia="宋体" w:hint="default"/>
                <w:sz w:val="18"/>
                <w:szCs w:val="18"/>
              </w:rPr>
              <w:t>草案</w:t>
            </w:r>
            <w:r>
              <w:rPr>
                <w:rFonts w:ascii="Times New Roman" w:hAnsi="Times New Roman" w:cs="Times New Roman" w:eastAsia="Times New Roman" w:hint="default"/>
                <w:sz w:val="18"/>
                <w:szCs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1595"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第七届董事会第四次会议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会计政策变更、</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年度利润分配预案、</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年度存放</w:t>
            </w:r>
            <w:r>
              <w:rPr>
                <w:rFonts w:ascii="宋体" w:hAnsi="宋体" w:cs="宋体" w:eastAsia="宋体" w:hint="default"/>
                <w:spacing w:val="-65"/>
                <w:sz w:val="18"/>
                <w:szCs w:val="18"/>
              </w:rPr>
              <w:t> </w:t>
            </w:r>
            <w:r>
              <w:rPr>
                <w:rFonts w:ascii="宋体" w:hAnsi="宋体" w:cs="宋体" w:eastAsia="宋体" w:hint="default"/>
                <w:spacing w:val="-4"/>
                <w:sz w:val="18"/>
                <w:szCs w:val="18"/>
              </w:rPr>
              <w:t>与使用情况的专项报告、控股股东及其关联方占用公司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资金及公司对外担保情况、</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年度公司内部控制自我</w:t>
            </w:r>
            <w:r>
              <w:rPr>
                <w:rFonts w:ascii="宋体" w:hAnsi="宋体" w:cs="宋体" w:eastAsia="宋体" w:hint="default"/>
                <w:spacing w:val="-75"/>
                <w:sz w:val="18"/>
                <w:szCs w:val="18"/>
              </w:rPr>
              <w:t> </w:t>
            </w:r>
            <w:r>
              <w:rPr>
                <w:rFonts w:ascii="宋体" w:hAnsi="宋体" w:cs="宋体" w:eastAsia="宋体" w:hint="default"/>
                <w:spacing w:val="-4"/>
                <w:sz w:val="18"/>
                <w:szCs w:val="18"/>
              </w:rPr>
              <w:t>评价报告、公司继续使用部分闲置募集资金暂时补充流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动资金、重大资产购买</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660"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调整</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年股票期权激励计划激励对象和授予数量、向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股票期权激励计划激励对象授予股票期权</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年第七次临时会议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提名董事、独立董事候选人、董（监）事津贴</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第七届董事会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年第十二次临时会议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继续使用部分闲置募集资金暂时补充流动资金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第八届董事会第一次会议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聘任公司总裁、副总裁、财务总监、董事会秘书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971"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年半年度对外担保及关联方资金占用情况、</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年半年度募集资金存放与使用情况专项报告、聘请</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年度会计师事务所</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8"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年第五次临时会议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347"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年第六次临时会议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使用部分自有资金购买银行保本型理财产品</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r>
        <w:trPr>
          <w:trHeight w:val="660" w:hRule="exact"/>
        </w:trPr>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3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年第七次临时会议</w:t>
            </w:r>
          </w:p>
        </w:tc>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使用部分暂时闲置募集资金购买银行保本型理财产品</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年股票期权激励计划部分股票期权注销</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1"/>
              <w:ind w:left="-11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7" w:right="0"/>
              <w:jc w:val="left"/>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2"/>
        <w:jc w:val="left"/>
      </w:pPr>
      <w:r>
        <w:rPr>
          <w:rFonts w:ascii="Times New Roman" w:hAnsi="Times New Roman" w:cs="Times New Roman" w:eastAsia="Times New Roman" w:hint="default"/>
        </w:rPr>
        <w:t>1</w:t>
      </w:r>
      <w:r>
        <w:rPr/>
        <w:t>、发展战略委员会 </w:t>
      </w:r>
      <w:r>
        <w:rPr>
          <w:spacing w:val="-2"/>
        </w:rPr>
        <w:t>根据《公司章程》、《董事会议事规则》、《发展战略委员会工作细则》的有关规定，发展战略委员会对公司报告期内实施</w:t>
      </w:r>
      <w:r>
        <w:rPr>
          <w:spacing w:val="-69"/>
        </w:rPr>
        <w:t> </w:t>
      </w:r>
      <w:r>
        <w:rPr>
          <w:spacing w:val="-69"/>
        </w:rPr>
      </w:r>
      <w:r>
        <w:rPr/>
        <w:t>的重大资产购买事项以及其他重大投、融资事项进行了讨论，并向董事会提出了建议。公司实施的重大资产购买及其他投、 </w:t>
      </w:r>
      <w:r>
        <w:rPr>
          <w:spacing w:val="-2"/>
        </w:rPr>
        <w:t>融资事项，着眼于公司战略规划，有利于改善公司经营状况、增强公司持续经营能力和综合竞争力，有利于保护公司及其全</w:t>
      </w:r>
      <w:r>
        <w:rPr>
          <w:spacing w:val="-66"/>
        </w:rPr>
        <w:t> </w:t>
      </w:r>
      <w:r>
        <w:rPr>
          <w:spacing w:val="-66"/>
        </w:rPr>
      </w:r>
      <w:r>
        <w:rPr/>
        <w:t>体股东的利益。</w:t>
      </w:r>
    </w:p>
    <w:p>
      <w:pPr>
        <w:spacing w:after="0" w:line="314"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029"/>
        <w:jc w:val="left"/>
      </w:pPr>
      <w:r>
        <w:rPr>
          <w:rFonts w:ascii="Times New Roman" w:hAnsi="Times New Roman" w:cs="Times New Roman" w:eastAsia="Times New Roman" w:hint="default"/>
        </w:rPr>
        <w:t>2</w:t>
      </w:r>
      <w:r>
        <w:rPr/>
        <w:t>、审计委员会 </w:t>
      </w:r>
      <w:r>
        <w:rPr>
          <w:spacing w:val="-2"/>
        </w:rPr>
        <w:t>根据《公司章程》、《董事会议事规则》、《审计委员会工作细则》的有关规定，审计委员会对报告期内发布的</w:t>
      </w:r>
      <w:r>
        <w:rPr>
          <w:rFonts w:ascii="Times New Roman" w:hAnsi="Times New Roman" w:cs="Times New Roman" w:eastAsia="Times New Roman" w:hint="default"/>
          <w:spacing w:val="-2"/>
        </w:rPr>
        <w:t>2017</w:t>
      </w:r>
      <w:r>
        <w:rPr>
          <w:spacing w:val="-2"/>
        </w:rPr>
        <w:t>年度报</w:t>
      </w:r>
      <w:r>
        <w:rPr>
          <w:spacing w:val="-64"/>
        </w:rPr>
        <w:t> </w:t>
      </w:r>
      <w:r>
        <w:rPr>
          <w:spacing w:val="-64"/>
        </w:rPr>
      </w:r>
      <w:r>
        <w:rPr>
          <w:spacing w:val="-3"/>
        </w:rPr>
        <w:t>告以及</w:t>
      </w:r>
      <w:r>
        <w:rPr>
          <w:rFonts w:ascii="Times New Roman" w:hAnsi="Times New Roman" w:cs="Times New Roman" w:eastAsia="Times New Roman" w:hint="default"/>
          <w:spacing w:val="-3"/>
        </w:rPr>
        <w:t>2018</w:t>
      </w:r>
      <w:r>
        <w:rPr>
          <w:spacing w:val="-3"/>
        </w:rPr>
        <w:t>年第一季度、第三季度、半年度报告进行了审阅，同时就</w:t>
      </w:r>
      <w:r>
        <w:rPr>
          <w:rFonts w:ascii="Times New Roman" w:hAnsi="Times New Roman" w:cs="Times New Roman" w:eastAsia="Times New Roman" w:hint="default"/>
          <w:spacing w:val="-3"/>
        </w:rPr>
        <w:t>2017</w:t>
      </w:r>
      <w:r>
        <w:rPr>
          <w:spacing w:val="-3"/>
        </w:rPr>
        <w:t>年度报告的总体审计策略与年审会计师进行了沟通，</w:t>
      </w:r>
      <w:r>
        <w:rPr>
          <w:spacing w:val="-87"/>
        </w:rPr>
        <w:t> </w:t>
      </w:r>
      <w:r>
        <w:rPr/>
        <w:t>并在公司年报财务报表初表以及年报初稿出具的时候，与公司财务、年审会计师就年度内涉及的重大事项进行了沟通。 </w:t>
      </w:r>
      <w:r>
        <w:rPr>
          <w:spacing w:val="-2"/>
        </w:rPr>
        <w:t>报告期内，审计委员会对续聘瑞华会计师事务所（特殊普通合伙）发表了专业的意见，认为瑞华会计师事务所（特殊普通合</w:t>
      </w:r>
      <w:r>
        <w:rPr>
          <w:spacing w:val="-66"/>
        </w:rPr>
        <w:t> </w:t>
      </w:r>
      <w:r>
        <w:rPr>
          <w:spacing w:val="-66"/>
        </w:rPr>
      </w:r>
      <w:r>
        <w:rPr>
          <w:spacing w:val="-2"/>
        </w:rPr>
        <w:t>伙）具备证券期货相关业务审计从业资格，具备为上市公司提供审计服务的经验和能力，同意续聘瑞华会计师事务所（特殊</w:t>
      </w:r>
      <w:r>
        <w:rPr>
          <w:spacing w:val="-66"/>
        </w:rPr>
        <w:t> </w:t>
      </w:r>
      <w:r>
        <w:rPr>
          <w:spacing w:val="-66"/>
        </w:rPr>
      </w:r>
      <w:r>
        <w:rPr/>
        <w:t>普通合伙）为公司</w:t>
      </w:r>
      <w:r>
        <w:rPr>
          <w:rFonts w:ascii="Times New Roman" w:hAnsi="Times New Roman" w:cs="Times New Roman" w:eastAsia="Times New Roman" w:hint="default"/>
        </w:rPr>
        <w:t>2018</w:t>
      </w:r>
      <w:r>
        <w:rPr/>
        <w:t>年度财务、内控的审计机构。</w:t>
      </w:r>
    </w:p>
    <w:p>
      <w:pPr>
        <w:pStyle w:val="BodyText"/>
        <w:spacing w:line="309" w:lineRule="auto" w:before="5"/>
        <w:ind w:right="1118"/>
        <w:jc w:val="left"/>
      </w:pPr>
      <w:r>
        <w:rPr>
          <w:rFonts w:ascii="Times New Roman" w:hAnsi="Times New Roman" w:cs="Times New Roman" w:eastAsia="Times New Roman" w:hint="default"/>
        </w:rPr>
        <w:t>3</w:t>
      </w:r>
      <w:r>
        <w:rPr/>
        <w:t>、提名委员会 </w:t>
      </w:r>
      <w:r>
        <w:rPr>
          <w:spacing w:val="-2"/>
        </w:rPr>
        <w:t>根据《公司章程》、《董事会议事规则》、《提名委员会工作细则》的有关规定，提名委员会对报告期内董事会换届的候选</w:t>
      </w:r>
      <w:r>
        <w:rPr>
          <w:spacing w:val="-69"/>
        </w:rPr>
        <w:t> </w:t>
      </w:r>
      <w:r>
        <w:rPr>
          <w:spacing w:val="-69"/>
        </w:rPr>
      </w:r>
      <w:r>
        <w:rPr/>
        <w:t>人以及管理层的候选人履历资料进行了审核，按照相关规定发表了审核意见并提交公司董事会审议。</w:t>
      </w:r>
    </w:p>
    <w:p>
      <w:pPr>
        <w:pStyle w:val="BodyText"/>
        <w:spacing w:line="312" w:lineRule="auto" w:before="24"/>
        <w:ind w:right="0"/>
        <w:jc w:val="left"/>
      </w:pPr>
      <w:r>
        <w:rPr>
          <w:rFonts w:ascii="Times New Roman" w:hAnsi="Times New Roman" w:cs="Times New Roman" w:eastAsia="Times New Roman" w:hint="default"/>
        </w:rPr>
        <w:t>4</w:t>
      </w:r>
      <w:r>
        <w:rPr/>
        <w:t>、薪酬与考核委员会 </w:t>
      </w:r>
      <w:r>
        <w:rPr>
          <w:spacing w:val="-2"/>
        </w:rPr>
        <w:t>根据《公司章程》、《董事会议事规则》、《薪酬与考核委员会工作细则》的有关规定，薪酬与考核委员会对报告期内实施</w:t>
      </w:r>
      <w:r>
        <w:rPr>
          <w:spacing w:val="-69"/>
        </w:rPr>
        <w:t> </w:t>
      </w:r>
      <w:r>
        <w:rPr>
          <w:spacing w:val="-69"/>
        </w:rPr>
      </w:r>
      <w:r>
        <w:rPr>
          <w:spacing w:val="-2"/>
        </w:rPr>
        <w:t>的股票期权激励计划、《薪酬管理制度》、《高级管理人员薪酬管理制度》以及公司第八届董（监）事、独立董事津贴方案</w:t>
      </w:r>
      <w:r>
        <w:rPr>
          <w:spacing w:val="-69"/>
        </w:rPr>
        <w:t> </w:t>
      </w:r>
      <w:r>
        <w:rPr>
          <w:spacing w:val="-69"/>
        </w:rPr>
      </w:r>
      <w:r>
        <w:rPr/>
        <w:t>进行了审核，按照相关规定发表了审核意见并提交公司董事会审议。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公司高级管理人员的考评按照公司有关规定执行，绩效评价由公司人力资源部门进行日常考核与评价，年末由公司董事会下</w:t>
      </w:r>
      <w:r>
        <w:rPr>
          <w:spacing w:val="-64"/>
        </w:rPr>
        <w:t> </w:t>
      </w:r>
      <w:r>
        <w:rPr>
          <w:spacing w:val="-64"/>
        </w:rPr>
      </w:r>
      <w:r>
        <w:rPr/>
        <w:t>设的薪酬与考核委员会进行综合评定，报董事会批准。</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情况" w:id="150"/>
      <w:bookmarkEnd w:id="150"/>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87.33%</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76.32%</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383.980011pt;margin-top:285.139984pt;width:149.8pt;height:62.4pt;mso-position-horizontal-relative:page;mso-position-vertical-relative:page;z-index:-1038424" coordorigin="7680,5703" coordsize="2996,1248">
            <v:group style="position:absolute;left:7680;top:5703;width:2996;height:312" coordorigin="7680,5703" coordsize="2996,312">
              <v:shape style="position:absolute;left:7680;top:5703;width:2996;height:312" coordorigin="7680,5703" coordsize="2996,312" path="m7680,6015l10675,6015,10675,5703,7680,5703,7680,6015xe" filled="true" fillcolor="#ffffff" stroked="false">
                <v:path arrowok="t"/>
                <v:fill type="solid"/>
              </v:shape>
            </v:group>
            <v:group style="position:absolute;left:7680;top:6015;width:2996;height:312" coordorigin="7680,6015" coordsize="2996,312">
              <v:shape style="position:absolute;left:7680;top:6015;width:2996;height:312" coordorigin="7680,6015" coordsize="2996,312" path="m7680,6327l10675,6327,10675,6015,7680,6015,7680,6327xe" filled="true" fillcolor="#ffffff" stroked="false">
                <v:path arrowok="t"/>
                <v:fill type="solid"/>
              </v:shape>
            </v:group>
            <v:group style="position:absolute;left:7680;top:6327;width:2996;height:312" coordorigin="7680,6327" coordsize="2996,312">
              <v:shape style="position:absolute;left:7680;top:6327;width:2996;height:312" coordorigin="7680,6327" coordsize="2996,312" path="m7680,6639l10675,6639,10675,6327,7680,6327,7680,6639xe" filled="true" fillcolor="#ffffff" stroked="false">
                <v:path arrowok="t"/>
                <v:fill type="solid"/>
              </v:shape>
            </v:group>
            <v:group style="position:absolute;left:7680;top:6639;width:2996;height:312" coordorigin="7680,6639" coordsize="2996,312">
              <v:shape style="position:absolute;left:7680;top:6639;width:2996;height:312" coordorigin="7680,6639" coordsize="2996,312" path="m7680,6951l10675,6951,10675,6639,7680,6639,7680,695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122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①有下列情形之一的，即可确认为财务报 告重大缺陷：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公司董事、监事和高级管 理人员的舞弊行为；</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对已经公告的财务 报告出现的重大差错进行错报更正；</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公 司按规定期限报送已签发的财务报告后， 对财务报告重新报送以更正财务报告中的 </w:t>
            </w:r>
            <w:r>
              <w:rPr>
                <w:rFonts w:ascii="宋体" w:hAnsi="宋体" w:cs="宋体" w:eastAsia="宋体" w:hint="default"/>
                <w:spacing w:val="-3"/>
                <w:sz w:val="18"/>
                <w:szCs w:val="18"/>
              </w:rPr>
              <w:t>重大错报。</w:t>
            </w:r>
            <w:r>
              <w:rPr>
                <w:rFonts w:ascii="Times New Roman" w:hAnsi="Times New Roman" w:cs="Times New Roman" w:eastAsia="Times New Roman" w:hint="default"/>
                <w:spacing w:val="-3"/>
                <w:sz w:val="18"/>
                <w:szCs w:val="18"/>
              </w:rPr>
              <w:t>b2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由于国家规定的会计准则和 制度变化以及公司按规定由于经济环境、 客观情况的改变而进行会计政策调整，需 要对以前报告年度的财务报告进行追溯调 整的，不属于此类情况。</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注册会计师发 现当期财务报告存在重大错报，而内部控 制在运行过程中未能发现该错报；</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审计 </w:t>
            </w:r>
            <w:r>
              <w:rPr>
                <w:rFonts w:ascii="宋体" w:hAnsi="宋体" w:cs="宋体" w:eastAsia="宋体" w:hint="default"/>
                <w:spacing w:val="-3"/>
                <w:sz w:val="18"/>
                <w:szCs w:val="18"/>
              </w:rPr>
              <w:t>委员会和审计部对内部控制的监督无效；</w:t>
            </w:r>
            <w:r>
              <w:rPr>
                <w:rFonts w:ascii="Times New Roman" w:hAnsi="Times New Roman" w:cs="Times New Roman" w:eastAsia="Times New Roman" w:hint="default"/>
                <w:spacing w:val="-3"/>
                <w:sz w:val="18"/>
                <w:szCs w:val="18"/>
              </w:rPr>
              <w:t>e</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风险评估职能无效。②有下列情形之一的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即可确认为财务报告重要缺陷：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未按照 </w:t>
            </w:r>
            <w:r>
              <w:rPr>
                <w:rFonts w:ascii="宋体" w:hAnsi="宋体" w:cs="宋体" w:eastAsia="宋体" w:hint="default"/>
                <w:spacing w:val="-4"/>
                <w:sz w:val="18"/>
                <w:szCs w:val="18"/>
              </w:rPr>
              <w:t>公认的《会计准则》选择和应用会计政策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b </w:t>
            </w:r>
            <w:r>
              <w:rPr>
                <w:rFonts w:ascii="宋体" w:hAnsi="宋体" w:cs="宋体" w:eastAsia="宋体" w:hint="default"/>
                <w:spacing w:val="-4"/>
                <w:sz w:val="18"/>
                <w:szCs w:val="18"/>
              </w:rPr>
              <w:t>未建立反舞弊程序和控制措施；</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对于期 末财务报告过程 </w:t>
            </w:r>
            <w:r>
              <w:rPr>
                <w:rFonts w:ascii="Times New Roman" w:hAnsi="Times New Roman" w:cs="Times New Roman" w:eastAsia="Times New Roman" w:hint="default"/>
                <w:sz w:val="18"/>
                <w:szCs w:val="18"/>
              </w:rPr>
              <w:t>c1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财务报告流程控制以 下存在一项或多项缺陷且不能合理保证编 制过程的财务报表达到真实、准确、完整 的，则确认为重要缺陷：期末结账、纳入 合并报表的范围、内部往来、审核按权益 法核算的对外投资相关的账务处理、交叉 审核合并会计报表的抵消分录、交叉审核 会计报表附注的编制、分析性复核会计报 </w:t>
            </w:r>
            <w:r>
              <w:rPr>
                <w:rFonts w:ascii="宋体" w:hAnsi="宋体" w:cs="宋体" w:eastAsia="宋体" w:hint="default"/>
                <w:spacing w:val="-3"/>
                <w:sz w:val="18"/>
                <w:szCs w:val="18"/>
              </w:rPr>
              <w:t>表。</w:t>
            </w:r>
            <w:r>
              <w:rPr>
                <w:rFonts w:ascii="Times New Roman" w:hAnsi="Times New Roman" w:cs="Times New Roman" w:eastAsia="Times New Roman" w:hint="default"/>
                <w:spacing w:val="-3"/>
                <w:sz w:val="18"/>
                <w:szCs w:val="18"/>
              </w:rPr>
              <w:t>c2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财务报表中信息系统控制与财务报 告内部控制直接相关的信息系统应用控 制，如果在明细账向总账过程处理时，出 现以下环节缺陷，导致不能合理地保证公 认的会计准则编制财务报表，可以确认为 重要缺陷：交易总数过入总账，确保交易 记录全部在总账；初始、授权、记录和处 理总账中的明细（或日记账）分录；期末 关账后，常规（重复）发生和非常规（非 重复）发生报表调整涉及的初始、授权、 记录和处理等控制信息系统总体。③不构 成重大缺陷和重要缺陷的内部控制缺陷， 认定为财务报告一般缺陷。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4" w:right="-43"/>
              <w:jc w:val="left"/>
              <w:rPr>
                <w:rFonts w:ascii="宋体" w:hAnsi="宋体" w:cs="宋体" w:eastAsia="宋体" w:hint="default"/>
                <w:sz w:val="18"/>
                <w:szCs w:val="18"/>
              </w:rPr>
            </w:pPr>
            <w:r>
              <w:rPr>
                <w:rFonts w:ascii="宋体" w:hAnsi="宋体" w:cs="宋体" w:eastAsia="宋体" w:hint="default"/>
                <w:sz w:val="18"/>
                <w:szCs w:val="18"/>
              </w:rPr>
              <w:t>非财务报告内部控制是指针对除财务 报告目标之外的其他目标的内部控制。 </w:t>
            </w:r>
            <w:r>
              <w:rPr>
                <w:rFonts w:ascii="宋体" w:hAnsi="宋体" w:cs="宋体" w:eastAsia="宋体" w:hint="default"/>
                <w:spacing w:val="-4"/>
                <w:sz w:val="18"/>
                <w:szCs w:val="18"/>
              </w:rPr>
              <w:t>一般包括战略目标、资产安全目标、经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营目标、合规目标等。非财务报告评价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应当作为公司内部控制评价的重点。公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司非财务报告缺陷认定主要依据缺陷 </w:t>
            </w:r>
            <w:r>
              <w:rPr>
                <w:rFonts w:ascii="宋体" w:hAnsi="宋体" w:cs="宋体" w:eastAsia="宋体" w:hint="default"/>
                <w:spacing w:val="-4"/>
                <w:sz w:val="18"/>
                <w:szCs w:val="18"/>
              </w:rPr>
              <w:t>涉及业务性质的严重程度、直接或潜在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负面影响的性质、影响的范围等因素来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确定。（</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）以下情形之一的，即可确认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为非财务报告内部控制可能存在重大</w:t>
            </w:r>
          </w:p>
          <w:p>
            <w:pPr>
              <w:pStyle w:val="TableParagraph"/>
              <w:spacing w:line="203" w:lineRule="exact" w:before="1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缺陷；</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严重违反国家法律、法规；</w:t>
            </w:r>
            <w:r>
              <w:rPr>
                <w:rFonts w:ascii="Times New Roman" w:hAnsi="Times New Roman" w:cs="Times New Roman" w:eastAsia="Times New Roman" w:hint="default"/>
                <w:sz w:val="18"/>
                <w:szCs w:val="18"/>
              </w:rPr>
              <w:t>b</w:t>
            </w:r>
          </w:p>
          <w:p>
            <w:pPr>
              <w:pStyle w:val="TableParagraph"/>
              <w:spacing w:line="149"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z w:val="18"/>
                <w:szCs w:val="18"/>
              </w:rPr>
              <w:t>媒体负面新闻频现，在全国范围内流</w:t>
            </w:r>
          </w:p>
          <w:p>
            <w:pPr>
              <w:pStyle w:val="TableParagraph"/>
              <w:spacing w:line="203" w:lineRule="exact" w:before="76"/>
              <w:ind w:left="4" w:right="0"/>
              <w:jc w:val="left"/>
              <w:rPr>
                <w:rFonts w:ascii="宋体" w:hAnsi="宋体" w:cs="宋体" w:eastAsia="宋体" w:hint="default"/>
                <w:sz w:val="18"/>
                <w:szCs w:val="18"/>
              </w:rPr>
            </w:pPr>
            <w:r>
              <w:rPr>
                <w:rFonts w:ascii="宋体" w:hAnsi="宋体" w:cs="宋体" w:eastAsia="宋体" w:hint="default"/>
                <w:sz w:val="18"/>
                <w:szCs w:val="18"/>
              </w:rPr>
              <w:t>传，在较长时间内无法消除；</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公司重</w:t>
            </w:r>
          </w:p>
          <w:p>
            <w:pPr>
              <w:pStyle w:val="TableParagraph"/>
              <w:spacing w:line="149"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42"/>
              <w:jc w:val="left"/>
              <w:rPr>
                <w:rFonts w:ascii="宋体" w:hAnsi="宋体" w:cs="宋体" w:eastAsia="宋体" w:hint="default"/>
                <w:sz w:val="18"/>
                <w:szCs w:val="18"/>
              </w:rPr>
            </w:pPr>
            <w:r>
              <w:rPr>
                <w:rFonts w:ascii="宋体" w:hAnsi="宋体" w:cs="宋体" w:eastAsia="宋体" w:hint="default"/>
                <w:sz w:val="18"/>
                <w:szCs w:val="18"/>
              </w:rPr>
              <w:t>大事项的决策未履行相应的决策程序，</w:t>
            </w:r>
          </w:p>
          <w:p>
            <w:pPr>
              <w:pStyle w:val="TableParagraph"/>
              <w:spacing w:line="309" w:lineRule="auto" w:before="76"/>
              <w:ind w:left="4" w:right="-43"/>
              <w:jc w:val="left"/>
              <w:rPr>
                <w:rFonts w:ascii="宋体" w:hAnsi="宋体" w:cs="宋体" w:eastAsia="宋体" w:hint="default"/>
                <w:sz w:val="18"/>
                <w:szCs w:val="18"/>
              </w:rPr>
            </w:pPr>
            <w:r>
              <w:rPr>
                <w:rFonts w:ascii="宋体" w:hAnsi="宋体" w:cs="宋体" w:eastAsia="宋体" w:hint="default"/>
                <w:spacing w:val="-3"/>
                <w:sz w:val="18"/>
                <w:szCs w:val="18"/>
              </w:rPr>
              <w:t>导致决策失败；</w:t>
            </w:r>
            <w:r>
              <w:rPr>
                <w:rFonts w:ascii="Times New Roman" w:hAnsi="Times New Roman" w:cs="Times New Roman" w:eastAsia="Times New Roman" w:hint="default"/>
                <w:spacing w:val="-3"/>
                <w:sz w:val="18"/>
                <w:szCs w:val="18"/>
              </w:rPr>
              <w:t>d </w:t>
            </w:r>
            <w:r>
              <w:rPr>
                <w:rFonts w:ascii="宋体" w:hAnsi="宋体" w:cs="宋体" w:eastAsia="宋体" w:hint="default"/>
                <w:sz w:val="18"/>
                <w:szCs w:val="18"/>
              </w:rPr>
              <w:t>信息披露内部控制失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效，导致公司被监管部门公开谴责；</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e </w:t>
            </w:r>
            <w:r>
              <w:rPr>
                <w:rFonts w:ascii="宋体" w:hAnsi="宋体" w:cs="宋体" w:eastAsia="宋体" w:hint="default"/>
                <w:spacing w:val="-4"/>
                <w:sz w:val="18"/>
                <w:szCs w:val="18"/>
              </w:rPr>
              <w:t>中高级管理人员纷纷流失，造成经营活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动难以正常进行；</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内部控制评价的重 </w:t>
            </w:r>
            <w:r>
              <w:rPr>
                <w:rFonts w:ascii="宋体" w:hAnsi="宋体" w:cs="宋体" w:eastAsia="宋体" w:hint="default"/>
                <w:spacing w:val="-4"/>
                <w:sz w:val="18"/>
                <w:szCs w:val="18"/>
              </w:rPr>
              <w:t>大缺陷未得到整改；外部审计发现的重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大缺陷，在与管理层、审计委员会沟通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后，公司没有及时整改，即可确认为重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大缺陷。</w:t>
            </w:r>
            <w:r>
              <w:rPr>
                <w:rFonts w:ascii="Times New Roman" w:hAnsi="Times New Roman" w:cs="Times New Roman" w:eastAsia="Times New Roman" w:hint="default"/>
                <w:spacing w:val="-4"/>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重要业务缺乏制度控制或制 </w:t>
            </w:r>
            <w:r>
              <w:rPr>
                <w:rFonts w:ascii="宋体" w:hAnsi="宋体" w:cs="宋体" w:eastAsia="宋体" w:hint="default"/>
                <w:spacing w:val="-4"/>
                <w:sz w:val="18"/>
                <w:szCs w:val="18"/>
              </w:rPr>
              <w:t>度系统性失效，且缺乏有效的补偿性控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制。（</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）以下情形之一的，即可认定为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非财务报告内部控制可能存在重要缺 陷：</w:t>
            </w:r>
            <w:r>
              <w:rPr>
                <w:rFonts w:ascii="Times New Roman" w:hAnsi="Times New Roman" w:cs="Times New Roman" w:eastAsia="Times New Roman" w:hint="default"/>
                <w:sz w:val="18"/>
                <w:szCs w:val="18"/>
              </w:rPr>
              <w:t>a </w:t>
            </w:r>
            <w:r>
              <w:rPr>
                <w:rFonts w:ascii="宋体" w:hAnsi="宋体" w:cs="宋体" w:eastAsia="宋体" w:hint="default"/>
                <w:sz w:val="18"/>
                <w:szCs w:val="18"/>
              </w:rPr>
              <w:t>决策程序出现一般性失误；</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重 要业务缺乏制度控制或制度系统存在 缺陷；</w:t>
            </w:r>
            <w:r>
              <w:rPr>
                <w:rFonts w:ascii="Times New Roman" w:hAnsi="Times New Roman" w:cs="Times New Roman" w:eastAsia="Times New Roman" w:hint="default"/>
                <w:sz w:val="18"/>
                <w:szCs w:val="18"/>
              </w:rPr>
              <w:t>c </w:t>
            </w:r>
            <w:r>
              <w:rPr>
                <w:rFonts w:ascii="宋体" w:hAnsi="宋体" w:cs="宋体" w:eastAsia="宋体" w:hint="default"/>
                <w:sz w:val="18"/>
                <w:szCs w:val="18"/>
              </w:rPr>
              <w:t>关键岗位员工流失严重；</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内 部控制评价结果特别是重要缺陷未得 到的整改；</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其他对公司产生负面影响 </w:t>
            </w:r>
            <w:r>
              <w:rPr>
                <w:rFonts w:ascii="宋体" w:hAnsi="宋体" w:cs="宋体" w:eastAsia="宋体" w:hint="default"/>
                <w:spacing w:val="-9"/>
                <w:sz w:val="18"/>
                <w:szCs w:val="18"/>
              </w:rPr>
              <w:t>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）不构成重大缺陷和重要缺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陷的内部控制缺陷，认定为一般缺陷。</w:t>
            </w:r>
          </w:p>
        </w:tc>
      </w:tr>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3"/>
              <w:jc w:val="both"/>
              <w:rPr>
                <w:rFonts w:ascii="宋体" w:hAnsi="宋体" w:cs="宋体" w:eastAsia="宋体" w:hint="default"/>
                <w:sz w:val="18"/>
                <w:szCs w:val="18"/>
              </w:rPr>
            </w:pPr>
            <w:r>
              <w:rPr>
                <w:rFonts w:ascii="宋体" w:hAnsi="宋体" w:cs="宋体" w:eastAsia="宋体" w:hint="default"/>
                <w:sz w:val="18"/>
                <w:szCs w:val="18"/>
              </w:rPr>
              <w:t>公司以上年度经过审计的资产总额作为衡 量指标，确定公司财务报告缺陷的定量标 准。①到下列标准之一的，即可确认财务 </w:t>
            </w:r>
            <w:r>
              <w:rPr>
                <w:rFonts w:ascii="宋体" w:hAnsi="宋体" w:cs="宋体" w:eastAsia="宋体" w:hint="default"/>
                <w:spacing w:val="-4"/>
                <w:sz w:val="18"/>
                <w:szCs w:val="18"/>
              </w:rPr>
              <w:t>报告各项缺陷：重大缺陷，错报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资产总额</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；重要缺陷，错报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＜资产总额＜</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1" w:right="20"/>
              <w:jc w:val="both"/>
              <w:rPr>
                <w:rFonts w:ascii="宋体" w:hAnsi="宋体" w:cs="宋体" w:eastAsia="宋体" w:hint="default"/>
                <w:sz w:val="18"/>
                <w:szCs w:val="18"/>
              </w:rPr>
            </w:pPr>
            <w:r>
              <w:rPr>
                <w:rFonts w:ascii="宋体" w:hAnsi="宋体" w:cs="宋体" w:eastAsia="宋体" w:hint="default"/>
                <w:spacing w:val="-4"/>
                <w:sz w:val="18"/>
                <w:szCs w:val="18"/>
              </w:rPr>
              <w:t>①重大缺陷：该缺陷的存在将导致的直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接财产损失金额超过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万元；②重 </w:t>
            </w:r>
            <w:r>
              <w:rPr>
                <w:rFonts w:ascii="宋体" w:hAnsi="宋体" w:cs="宋体" w:eastAsia="宋体" w:hint="default"/>
                <w:spacing w:val="-4"/>
                <w:sz w:val="18"/>
                <w:szCs w:val="18"/>
              </w:rPr>
              <w:t>要缺陷：该缺陷的存在将导致的直接财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产损失金额为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pacing w:val="-23"/>
                <w:sz w:val="18"/>
                <w:szCs w:val="18"/>
              </w:rPr>
              <w:t>万元（含</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6"/>
                <w:sz w:val="18"/>
                <w:szCs w:val="18"/>
              </w:rPr>
              <w:t> </w:t>
            </w:r>
            <w:r>
              <w:rPr>
                <w:rFonts w:ascii="宋体" w:hAnsi="宋体" w:cs="宋体" w:eastAsia="宋体" w:hint="default"/>
                <w:spacing w:val="-23"/>
                <w:sz w:val="18"/>
                <w:szCs w:val="18"/>
              </w:rPr>
              <w:t>万元）～</w:t>
            </w:r>
          </w:p>
          <w:p>
            <w:pPr>
              <w:pStyle w:val="TableParagraph"/>
              <w:spacing w:line="240" w:lineRule="auto" w:before="3"/>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万元；③一般缺陷：该缺陷的存</w:t>
            </w:r>
          </w:p>
        </w:tc>
      </w:tr>
    </w:tbl>
    <w:p>
      <w:pPr>
        <w:spacing w:after="0" w:line="240"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50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单项缺陷：</w:t>
            </w:r>
            <w:r>
              <w:rPr>
                <w:rFonts w:ascii="Times New Roman" w:hAnsi="Times New Roman" w:cs="Times New Roman" w:eastAsia="Times New Roman" w:hint="default"/>
                <w:sz w:val="18"/>
                <w:szCs w:val="18"/>
              </w:rPr>
              <w:t>a1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影响水平达到或超过公司合 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，直接认定为重大缺 </w:t>
            </w:r>
            <w:r>
              <w:rPr>
                <w:rFonts w:ascii="宋体" w:hAnsi="宋体" w:cs="宋体" w:eastAsia="宋体" w:hint="default"/>
                <w:spacing w:val="-3"/>
                <w:sz w:val="18"/>
                <w:szCs w:val="18"/>
              </w:rPr>
              <w:t>陷；</w:t>
            </w:r>
            <w:r>
              <w:rPr>
                <w:rFonts w:ascii="Times New Roman" w:hAnsi="Times New Roman" w:cs="Times New Roman" w:eastAsia="Times New Roman" w:hint="default"/>
                <w:spacing w:val="-3"/>
                <w:sz w:val="18"/>
                <w:szCs w:val="18"/>
              </w:rPr>
              <w:t>a2</w:t>
            </w:r>
            <w:r>
              <w:rPr>
                <w:rFonts w:ascii="Times New Roman" w:hAnsi="Times New Roman" w:cs="Times New Roman" w:eastAsia="Times New Roman" w:hint="default"/>
                <w:sz w:val="18"/>
                <w:szCs w:val="18"/>
              </w:rPr>
              <w:t> </w:t>
            </w:r>
            <w:r>
              <w:rPr>
                <w:rFonts w:ascii="宋体" w:hAnsi="宋体" w:cs="宋体" w:eastAsia="宋体" w:hint="default"/>
                <w:sz w:val="18"/>
                <w:szCs w:val="18"/>
              </w:rPr>
              <w:t>影响水平低于公司合并报表资产总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，但高于公司合并报表资产总额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，直接认定为重要缺陷；</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影响水平 小于或等于公司合并报表资产总额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直接认定为一般缺陷。</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影响到同一个重 要会计科目或披露事项的多个重要缺陷汇 </w:t>
            </w:r>
            <w:r>
              <w:rPr>
                <w:rFonts w:ascii="宋体" w:hAnsi="宋体" w:cs="宋体" w:eastAsia="宋体" w:hint="default"/>
                <w:spacing w:val="-5"/>
                <w:sz w:val="18"/>
                <w:szCs w:val="18"/>
              </w:rPr>
              <w:t>总：</w:t>
            </w:r>
            <w:r>
              <w:rPr>
                <w:rFonts w:ascii="Times New Roman" w:hAnsi="Times New Roman" w:cs="Times New Roman" w:eastAsia="Times New Roman" w:hint="default"/>
                <w:spacing w:val="-5"/>
                <w:sz w:val="18"/>
                <w:szCs w:val="18"/>
              </w:rPr>
              <w:t>b1</w:t>
            </w:r>
            <w:r>
              <w:rPr>
                <w:rFonts w:ascii="Times New Roman" w:hAnsi="Times New Roman" w:cs="Times New Roman" w:eastAsia="Times New Roman" w:hint="default"/>
                <w:sz w:val="18"/>
                <w:szCs w:val="18"/>
              </w:rPr>
              <w:t> </w:t>
            </w:r>
            <w:r>
              <w:rPr>
                <w:rFonts w:ascii="宋体" w:hAnsi="宋体" w:cs="宋体" w:eastAsia="宋体" w:hint="default"/>
                <w:sz w:val="18"/>
                <w:szCs w:val="18"/>
              </w:rPr>
              <w:t>考虑补偿性控制措施和实际偏差率 后，该缺陷总体影响水平达到或超过公司 合并报表资产总额</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，直接认定为重大缺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陷；</w:t>
            </w:r>
            <w:r>
              <w:rPr>
                <w:rFonts w:ascii="Times New Roman" w:hAnsi="Times New Roman" w:cs="Times New Roman" w:eastAsia="Times New Roman" w:hint="default"/>
                <w:spacing w:val="-5"/>
                <w:sz w:val="18"/>
                <w:szCs w:val="18"/>
              </w:rPr>
              <w:t>b2</w:t>
            </w:r>
            <w:r>
              <w:rPr>
                <w:rFonts w:ascii="Times New Roman" w:hAnsi="Times New Roman" w:cs="Times New Roman" w:eastAsia="Times New Roman" w:hint="default"/>
                <w:sz w:val="18"/>
                <w:szCs w:val="18"/>
              </w:rPr>
              <w:t> </w:t>
            </w:r>
            <w:r>
              <w:rPr>
                <w:rFonts w:ascii="宋体" w:hAnsi="宋体" w:cs="宋体" w:eastAsia="宋体" w:hint="default"/>
                <w:sz w:val="18"/>
                <w:szCs w:val="18"/>
              </w:rPr>
              <w:t>考虑补偿性控制措施和实际偏差率 后，该缺陷总体影响水平低于公司合并报 表资产总额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，但高于公司合并报表资产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，直接认定为重要缺陷。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在将导致的直接财产损失金额不超过</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8"/>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5483"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顺利办信息服务股份有限公司全体股东： </w:t>
            </w:r>
            <w:r>
              <w:rPr>
                <w:rFonts w:ascii="宋体" w:hAnsi="宋体" w:cs="宋体" w:eastAsia="宋体" w:hint="default"/>
                <w:spacing w:val="-1"/>
                <w:sz w:val="18"/>
                <w:szCs w:val="18"/>
              </w:rPr>
              <w:t>按照《企业内部控制审计指引》及中国注册会计师执业准则的相关要求，我们审计了顺利办信息服务股份有限公司（以下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简称“顺利办公司”）</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日的财务报告内部控制的有效性。</w:t>
            </w:r>
          </w:p>
          <w:p>
            <w:pPr>
              <w:pStyle w:val="TableParagraph"/>
              <w:spacing w:line="338"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一、顺利办公司对内部控制的责任 </w:t>
            </w:r>
            <w:r>
              <w:rPr>
                <w:rFonts w:ascii="宋体" w:hAnsi="宋体" w:cs="宋体" w:eastAsia="宋体" w:hint="default"/>
                <w:spacing w:val="-8"/>
                <w:sz w:val="18"/>
                <w:szCs w:val="18"/>
              </w:rPr>
              <w:t>按照《企业内部控制基本规范》、《企业内部控制应用指引》、《企业内部控制评价指引》的规定，建立健全和有效实施内部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控制，并评价其有效性是顺利办公司董事会的责任。</w:t>
            </w:r>
          </w:p>
          <w:p>
            <w:pPr>
              <w:pStyle w:val="TableParagraph"/>
              <w:spacing w:line="338" w:lineRule="auto" w:before="42"/>
              <w:ind w:left="22" w:right="23"/>
              <w:jc w:val="left"/>
              <w:rPr>
                <w:rFonts w:ascii="宋体" w:hAnsi="宋体" w:cs="宋体" w:eastAsia="宋体" w:hint="default"/>
                <w:sz w:val="18"/>
                <w:szCs w:val="18"/>
              </w:rPr>
            </w:pPr>
            <w:r>
              <w:rPr>
                <w:rFonts w:ascii="宋体" w:hAnsi="宋体" w:cs="宋体" w:eastAsia="宋体" w:hint="default"/>
                <w:sz w:val="18"/>
                <w:szCs w:val="18"/>
              </w:rPr>
              <w:t>二、注册会计师的责任 </w:t>
            </w:r>
            <w:r>
              <w:rPr>
                <w:rFonts w:ascii="宋体" w:hAnsi="宋体" w:cs="宋体" w:eastAsia="宋体" w:hint="default"/>
                <w:spacing w:val="-1"/>
                <w:sz w:val="18"/>
                <w:szCs w:val="18"/>
              </w:rPr>
              <w:t>我们的责任是在实施审计工作的基础上，对财务报告内部控制的有效性发表审计意见，并对注意到的非财务报告内部控制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的重大缺陷进行披露。</w:t>
            </w:r>
          </w:p>
          <w:p>
            <w:pPr>
              <w:pStyle w:val="TableParagraph"/>
              <w:spacing w:line="338" w:lineRule="auto" w:before="42"/>
              <w:ind w:left="22" w:right="23"/>
              <w:jc w:val="left"/>
              <w:rPr>
                <w:rFonts w:ascii="宋体" w:hAnsi="宋体" w:cs="宋体" w:eastAsia="宋体" w:hint="default"/>
                <w:sz w:val="18"/>
                <w:szCs w:val="18"/>
              </w:rPr>
            </w:pPr>
            <w:r>
              <w:rPr>
                <w:rFonts w:ascii="宋体" w:hAnsi="宋体" w:cs="宋体" w:eastAsia="宋体" w:hint="default"/>
                <w:sz w:val="18"/>
                <w:szCs w:val="18"/>
              </w:rPr>
              <w:t>三、内部控制的固有局限性 </w:t>
            </w:r>
            <w:r>
              <w:rPr>
                <w:rFonts w:ascii="宋体" w:hAnsi="宋体" w:cs="宋体" w:eastAsia="宋体" w:hint="default"/>
                <w:spacing w:val="-1"/>
                <w:sz w:val="18"/>
                <w:szCs w:val="18"/>
              </w:rPr>
              <w:t>内部控制具有固有局限性，存在不能防止和发现错报的可能性。此外，由于情况的变化可能导致内部控制变得不恰当，或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对控制政策和程序遵循的程度降</w:t>
            </w:r>
          </w:p>
          <w:p>
            <w:pPr>
              <w:pStyle w:val="TableParagraph"/>
              <w:spacing w:line="357" w:lineRule="auto" w:before="44"/>
              <w:ind w:left="22" w:right="3954"/>
              <w:jc w:val="left"/>
              <w:rPr>
                <w:rFonts w:ascii="宋体" w:hAnsi="宋体" w:cs="宋体" w:eastAsia="宋体" w:hint="default"/>
                <w:sz w:val="18"/>
                <w:szCs w:val="18"/>
              </w:rPr>
            </w:pPr>
            <w:r>
              <w:rPr>
                <w:rFonts w:ascii="宋体" w:hAnsi="宋体" w:cs="宋体" w:eastAsia="宋体" w:hint="default"/>
                <w:sz w:val="18"/>
                <w:szCs w:val="18"/>
              </w:rPr>
              <w:t>低，根据内部控制审计结果推测未来内部控制的有效性具有一定风险。 四、财务报告内部控制审计意见</w:t>
            </w:r>
          </w:p>
          <w:p>
            <w:pPr>
              <w:pStyle w:val="TableParagraph"/>
              <w:spacing w:line="302" w:lineRule="auto" w:before="26"/>
              <w:ind w:left="22" w:right="84"/>
              <w:jc w:val="left"/>
              <w:rPr>
                <w:rFonts w:ascii="宋体" w:hAnsi="宋体" w:cs="宋体" w:eastAsia="宋体" w:hint="default"/>
                <w:sz w:val="18"/>
                <w:szCs w:val="18"/>
              </w:rPr>
            </w:pPr>
            <w:r>
              <w:rPr>
                <w:rFonts w:ascii="宋体" w:hAnsi="宋体" w:cs="宋体" w:eastAsia="宋体" w:hint="default"/>
                <w:sz w:val="18"/>
                <w:szCs w:val="18"/>
              </w:rPr>
              <w:t>我们认为，顺利办股份有限公司于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 有效的财务报告内部控制。</w:t>
            </w:r>
          </w:p>
        </w:tc>
      </w:tr>
    </w:tbl>
    <w:p>
      <w:pPr>
        <w:spacing w:after="0" w:line="30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2">
              <w:r>
                <w:rPr>
                  <w:rFonts w:ascii="Times New Roman" w:hAnsi="Times New Roman" w:cs="Times New Roman" w:eastAsia="Times New Roman" w:hint="default"/>
                  <w:sz w:val="18"/>
                  <w:szCs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_TOC_250002" w:id="154"/>
      <w:bookmarkStart w:name="第十节 公司债券相关情况" w:id="155"/>
      <w:r>
        <w:rPr>
          <w:b w:val="0"/>
          <w:bCs w:val="0"/>
        </w:rPr>
      </w:r>
      <w:r>
        <w:rPr/>
        <w:t>第十节</w:t>
      </w:r>
      <w:r>
        <w:rPr>
          <w:spacing w:val="-9"/>
        </w:rPr>
        <w:t> </w:t>
      </w:r>
      <w:r>
        <w:rPr/>
        <w:t>公司债券相关情况</w:t>
      </w:r>
      <w:bookmarkEnd w:id="154"/>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_TOC_250001" w:id="156"/>
      <w:bookmarkStart w:name="第十一节 财务报告" w:id="157"/>
      <w:r>
        <w:rPr>
          <w:b w:val="0"/>
          <w:bCs w:val="0"/>
        </w:rPr>
      </w:r>
      <w:r>
        <w:rPr/>
        <w:t>第十一节</w:t>
      </w:r>
      <w:r>
        <w:rPr>
          <w:spacing w:val="-6"/>
        </w:rPr>
        <w:t> </w:t>
      </w:r>
      <w:r>
        <w:rPr/>
        <w:t>财务报告</w:t>
      </w:r>
      <w:bookmarkEnd w:id="15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[2019]63050011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童成录、赵秀梅</w:t>
            </w:r>
          </w:p>
        </w:tc>
      </w:tr>
    </w:tbl>
    <w:p>
      <w:pPr>
        <w:pStyle w:val="BodyText"/>
        <w:spacing w:line="240" w:lineRule="auto" w:before="51"/>
        <w:ind w:left="2605" w:right="3581"/>
        <w:jc w:val="center"/>
      </w:pPr>
      <w:r>
        <w:rPr/>
        <w:t>审计报告正文</w:t>
      </w:r>
    </w:p>
    <w:p>
      <w:pPr>
        <w:pStyle w:val="BodyText"/>
        <w:spacing w:line="240" w:lineRule="auto" w:before="115"/>
        <w:ind w:right="0"/>
        <w:jc w:val="left"/>
      </w:pPr>
      <w:r>
        <w:rPr/>
        <w:t>顺利办信息服务股份有限公司全体股东：</w:t>
      </w:r>
    </w:p>
    <w:p>
      <w:pPr>
        <w:spacing w:line="240" w:lineRule="auto" w:before="4"/>
        <w:rPr>
          <w:rFonts w:ascii="宋体" w:hAnsi="宋体" w:cs="宋体" w:eastAsia="宋体" w:hint="default"/>
          <w:sz w:val="26"/>
          <w:szCs w:val="26"/>
        </w:rPr>
      </w:pPr>
    </w:p>
    <w:p>
      <w:pPr>
        <w:pStyle w:val="BodyText"/>
        <w:spacing w:line="316" w:lineRule="auto" w:before="44"/>
        <w:ind w:right="1118"/>
        <w:jc w:val="left"/>
      </w:pPr>
      <w:r>
        <w:rPr/>
        <w:t>一、审计意见 </w:t>
      </w:r>
      <w:r>
        <w:rPr>
          <w:spacing w:val="-2"/>
        </w:rPr>
        <w:t>我们审计了顺利办信息服务股份有限公司（以下简称“顺利办公司”）财务报表，包括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日的合并及公司资产负</w:t>
      </w:r>
      <w:r>
        <w:rPr>
          <w:spacing w:val="-57"/>
        </w:rPr>
        <w:t> </w:t>
      </w:r>
      <w:r>
        <w:rPr/>
        <w:t>债表，</w:t>
      </w:r>
      <w:r>
        <w:rPr>
          <w:rFonts w:ascii="宋体" w:hAnsi="宋体" w:cs="宋体" w:eastAsia="宋体" w:hint="default"/>
        </w:rPr>
        <w:t>2018</w:t>
      </w: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我们认为，后附的财务报表在所有重大方面按照企业会计准则的规定编制，公允反映了顺利办公司</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日合并及公</w:t>
      </w:r>
      <w:r>
        <w:rPr>
          <w:spacing w:val="-55"/>
        </w:rPr>
        <w:t> </w:t>
      </w:r>
      <w:r>
        <w:rPr/>
        <w:t>司的财务状况以及</w:t>
      </w:r>
      <w:r>
        <w:rPr>
          <w:rFonts w:ascii="宋体" w:hAnsi="宋体" w:cs="宋体" w:eastAsia="宋体" w:hint="default"/>
        </w:rPr>
        <w:t>2018</w:t>
      </w:r>
      <w:r>
        <w:rPr/>
        <w:t>年度合并及公司的经营成果和现金流量。</w:t>
      </w:r>
    </w:p>
    <w:p>
      <w:pPr>
        <w:spacing w:line="240" w:lineRule="auto" w:before="4"/>
        <w:rPr>
          <w:rFonts w:ascii="宋体" w:hAnsi="宋体" w:cs="宋体" w:eastAsia="宋体" w:hint="default"/>
          <w:sz w:val="25"/>
          <w:szCs w:val="25"/>
        </w:rPr>
      </w:pPr>
    </w:p>
    <w:p>
      <w:pPr>
        <w:pStyle w:val="BodyText"/>
        <w:spacing w:line="316" w:lineRule="auto"/>
        <w:ind w:right="0"/>
        <w:jc w:val="left"/>
      </w:pPr>
      <w:r>
        <w:rPr/>
        <w:t>二、形成审计意见的基础 </w:t>
      </w:r>
      <w:r>
        <w:rPr>
          <w:spacing w:val="-2"/>
        </w:rPr>
        <w:t>我们按照中国注册会计师审计准则的规定执行了审计工作。审计报告的“注册会计师对财务报表审计的责任”部分进一步阐</w:t>
      </w:r>
      <w:r>
        <w:rPr>
          <w:spacing w:val="-66"/>
        </w:rPr>
        <w:t> </w:t>
      </w:r>
      <w:r>
        <w:rPr>
          <w:spacing w:val="-66"/>
        </w:rPr>
      </w:r>
      <w:r>
        <w:rPr>
          <w:spacing w:val="-2"/>
        </w:rPr>
        <w:t>述了我们在这些准则下的责任。按照中国注册会计师职业道德守则，我们独立于顺利办公司，并履行了职业道德方面的其他</w:t>
      </w:r>
      <w:r>
        <w:rPr>
          <w:spacing w:val="-66"/>
        </w:rPr>
        <w:t> </w:t>
      </w:r>
      <w:r>
        <w:rPr>
          <w:spacing w:val="-66"/>
        </w:rPr>
      </w:r>
      <w:r>
        <w:rPr/>
        <w:t>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right="0"/>
        <w:jc w:val="left"/>
      </w:pPr>
      <w:r>
        <w:rPr/>
        <w:t>三、关键审计事项 </w:t>
      </w:r>
      <w:r>
        <w:rPr>
          <w:spacing w:val="-2"/>
        </w:rPr>
        <w:t>关键审计事项是我们根据职业判断，认为对本期财务报表审计最为重要的事项。这些事项的应对以对财务报表整体进行审计</w:t>
      </w:r>
      <w:r>
        <w:rPr>
          <w:spacing w:val="-63"/>
        </w:rPr>
        <w:t> </w:t>
      </w:r>
      <w:r>
        <w:rPr>
          <w:spacing w:val="-63"/>
        </w:rPr>
      </w:r>
      <w:r>
        <w:rPr/>
        <w:t>并形成审计意见为背景，我们不对这些事项单独发表意见。我们确定下列事项是需要在审计报告中沟通的关键审计事项。</w:t>
      </w:r>
    </w:p>
    <w:p>
      <w:pPr>
        <w:pStyle w:val="BodyText"/>
        <w:spacing w:line="316" w:lineRule="auto" w:before="19"/>
        <w:ind w:right="9492"/>
        <w:jc w:val="left"/>
      </w:pPr>
      <w:r>
        <w:rPr/>
        <w:t>（一）收入确认 </w:t>
      </w:r>
      <w:r>
        <w:rPr>
          <w:rFonts w:ascii="宋体" w:hAnsi="宋体" w:cs="宋体" w:eastAsia="宋体" w:hint="default"/>
        </w:rPr>
        <w:t>1</w:t>
      </w:r>
      <w:r>
        <w:rPr/>
        <w:t>、事项描述</w:t>
      </w:r>
    </w:p>
    <w:p>
      <w:pPr>
        <w:pStyle w:val="BodyText"/>
        <w:spacing w:line="316" w:lineRule="auto" w:before="19"/>
        <w:ind w:right="1132"/>
        <w:jc w:val="both"/>
      </w:pPr>
      <w:r>
        <w:rPr>
          <w:spacing w:val="-2"/>
        </w:rPr>
        <w:t>如后附财务报表附注四、</w:t>
      </w:r>
      <w:r>
        <w:rPr>
          <w:rFonts w:ascii="宋体" w:hAnsi="宋体" w:cs="宋体" w:eastAsia="宋体" w:hint="default"/>
          <w:spacing w:val="-2"/>
        </w:rPr>
        <w:t>25</w:t>
      </w:r>
      <w:r>
        <w:rPr>
          <w:spacing w:val="-2"/>
        </w:rPr>
        <w:t>“收入”及财务报表附注六、</w:t>
      </w:r>
      <w:r>
        <w:rPr>
          <w:rFonts w:ascii="宋体" w:hAnsi="宋体" w:cs="宋体" w:eastAsia="宋体" w:hint="default"/>
          <w:spacing w:val="-2"/>
        </w:rPr>
        <w:t>30</w:t>
      </w:r>
      <w:r>
        <w:rPr>
          <w:spacing w:val="-2"/>
        </w:rPr>
        <w:t>“营业收入和营业成本”所述，顺利办公司主要从事企业综合服</w:t>
      </w:r>
      <w:r>
        <w:rPr>
          <w:spacing w:val="-64"/>
        </w:rPr>
        <w:t> </w:t>
      </w:r>
      <w:r>
        <w:rPr>
          <w:spacing w:val="-64"/>
        </w:rPr>
      </w:r>
      <w:r>
        <w:rPr/>
        <w:t>务业务。</w:t>
      </w:r>
      <w:r>
        <w:rPr>
          <w:rFonts w:ascii="宋体" w:hAnsi="宋体" w:cs="宋体" w:eastAsia="宋体" w:hint="default"/>
        </w:rPr>
        <w:t>2018</w:t>
      </w:r>
      <w:r>
        <w:rPr/>
        <w:t>年度实现营业收入</w:t>
      </w:r>
      <w:r>
        <w:rPr>
          <w:rFonts w:ascii="宋体" w:hAnsi="宋体" w:cs="宋体" w:eastAsia="宋体" w:hint="default"/>
        </w:rPr>
        <w:t>73,514.00</w:t>
      </w:r>
      <w:r>
        <w:rPr/>
        <w:t>万元，因收入金额重大且为顺利办公司的关键业绩指标之一，从而存在管理层为 了达到特定目标或预期而操作收入确认时点的固有风险，我们将顺利办公司收入确认识别为关键审计事项。</w:t>
      </w:r>
    </w:p>
    <w:p>
      <w:pPr>
        <w:pStyle w:val="BodyText"/>
        <w:spacing w:line="316" w:lineRule="auto" w:before="19"/>
        <w:ind w:right="6972"/>
        <w:jc w:val="left"/>
      </w:pPr>
      <w:r>
        <w:rPr>
          <w:rFonts w:ascii="宋体" w:hAnsi="宋体" w:cs="宋体" w:eastAsia="宋体" w:hint="default"/>
        </w:rPr>
        <w:t>2</w:t>
      </w:r>
      <w:r>
        <w:rPr/>
        <w:t>、审计应对 针对收入确认，我们实施的审计程序主要包括：</w:t>
      </w:r>
    </w:p>
    <w:p>
      <w:pPr>
        <w:pStyle w:val="BodyText"/>
        <w:spacing w:line="240" w:lineRule="auto" w:before="19"/>
        <w:ind w:right="0"/>
        <w:jc w:val="left"/>
      </w:pPr>
      <w:r>
        <w:rPr/>
        <w:t>（</w:t>
      </w:r>
      <w:r>
        <w:rPr>
          <w:rFonts w:ascii="宋体" w:hAnsi="宋体" w:cs="宋体" w:eastAsia="宋体" w:hint="default"/>
        </w:rPr>
        <w:t>1</w:t>
      </w:r>
      <w:r>
        <w:rPr/>
        <w:t>）评价、测试与收入确认相关的关键内部控制的设计和运行的有效性。</w:t>
      </w:r>
    </w:p>
    <w:p>
      <w:pPr>
        <w:pStyle w:val="BodyText"/>
        <w:spacing w:line="316" w:lineRule="auto" w:before="76"/>
        <w:ind w:right="1122"/>
        <w:jc w:val="left"/>
      </w:pPr>
      <w:r>
        <w:rPr/>
        <w:t>（</w:t>
      </w:r>
      <w:r>
        <w:rPr>
          <w:rFonts w:ascii="宋体" w:hAnsi="宋体" w:cs="宋体" w:eastAsia="宋体" w:hint="default"/>
        </w:rPr>
        <w:t>2</w:t>
      </w:r>
      <w:r>
        <w:rPr/>
        <w:t>）选取样本检查服务合同，识别与提供服务所有权上的风险和报酬转移相关的合同条款与条件，评价顺利办公司服务收 入确认方法是否符合企业会计准则的相关规定。</w:t>
      </w:r>
    </w:p>
    <w:p>
      <w:pPr>
        <w:pStyle w:val="BodyText"/>
        <w:spacing w:line="316" w:lineRule="auto" w:before="19"/>
        <w:ind w:right="1122"/>
        <w:jc w:val="left"/>
      </w:pPr>
      <w:r>
        <w:rPr/>
        <w:t>（</w:t>
      </w:r>
      <w:r>
        <w:rPr>
          <w:rFonts w:ascii="宋体" w:hAnsi="宋体" w:cs="宋体" w:eastAsia="宋体" w:hint="default"/>
        </w:rPr>
        <w:t>3</w:t>
      </w:r>
      <w:r>
        <w:rPr/>
        <w:t>）针对本年度记录的交易选取样本，核对服务合同或协议、检查服务提供完毕的证据，评价相关收入确认是否符合顺利 办公司收入确认的会计政策。</w:t>
      </w:r>
    </w:p>
    <w:p>
      <w:pPr>
        <w:pStyle w:val="BodyText"/>
        <w:spacing w:line="240" w:lineRule="auto" w:before="19"/>
        <w:ind w:right="0"/>
        <w:jc w:val="left"/>
      </w:pPr>
      <w:r>
        <w:rPr/>
        <w:t>（</w:t>
      </w:r>
      <w:r>
        <w:rPr>
          <w:rFonts w:ascii="宋体" w:hAnsi="宋体" w:cs="宋体" w:eastAsia="宋体" w:hint="default"/>
        </w:rPr>
        <w:t>4</w:t>
      </w:r>
      <w:r>
        <w:rPr/>
        <w:t>）选择交易金额较大的客户，抽样执行函证程序。</w:t>
      </w:r>
    </w:p>
    <w:p>
      <w:pPr>
        <w:pStyle w:val="BodyText"/>
        <w:spacing w:line="240" w:lineRule="auto" w:before="76"/>
        <w:ind w:right="0"/>
        <w:jc w:val="left"/>
      </w:pPr>
      <w:r>
        <w:rPr/>
        <w:t>（</w:t>
      </w:r>
      <w:r>
        <w:rPr>
          <w:rFonts w:ascii="宋体" w:hAnsi="宋体" w:cs="宋体" w:eastAsia="宋体" w:hint="default"/>
        </w:rPr>
        <w:t>5</w:t>
      </w:r>
      <w:r>
        <w:rPr/>
        <w:t>）针对资产负债表日前后的交易选取样本，检查收入确认支持性文件，评价收入是否被记录于恰当的会计期间。</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w:t>
      </w:r>
      <w:r>
        <w:rPr>
          <w:rFonts w:ascii="宋体" w:hAnsi="宋体" w:cs="宋体" w:eastAsia="宋体" w:hint="default"/>
        </w:rPr>
        <w:t>6</w:t>
      </w:r>
      <w:r>
        <w:rPr/>
        <w:t>）检查与收入确认相关的信息在财务报表中的列报与披露是否充分、适当。</w:t>
      </w:r>
    </w:p>
    <w:p>
      <w:pPr>
        <w:pStyle w:val="BodyText"/>
        <w:spacing w:line="316" w:lineRule="auto" w:before="76"/>
        <w:ind w:right="9312"/>
        <w:jc w:val="left"/>
      </w:pPr>
      <w:r>
        <w:rPr/>
        <w:t>（二）商誉的减值 </w:t>
      </w:r>
      <w:r>
        <w:rPr>
          <w:rFonts w:ascii="宋体" w:hAnsi="宋体" w:cs="宋体" w:eastAsia="宋体" w:hint="default"/>
        </w:rPr>
        <w:t>1</w:t>
      </w:r>
      <w:r>
        <w:rPr/>
        <w:t>、事项描述</w:t>
      </w:r>
    </w:p>
    <w:p>
      <w:pPr>
        <w:pStyle w:val="BodyText"/>
        <w:spacing w:line="316" w:lineRule="auto" w:before="19"/>
        <w:ind w:right="1118"/>
        <w:jc w:val="left"/>
      </w:pPr>
      <w:r>
        <w:rPr>
          <w:spacing w:val="-2"/>
        </w:rPr>
        <w:t>如后附的财务报表附注六、</w:t>
      </w:r>
      <w:r>
        <w:rPr>
          <w:rFonts w:ascii="宋体" w:hAnsi="宋体" w:cs="宋体" w:eastAsia="宋体" w:hint="default"/>
          <w:spacing w:val="-2"/>
        </w:rPr>
        <w:t>14</w:t>
      </w:r>
      <w:r>
        <w:rPr>
          <w:spacing w:val="-2"/>
        </w:rPr>
        <w:t>“商誉”、财务报表附注四、</w:t>
      </w:r>
      <w:r>
        <w:rPr>
          <w:rFonts w:ascii="宋体" w:hAnsi="宋体" w:cs="宋体" w:eastAsia="宋体" w:hint="default"/>
          <w:spacing w:val="-2"/>
        </w:rPr>
        <w:t>20</w:t>
      </w:r>
      <w:r>
        <w:rPr>
          <w:spacing w:val="-2"/>
        </w:rPr>
        <w:t>“长期资产减值”所述，顺利办公司截至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日合并</w:t>
      </w:r>
      <w:r>
        <w:rPr>
          <w:spacing w:val="-55"/>
        </w:rPr>
        <w:t> </w:t>
      </w:r>
      <w:r>
        <w:rPr>
          <w:spacing w:val="-55"/>
        </w:rPr>
      </w:r>
      <w:r>
        <w:rPr>
          <w:spacing w:val="-2"/>
        </w:rPr>
        <w:t>财务报表的商誉账面原值</w:t>
      </w:r>
      <w:r>
        <w:rPr>
          <w:rFonts w:ascii="宋体" w:hAnsi="宋体" w:cs="宋体" w:eastAsia="宋体" w:hint="default"/>
          <w:spacing w:val="-2"/>
        </w:rPr>
        <w:t>284,949.35</w:t>
      </w:r>
      <w:r>
        <w:rPr>
          <w:spacing w:val="-2"/>
        </w:rPr>
        <w:t>万元，经评估商誉未发生减值，商誉占合并资产总额</w:t>
      </w:r>
      <w:r>
        <w:rPr>
          <w:rFonts w:ascii="宋体" w:hAnsi="宋体" w:cs="宋体" w:eastAsia="宋体" w:hint="default"/>
          <w:spacing w:val="-2"/>
        </w:rPr>
        <w:t>68.39%</w:t>
      </w:r>
      <w:r>
        <w:rPr>
          <w:spacing w:val="-2"/>
        </w:rPr>
        <w:t>，是合并资产负债表中重要</w:t>
      </w:r>
      <w:r>
        <w:rPr>
          <w:spacing w:val="-50"/>
        </w:rPr>
        <w:t> </w:t>
      </w:r>
      <w:r>
        <w:rPr>
          <w:spacing w:val="-50"/>
        </w:rPr>
      </w:r>
      <w:r>
        <w:rPr/>
        <w:t>的组成部分。 管理层于每年度终了对商誉进行减值测试，聘请外部独立评估机构执行以商誉减值测试为目的相关评估工作并出具评估报 </w:t>
      </w:r>
      <w:r>
        <w:rPr>
          <w:spacing w:val="-2"/>
        </w:rPr>
        <w:t>告，管理层据此对商誉进行减值测试，进而评估是否需要计提商誉减值准备。由于商誉金额重大，且管理层在测试时需要对</w:t>
      </w:r>
      <w:r>
        <w:rPr>
          <w:spacing w:val="-66"/>
        </w:rPr>
        <w:t> </w:t>
      </w:r>
      <w:r>
        <w:rPr>
          <w:spacing w:val="-66"/>
        </w:rPr>
      </w:r>
      <w:r>
        <w:rPr/>
        <w:t>预期未来现金流量和折现率等关键假设作出重大判断，因此，我们将商誉减值确定为关键审计事项。</w:t>
      </w:r>
    </w:p>
    <w:p>
      <w:pPr>
        <w:pStyle w:val="BodyText"/>
        <w:spacing w:line="316" w:lineRule="auto" w:before="19"/>
        <w:ind w:right="6972"/>
        <w:jc w:val="left"/>
      </w:pPr>
      <w:r>
        <w:rPr>
          <w:rFonts w:ascii="宋体" w:hAnsi="宋体" w:cs="宋体" w:eastAsia="宋体" w:hint="default"/>
        </w:rPr>
        <w:t>2</w:t>
      </w:r>
      <w:r>
        <w:rPr/>
        <w:t>、审计应对 针对商誉减值，我们实施的审计程序主要包括：</w:t>
      </w:r>
    </w:p>
    <w:p>
      <w:pPr>
        <w:pStyle w:val="BodyText"/>
        <w:spacing w:line="240" w:lineRule="auto" w:before="19"/>
        <w:ind w:right="0"/>
        <w:jc w:val="left"/>
      </w:pPr>
      <w:r>
        <w:rPr/>
        <w:t>（</w:t>
      </w:r>
      <w:r>
        <w:rPr>
          <w:rFonts w:ascii="宋体" w:hAnsi="宋体" w:cs="宋体" w:eastAsia="宋体" w:hint="default"/>
        </w:rPr>
        <w:t>1</w:t>
      </w:r>
      <w:r>
        <w:rPr/>
        <w:t>）评价并测试与商誉减值测试相关的内部控制，包括对关键假设的采用及减值计提金额的复核和审批。</w:t>
      </w:r>
    </w:p>
    <w:p>
      <w:pPr>
        <w:pStyle w:val="BodyText"/>
        <w:spacing w:line="240" w:lineRule="auto" w:before="76"/>
        <w:ind w:right="0"/>
        <w:jc w:val="left"/>
      </w:pPr>
      <w:r>
        <w:rPr/>
        <w:t>（</w:t>
      </w:r>
      <w:r>
        <w:rPr>
          <w:rFonts w:ascii="宋体" w:hAnsi="宋体" w:cs="宋体" w:eastAsia="宋体" w:hint="default"/>
        </w:rPr>
        <w:t>2</w:t>
      </w:r>
      <w:r>
        <w:rPr/>
        <w:t>）了解并评价管理层对商誉所属资产组的认定，以及商誉减值测试的政策和方法。</w:t>
      </w:r>
    </w:p>
    <w:p>
      <w:pPr>
        <w:pStyle w:val="BodyText"/>
        <w:spacing w:line="240" w:lineRule="auto" w:before="76"/>
        <w:ind w:right="0"/>
        <w:jc w:val="left"/>
      </w:pPr>
      <w:r>
        <w:rPr/>
        <w:t>（</w:t>
      </w:r>
      <w:r>
        <w:rPr>
          <w:rFonts w:ascii="宋体" w:hAnsi="宋体" w:cs="宋体" w:eastAsia="宋体" w:hint="default"/>
        </w:rPr>
        <w:t>3</w:t>
      </w:r>
      <w:r>
        <w:rPr/>
        <w:t>）评价管理层聘请的协助其进行减值测试的外部独立评估机构的胜任能力、专业素质和客观性。</w:t>
      </w:r>
    </w:p>
    <w:p>
      <w:pPr>
        <w:pStyle w:val="BodyText"/>
        <w:spacing w:line="240" w:lineRule="auto" w:before="76"/>
        <w:ind w:right="0"/>
        <w:jc w:val="left"/>
      </w:pPr>
      <w:r>
        <w:rPr/>
        <w:t>（</w:t>
      </w:r>
      <w:r>
        <w:rPr>
          <w:rFonts w:ascii="宋体" w:hAnsi="宋体" w:cs="宋体" w:eastAsia="宋体" w:hint="default"/>
        </w:rPr>
        <w:t>4</w:t>
      </w:r>
      <w:r>
        <w:rPr/>
        <w:t>）与外部独立评估机构进行沟通，了解其评估范围，以及评估思路和方法。</w:t>
      </w:r>
    </w:p>
    <w:p>
      <w:pPr>
        <w:pStyle w:val="BodyText"/>
        <w:spacing w:line="316" w:lineRule="auto" w:before="76"/>
        <w:ind w:right="1122"/>
        <w:jc w:val="left"/>
      </w:pPr>
      <w:r>
        <w:rPr/>
        <w:t>（</w:t>
      </w:r>
      <w:r>
        <w:rPr>
          <w:rFonts w:ascii="宋体" w:hAnsi="宋体" w:cs="宋体" w:eastAsia="宋体" w:hint="default"/>
        </w:rPr>
        <w:t>5</w:t>
      </w:r>
      <w:r>
        <w:rPr/>
        <w:t>）获取外部独立评估机构出具的评估报告，在本所估值专家的协助下，评价商誉减值测试过程中所采用方法的恰当性、 关键假设和重要参数（如增长率、折现率等）的合理性。</w:t>
      </w:r>
    </w:p>
    <w:p>
      <w:pPr>
        <w:pStyle w:val="BodyText"/>
        <w:spacing w:line="240" w:lineRule="auto" w:before="19"/>
        <w:ind w:right="0"/>
        <w:jc w:val="left"/>
      </w:pPr>
      <w:r>
        <w:rPr/>
        <w:t>（</w:t>
      </w:r>
      <w:r>
        <w:rPr>
          <w:rFonts w:ascii="宋体" w:hAnsi="宋体" w:cs="宋体" w:eastAsia="宋体" w:hint="default"/>
        </w:rPr>
        <w:t>6</w:t>
      </w:r>
      <w:r>
        <w:rPr/>
        <w:t>）复核商誉减值计算的正确性。</w:t>
      </w:r>
    </w:p>
    <w:p>
      <w:pPr>
        <w:pStyle w:val="BodyText"/>
        <w:spacing w:line="240" w:lineRule="auto" w:before="76"/>
        <w:ind w:right="0"/>
        <w:jc w:val="left"/>
      </w:pPr>
      <w:r>
        <w:rPr/>
        <w:t>（</w:t>
      </w:r>
      <w:r>
        <w:rPr>
          <w:rFonts w:ascii="宋体" w:hAnsi="宋体" w:cs="宋体" w:eastAsia="宋体" w:hint="default"/>
        </w:rPr>
        <w:t>7</w:t>
      </w:r>
      <w:r>
        <w:rPr/>
        <w:t>）评价财务报表附注中与商誉减值相关的披露。</w:t>
      </w:r>
    </w:p>
    <w:p>
      <w:pPr>
        <w:spacing w:line="240" w:lineRule="auto" w:before="0"/>
        <w:rPr>
          <w:rFonts w:ascii="宋体" w:hAnsi="宋体" w:cs="宋体" w:eastAsia="宋体" w:hint="default"/>
          <w:sz w:val="18"/>
          <w:szCs w:val="18"/>
        </w:rPr>
      </w:pPr>
    </w:p>
    <w:p>
      <w:pPr>
        <w:pStyle w:val="BodyText"/>
        <w:spacing w:line="316" w:lineRule="auto" w:before="153"/>
        <w:ind w:right="1032"/>
        <w:jc w:val="left"/>
      </w:pPr>
      <w:r>
        <w:rPr/>
        <w:t>四、其他信息 顺利办公司管理层对其他信息负责。其他信息包括</w:t>
      </w:r>
      <w:r>
        <w:rPr>
          <w:rFonts w:ascii="宋体" w:hAnsi="宋体" w:cs="宋体" w:eastAsia="宋体" w:hint="default"/>
        </w:rPr>
        <w:t>2018</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p>
    <w:p>
      <w:pPr>
        <w:spacing w:line="240" w:lineRule="auto" w:before="4"/>
        <w:rPr>
          <w:rFonts w:ascii="宋体" w:hAnsi="宋体" w:cs="宋体" w:eastAsia="宋体" w:hint="default"/>
          <w:sz w:val="25"/>
          <w:szCs w:val="25"/>
        </w:rPr>
      </w:pPr>
    </w:p>
    <w:p>
      <w:pPr>
        <w:pStyle w:val="BodyText"/>
        <w:spacing w:line="316" w:lineRule="auto"/>
        <w:ind w:right="0"/>
        <w:jc w:val="left"/>
      </w:pPr>
      <w:r>
        <w:rPr/>
        <w:t>五、管理层和治理层对财务报表的责任 </w:t>
      </w:r>
      <w:r>
        <w:rPr>
          <w:spacing w:val="-2"/>
        </w:rPr>
        <w:t>顺利办公司管理层（以下简称管理层）负责按照企业会计准则的规定编制财务报表，使其实现公允反映，并设计、执行和维</w:t>
      </w:r>
      <w:r>
        <w:rPr>
          <w:spacing w:val="-66"/>
        </w:rPr>
        <w:t> </w:t>
      </w:r>
      <w:r>
        <w:rPr>
          <w:spacing w:val="-66"/>
        </w:rPr>
      </w:r>
      <w:r>
        <w:rPr/>
        <w:t>护必要的内部控制，以使财务报表不存在由于舞弊或错误导致的重大错报。 </w:t>
      </w:r>
      <w:r>
        <w:rPr>
          <w:spacing w:val="-2"/>
        </w:rPr>
        <w:t>在编制财务报表时，管理层负责评估顺利办公司的持续经营能力，披露与持续经营相关的事项（如适用），并运用持续经营</w:t>
      </w:r>
      <w:r>
        <w:rPr>
          <w:spacing w:val="-66"/>
        </w:rPr>
        <w:t> </w:t>
      </w:r>
      <w:r>
        <w:rPr>
          <w:spacing w:val="-66"/>
        </w:rPr>
      </w:r>
      <w:r>
        <w:rPr/>
        <w:t>假设，除非管理层计划清算顺利办公司、终止运营或别无其他现实的选择。</w:t>
      </w:r>
    </w:p>
    <w:p>
      <w:pPr>
        <w:pStyle w:val="BodyText"/>
        <w:spacing w:line="316" w:lineRule="auto" w:before="19"/>
        <w:ind w:right="7152"/>
        <w:jc w:val="left"/>
      </w:pPr>
      <w:r>
        <w:rPr/>
        <w:t>治理层负责监督顺利办公司的财务报告过程。 六、注册会计师对财务报表审计的责任</w:t>
      </w:r>
    </w:p>
    <w:p>
      <w:pPr>
        <w:pStyle w:val="BodyText"/>
        <w:spacing w:line="316" w:lineRule="auto" w:before="19"/>
        <w:ind w:right="1032"/>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right="0"/>
        <w:jc w:val="left"/>
      </w:pPr>
      <w:r>
        <w:rPr/>
        <w:t>在按照审计准则执行审计工作的过程中，我们运用职业判断，并保持职业怀疑。同时，我们也执行以下工作：</w:t>
      </w:r>
    </w:p>
    <w:p>
      <w:pPr>
        <w:pStyle w:val="BodyText"/>
        <w:spacing w:line="319" w:lineRule="auto" w:before="76"/>
        <w:ind w:right="1130"/>
        <w:jc w:val="both"/>
      </w:pPr>
      <w:r>
        <w:rPr>
          <w:spacing w:val="-2"/>
        </w:rPr>
        <w:t>（一）识别和评估由于舞弊或错误导致的财务报表重大错报风险，设计和实施审计程序以应对这些风险，并获取充分、适当</w:t>
      </w:r>
      <w:r>
        <w:rPr>
          <w:spacing w:val="-66"/>
        </w:rPr>
        <w:t> </w:t>
      </w:r>
      <w:r>
        <w:rPr>
          <w:spacing w:val="-66"/>
        </w:rPr>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17"/>
        <w:ind w:right="0"/>
        <w:jc w:val="left"/>
      </w:pPr>
      <w:r>
        <w:rPr/>
        <w:t>（二）了解与审计相关的内部控制，以设计恰当的审计程序。</w:t>
      </w:r>
    </w:p>
    <w:p>
      <w:pPr>
        <w:pStyle w:val="BodyText"/>
        <w:spacing w:line="240" w:lineRule="auto" w:before="76"/>
        <w:ind w:right="0"/>
        <w:jc w:val="left"/>
      </w:pPr>
      <w:r>
        <w:rPr/>
        <w:t>（三）评价管理层选用会计政策的恰当性和作出会计估计及相关披露的合理性。</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（四）对管理层使用持续经营假设的恰当性得出结论。同时，根据获取的审计证据，就可能导致对顺利办公司持续经营能力</w:t>
      </w:r>
      <w:r>
        <w:rPr>
          <w:spacing w:val="-66"/>
        </w:rPr>
        <w:t> </w:t>
      </w:r>
      <w:r>
        <w:rPr>
          <w:spacing w:val="-66"/>
        </w:rPr>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截至审计报告日可获得的信息。然而，未来的事项或情况可能导致顺利办公司不能持续经营。</w:t>
      </w:r>
    </w:p>
    <w:p>
      <w:pPr>
        <w:pStyle w:val="BodyText"/>
        <w:spacing w:line="240" w:lineRule="auto" w:before="19"/>
        <w:ind w:right="0"/>
        <w:jc w:val="left"/>
      </w:pPr>
      <w:r>
        <w:rPr/>
        <w:t>（五）评价财务报表的总体列报、结构和内容（包括披露），并评价财务报表是否公允反映相关交易和事项。</w:t>
      </w:r>
    </w:p>
    <w:p>
      <w:pPr>
        <w:pStyle w:val="BodyText"/>
        <w:spacing w:line="316" w:lineRule="auto" w:before="76"/>
        <w:ind w:right="1032"/>
        <w:jc w:val="left"/>
      </w:pPr>
      <w:r>
        <w:rPr>
          <w:spacing w:val="-2"/>
        </w:rPr>
        <w:t>（六）就顺利办公司中实体或业务活动的财务信息获取充分、适当的审计证据，以对财务报表发表意见。我们负责指导、监</w:t>
      </w:r>
      <w:r>
        <w:rPr>
          <w:spacing w:val="-66"/>
        </w:rPr>
        <w:t> </w:t>
      </w:r>
      <w:r>
        <w:rPr>
          <w:spacing w:val="-66"/>
        </w:rPr>
      </w:r>
      <w:r>
        <w:rPr/>
        <w:t>督和执行集团审计。我们对审计意见承担全部责任。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 从与治理层沟通过的事项中，我们确定哪些事项对本期财务报表审计最为重 要，因而构成关键审计事项。我们在审计报告中描述这些事项，除非法律法规禁止公开披露这些事项，或在极少数情形下， </w:t>
      </w:r>
      <w:r>
        <w:rPr>
          <w:spacing w:val="-2"/>
        </w:rPr>
        <w:t>如果合理预期在审计报告中沟通某事项造成的负面后果超过在公众利益方面产生的益处，我们确定不应在审计报告中沟通该</w:t>
      </w:r>
      <w:r>
        <w:rPr>
          <w:spacing w:val="-64"/>
        </w:rPr>
        <w:t> </w:t>
      </w:r>
      <w:r>
        <w:rPr>
          <w:spacing w:val="-64"/>
        </w:rPr>
      </w:r>
      <w:r>
        <w:rPr/>
        <w:t>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20"/>
        <w:jc w:val="left"/>
      </w:pPr>
      <w:r>
        <w:rPr/>
        <w:t>编制单位：顺利办信息服务股份有限公司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348,732,469.00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102,484,792.97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36,585,564.22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102,484,792.97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36,585,564.22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38,826,854.22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26,602,486.48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128,121,695.49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41,001,886.41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21,295,208.04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105,354.13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958,327.56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51,974,617.36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192,726,417.47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670,245,783.17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1,258,304,120.00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40,263,140.39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51,841,543.20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354,905,679.69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641,091,965.57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52,582,320.80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40,458,413.53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43,148,456.35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102,308,918.75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102,345,491.23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51,512,949.75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32,408,489.79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2,849,493,500.83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1,652,293,177.10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3,397,170.97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5,803,654.71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1,207,412.32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1,341,285.81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3,496,129,507.03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2,579,739,528.14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4,166,375,290.20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3,838,043,648.14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36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14,792,638.52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58,156,717.86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109,439,413.67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88,341,258.73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18,672,497.77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12,965,281.28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34,449,946.95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18,047,302.51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91,483,182.66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248,999,135.44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378,900.11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378,900.26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393,172,893.64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182,906,044.58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662,010,573.21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609,415,740.40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28,980,225.14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3,363,518.75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5,153,379.93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633,948,498.62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294,773,224.77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666,292,242.51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299,926,604.70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1,328,302,815.72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909,342,345.10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765,799,353.00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2,040,431,333.05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2,087,760,045.87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-50,318,173.32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-143,597,876.20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2,783,928,517.26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2,745,459,301.11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54,143,957.22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183,242,001.93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2,838,072,474.48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2,928,701,303.04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4,166,375,290.20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3,838,043,648.14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741" w:val="left" w:leader="none"/>
        </w:tabs>
        <w:spacing w:line="240" w:lineRule="auto" w:before="44"/>
        <w:ind w:left="0" w:right="1229"/>
        <w:jc w:val="right"/>
      </w:pPr>
      <w:r>
        <w:rPr/>
        <w:t>法定代表人：彭聪</w:t>
        <w:tab/>
        <w:t>主管会计工作负责人：黄海勇</w:t>
        <w:tab/>
        <w:t>会计机构负责人：任峰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117,553,238.71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723,170,073.79</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165,614.67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165,614.67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39,466,902.96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20,684,719.07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886,296.82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187,437,628.83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158,072,053.16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931,292,421.69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2,964,078,464.24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1,821,868,176.38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52,582,320.80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27,250,287.76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27,989,891.52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2,039,760.18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2,054,296.50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3,045,950,832.98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1,913,019,371.98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3,204,022,886.14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2,844,311,793.67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4,356,747.95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51,800,765.95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1,196,112.27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1,128,891.89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674,065.71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653,434.65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181,564.81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5,842,965.28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432,704,700.79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25,244,742.53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378,900.26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31,133,289.83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27,733,289.83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470,246,481.36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112,404,090.13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28,980,225.14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32,836.93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2,493,924.63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31,937,251.54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34,140,385.81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60,950,313.61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36,634,310.44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531,196,794.97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149,038,400.57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765,799,353.00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765,799,353.00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2,099,233,168.43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2,094,107,223.15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28,016,004.53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-220,222,434.79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-200,130,961.49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2,672,826,091.17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2,695,273,393.10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3,204,022,886.14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2,844,311,793.67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12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735,139,995.00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515,934,484.75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735,139,995.00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515,934,484.75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3"/>
        <w:gridCol w:w="2268"/>
        <w:gridCol w:w="212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627,800,416.56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653,331,733.15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430,336,799.72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314,804,846.17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5,540,483.28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6,391,776.85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54,528,706.77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151,842,866.97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132,415,913.90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156,878,925.39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727,422.96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15,646,763.21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876,692.86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-3,412,124.04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2,196,308.03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726,098.45</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1,702,917.67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4,449,816.53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3,374,397.07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11,178,678.60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4,104,964.44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3,515,119.40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110,174,651.80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220,039,131.16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56,845,976.34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65,438,329.52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-539,891.94</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-84,027.62</w:t>
            </w:r>
            <w:r>
              <w:rPr>
                <w:rFonts w:ascii="Times New Roman"/>
                <w:sz w:val="18"/>
              </w:rPr>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221,079,302.74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86,072,974.54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24,113,458.32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39,155,889.22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91,876,890.91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19,735,864.06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153,315,870.15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105,492,999.70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42,267,189.16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27,901,136.41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111,048,680.99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77,591,863.29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7"/>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111,048,680.99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87,394,306.91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7"/>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-9,802,443.62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940"/>
        <w:gridCol w:w="2280"/>
        <w:gridCol w:w="212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93,282,489.53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64,215,586.67</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17,766,191.46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13,376,276.62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80"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103,566,907.08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-33,520,467.33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85,800,715.62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-46,896,743.95</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17,766,191.46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13,376,276.62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0.0839</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0.0839</w:t>
            </w:r>
          </w:p>
        </w:tc>
      </w:tr>
    </w:tbl>
    <w:p>
      <w:pPr>
        <w:pStyle w:val="BodyText"/>
        <w:tabs>
          <w:tab w:pos="3574" w:val="left" w:leader="none"/>
          <w:tab w:pos="7895" w:val="left" w:leader="none"/>
        </w:tabs>
        <w:spacing w:line="624" w:lineRule="auto" w:before="51"/>
        <w:ind w:right="1229"/>
        <w:jc w:val="left"/>
      </w:pPr>
      <w:r>
        <w:rPr/>
        <w:t>本期发生同一控制下企业合并的，被合并方在合并前实现的净利润为：元，上期被合并方实现的净利润为：元。 法定代表人：彭聪</w:t>
        <w:tab/>
        <w:t>主管会计工作负责人：黄海勇</w:t>
        <w:tab/>
        <w:t>会计机构负责人：任峰</w:t>
      </w:r>
    </w:p>
    <w:p>
      <w:pPr>
        <w:pStyle w:val="Heading3"/>
        <w:spacing w:line="240" w:lineRule="auto" w:before="63"/>
        <w:ind w:right="0"/>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81"/>
        <w:gridCol w:w="2433"/>
        <w:gridCol w:w="212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1,700,262.92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376,297.30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570,992.16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1,054,757.94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517,313.70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32,563,855.50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42,530,939.16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-4,430,197.73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-4,284,149.78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81"/>
        <w:gridCol w:w="2433"/>
        <w:gridCol w:w="2126"/>
      </w:tblGrid>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1,817,833.21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1,612,416.54</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6,253,345.94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6,047,929.27</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1,341,770.12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-27,488,988.72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1,785,717.36</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8,048,283.59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-50,008,164.95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-7,039,712.14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1,558,529.19</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7,502.24</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-21,339,358.26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-59,121,264.65</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3,115,638.07</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1,834,916.18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1,328,793.83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-20,058,636.37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-60,450,058.48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32,836.93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8,711,600.00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-20,091,473.30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-69,161,658.48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-20,091,473.30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-69,161,658.48</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-111,112,330.62</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33" w:type="dxa"/>
            <w:tcBorders>
              <w:top w:val="single" w:sz="4" w:space="0" w:color="000000"/>
              <w:left w:val="single" w:sz="13" w:space="0" w:color="D2D2D2"/>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-27,573,247.21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-180,273,989.10</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-0.0903</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-0.0903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507"/>
        <w:gridCol w:w="2291"/>
        <w:gridCol w:w="1984"/>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750,150,472.69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626,308,506.91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37,926,519.41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23,723,699.39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788,076,992.10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650,032,206.30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97,558,586.17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272,260,288.45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420,168,570.01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160,496,231.50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74,667,213.89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41,476,063.09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141,807,660.28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206,710,570.90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734,202,030.35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680,943,153.94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53,874,961.75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-30,910,947.64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1,818,844.66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19,671,462.73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17,017,223.28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119,683,537.12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367,824.67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1,138,045.91</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346,096,796.74</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346,169,517.18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365,373,409.79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1,230,589,842.50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507"/>
        <w:gridCol w:w="2291"/>
        <w:gridCol w:w="1984"/>
      </w:tblGrid>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78,833,892.28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113,894,921.60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125,117,807.39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303,055,158.89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310,736,451.66</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295,149,977.61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685,539,028.78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1,387,749,180.65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-320,165,618.99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-157,159,338.15</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112,993,252.36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160,501,386.59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146,993,252.36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171,971,386.59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1,619,774.86</w:t>
            </w: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21,026,279.59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664,605.59</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483,303,281.10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22,127,333.88</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505,949,335.55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22,791,939.47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-358,956,083.19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149,179,447.12</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91"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-625,246,740.43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-38,890,838.67</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960,429,437.86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999,320,276.53</w:t>
            </w:r>
          </w:p>
        </w:tc>
      </w:tr>
      <w:tr>
        <w:trPr>
          <w:trHeight w:val="402" w:hRule="exact"/>
        </w:trPr>
        <w:tc>
          <w:tcPr>
            <w:tcW w:w="5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335,182,697.43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65"/>
        <w:gridCol w:w="2149"/>
        <w:gridCol w:w="2128"/>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96"/>
              <w:jc w:val="right"/>
              <w:rPr>
                <w:rFonts w:ascii="宋体" w:hAnsi="宋体" w:cs="宋体" w:eastAsia="宋体" w:hint="default"/>
                <w:sz w:val="18"/>
                <w:szCs w:val="18"/>
              </w:rPr>
            </w:pPr>
            <w:r>
              <w:rPr>
                <w:rFonts w:ascii="宋体" w:hAnsi="宋体" w:cs="宋体" w:eastAsia="宋体" w:hint="default"/>
                <w:sz w:val="18"/>
                <w:szCs w:val="18"/>
              </w:rPr>
              <w:t>项目</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6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1,754,298.00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1,670,760.00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6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1,081,434.28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977,373.76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2,835,732.28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2,648,133.76</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6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5365"/>
        <w:gridCol w:w="2149"/>
        <w:gridCol w:w="2128"/>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4,420,224.45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5,161,902.11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4,554,704.63</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39,173,746.55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15,214,490.40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48,148,675.63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20,376,392.51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-45,312,943.35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-17,728,258.75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1,665,844.66</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395,111,463.73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15,736,919.07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118,057,788.39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54,480.00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297,457,243.73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963,169,252.12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49,409,423.91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24,771,562.92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730,500,000.00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150,717,307.39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879,909,423.91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805,488,870.31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-582,452,180.18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157,680,381.81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34,000,000.00</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163,178,350.59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163,178,350.59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1,619,774.86</w:t>
            </w: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1,612,416.69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655,786.15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18,619,520.00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21,851,711.55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13,655,786.15</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22,148,288.45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149,522,564.44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49" w:type="dxa"/>
            <w:tcBorders>
              <w:top w:val="single" w:sz="4" w:space="0" w:color="000000"/>
              <w:left w:val="single" w:sz="13" w:space="0" w:color="D2D2D2"/>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-605,616,835.08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289,474,687.50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723,170,073.79</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433,695,386.29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117,553,238.71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723,170,073.79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6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3"/>
        <w:spacing w:line="240" w:lineRule="auto" w:before="35"/>
        <w:ind w:left="680"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680" w:right="0"/>
        <w:jc w:val="left"/>
      </w:pPr>
      <w:r>
        <w:rPr/>
        <w:t>本期金额</w:t>
      </w:r>
    </w:p>
    <w:p>
      <w:pPr>
        <w:pStyle w:val="BodyText"/>
        <w:spacing w:line="240" w:lineRule="auto" w:before="116"/>
        <w:ind w:left="0" w:right="795"/>
        <w:jc w:val="right"/>
      </w:pPr>
      <w:r>
        <w:rPr/>
        <w:t>单位：元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28"/>
        <w:gridCol w:w="1408"/>
        <w:gridCol w:w="532"/>
        <w:gridCol w:w="530"/>
        <w:gridCol w:w="532"/>
        <w:gridCol w:w="1384"/>
        <w:gridCol w:w="665"/>
        <w:gridCol w:w="1179"/>
        <w:gridCol w:w="665"/>
        <w:gridCol w:w="1319"/>
        <w:gridCol w:w="666"/>
        <w:gridCol w:w="1462"/>
        <w:gridCol w:w="1275"/>
        <w:gridCol w:w="1560"/>
      </w:tblGrid>
      <w:tr>
        <w:trPr>
          <w:trHeight w:val="402" w:hRule="exact"/>
        </w:trPr>
        <w:tc>
          <w:tcPr>
            <w:tcW w:w="1928" w:type="dxa"/>
            <w:vMerge w:val="restart"/>
            <w:tcBorders>
              <w:top w:val="single" w:sz="4" w:space="0" w:color="000000"/>
              <w:left w:val="single" w:sz="4" w:space="0" w:color="000000"/>
              <w:right w:val="single" w:sz="4" w:space="0" w:color="000000"/>
            </w:tcBorders>
            <w:shd w:val="clear" w:color="auto" w:fill="D2D2D2"/>
          </w:tcPr>
          <w:p>
            <w:pPr/>
          </w:p>
        </w:tc>
        <w:tc>
          <w:tcPr>
            <w:tcW w:w="1317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1928" w:type="dxa"/>
            <w:vMerge/>
            <w:tcBorders>
              <w:left w:val="single" w:sz="4" w:space="0" w:color="000000"/>
              <w:bottom w:val="nil" w:sz="6" w:space="0" w:color="auto"/>
              <w:right w:val="single" w:sz="4" w:space="0" w:color="000000"/>
            </w:tcBorders>
            <w:shd w:val="clear" w:color="auto" w:fill="D2D2D2"/>
          </w:tcPr>
          <w:p>
            <w:pPr/>
          </w:p>
        </w:tc>
        <w:tc>
          <w:tcPr>
            <w:tcW w:w="103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19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84"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9"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928" w:type="dxa"/>
            <w:vMerge/>
            <w:tcBorders>
              <w:left w:val="single" w:sz="4" w:space="0" w:color="000000"/>
              <w:bottom w:val="nil" w:sz="6" w:space="0" w:color="auto"/>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7" w:right="55"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179"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319"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62"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4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928" w:type="dxa"/>
            <w:vMerge w:val="restart"/>
            <w:tcBorders>
              <w:top w:val="nil" w:sz="6" w:space="0" w:color="auto"/>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1"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tcBorders>
              <w:left w:val="single" w:sz="4" w:space="0" w:color="000000"/>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65" w:type="dxa"/>
            <w:vMerge/>
            <w:tcBorders>
              <w:left w:val="single" w:sz="4" w:space="0" w:color="000000"/>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6" w:type="dxa"/>
            <w:vMerge/>
            <w:tcBorders>
              <w:left w:val="single" w:sz="4" w:space="0" w:color="000000"/>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5"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928" w:type="dxa"/>
            <w:vMerge/>
            <w:tcBorders>
              <w:left w:val="single" w:sz="4" w:space="0" w:color="000000"/>
              <w:right w:val="single" w:sz="4" w:space="0" w:color="000000"/>
            </w:tcBorders>
            <w:shd w:val="clear" w:color="auto" w:fill="D2D2D2"/>
          </w:tcPr>
          <w:p>
            <w:pPr/>
          </w:p>
        </w:tc>
        <w:tc>
          <w:tcPr>
            <w:tcW w:w="1408"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4"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19"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1462"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928" w:type="dxa"/>
            <w:vMerge/>
            <w:tcBorders>
              <w:left w:val="single" w:sz="4" w:space="0" w:color="000000"/>
              <w:right w:val="single" w:sz="4" w:space="0" w:color="000000"/>
            </w:tcBorders>
            <w:shd w:val="clear" w:color="auto" w:fill="D2D2D2"/>
          </w:tcPr>
          <w:p>
            <w:pPr/>
          </w:p>
        </w:tc>
        <w:tc>
          <w:tcPr>
            <w:tcW w:w="1408"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179"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r>
      <w:tr>
        <w:trPr>
          <w:trHeight w:val="200" w:hRule="exact"/>
        </w:trPr>
        <w:tc>
          <w:tcPr>
            <w:tcW w:w="1928"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2,087,760,045.87</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-143,597,876.20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183,242,001.93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2,928,701,303.04</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2,087,760,045.87</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-143,597,876.20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183,242,001.93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2,928,701,303.04</w:t>
            </w:r>
          </w:p>
        </w:tc>
      </w:tr>
      <w:tr>
        <w:trPr>
          <w:trHeight w:val="714"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-47,328,712.82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93,279,702.88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-129,098,044.71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-90,628,828.56</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93,282,489.53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17,766,191.46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103,566,907.08</w:t>
            </w:r>
          </w:p>
        </w:tc>
      </w:tr>
      <w:tr>
        <w:trPr>
          <w:trHeight w:val="714"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-47,328,712.82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-2,786.65</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-146,864,236.17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-194,195,735.64</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-102,587,200.00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-102,587,200.00</w:t>
            </w:r>
          </w:p>
        </w:tc>
      </w:tr>
      <w:tr>
        <w:trPr>
          <w:trHeight w:val="715"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408"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7"/>
          <w:footerReference w:type="default" r:id="rId28"/>
          <w:pgSz w:w="16840" w:h="11910" w:orient="landscape"/>
          <w:pgMar w:header="867" w:footer="979" w:top="1060" w:bottom="1160" w:left="760" w:right="740"/>
        </w:sectPr>
      </w:pP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51"/>
        <w:gridCol w:w="1397"/>
        <w:gridCol w:w="532"/>
        <w:gridCol w:w="530"/>
        <w:gridCol w:w="532"/>
        <w:gridCol w:w="1384"/>
        <w:gridCol w:w="665"/>
        <w:gridCol w:w="1179"/>
        <w:gridCol w:w="665"/>
        <w:gridCol w:w="1319"/>
        <w:gridCol w:w="666"/>
        <w:gridCol w:w="1462"/>
        <w:gridCol w:w="1275"/>
        <w:gridCol w:w="1560"/>
      </w:tblGrid>
      <w:tr>
        <w:trPr>
          <w:trHeight w:val="729" w:hRule="exact"/>
        </w:trPr>
        <w:tc>
          <w:tcPr>
            <w:tcW w:w="195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97"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13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5,125,945.28</w:t>
            </w:r>
          </w:p>
        </w:tc>
        <w:tc>
          <w:tcPr>
            <w:tcW w:w="665" w:type="dxa"/>
            <w:tcBorders>
              <w:top w:val="single" w:sz="15" w:space="0" w:color="000000"/>
              <w:left w:val="single" w:sz="4" w:space="0" w:color="000000"/>
              <w:bottom w:val="single" w:sz="4" w:space="0" w:color="000000"/>
              <w:right w:val="single" w:sz="4" w:space="0" w:color="000000"/>
            </w:tcBorders>
          </w:tcPr>
          <w:p>
            <w:pPr/>
          </w:p>
        </w:tc>
        <w:tc>
          <w:tcPr>
            <w:tcW w:w="1179"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19"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1462" w:type="dxa"/>
            <w:tcBorders>
              <w:top w:val="single" w:sz="15" w:space="0" w:color="000000"/>
              <w:left w:val="single" w:sz="4" w:space="0" w:color="000000"/>
              <w:bottom w:val="single" w:sz="4" w:space="0" w:color="000000"/>
              <w:right w:val="single" w:sz="4" w:space="0" w:color="000000"/>
            </w:tcBorders>
          </w:tcPr>
          <w:p>
            <w:pPr/>
          </w:p>
        </w:tc>
        <w:tc>
          <w:tcPr>
            <w:tcW w:w="127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-52,454,658.10</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-2,786.65</w:t>
            </w:r>
            <w:r>
              <w:rPr>
                <w:rFonts w:ascii="Times New Roman"/>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-44,277,036.17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-96,734,480.92</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765,799,353.00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2,040,431,333.05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28,016,004.53</w:t>
            </w:r>
          </w:p>
        </w:tc>
        <w:tc>
          <w:tcPr>
            <w:tcW w:w="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-50,318,173.32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54,143,957.22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2,838,072,474.48</w:t>
            </w:r>
          </w:p>
        </w:tc>
      </w:tr>
    </w:tbl>
    <w:p>
      <w:pPr>
        <w:pStyle w:val="BodyText"/>
        <w:spacing w:line="240" w:lineRule="auto" w:before="51"/>
        <w:ind w:left="700" w:right="0"/>
        <w:jc w:val="left"/>
      </w:pPr>
      <w:r>
        <w:rPr/>
        <w:t>上期金额</w:t>
      </w:r>
    </w:p>
    <w:p>
      <w:pPr>
        <w:spacing w:after="0" w:line="240" w:lineRule="auto"/>
        <w:jc w:val="left"/>
        <w:sectPr>
          <w:footerReference w:type="default" r:id="rId29"/>
          <w:pgSz w:w="16840" w:h="11910" w:orient="landscape"/>
          <w:pgMar w:footer="979" w:header="867" w:top="1060" w:bottom="1160" w:left="740" w:right="740"/>
        </w:sectPr>
      </w:pPr>
    </w:p>
    <w:p>
      <w:pPr>
        <w:spacing w:line="240" w:lineRule="auto" w:before="12"/>
        <w:rPr>
          <w:rFonts w:ascii="宋体" w:hAnsi="宋体" w:cs="宋体" w:eastAsia="宋体" w:hint="default"/>
          <w:sz w:val="2"/>
          <w:szCs w:val="2"/>
        </w:rPr>
      </w:pP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0"/>
        <w:ind w:left="0" w:right="1015"/>
        <w:jc w:val="right"/>
      </w:pPr>
      <w:r>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211"/>
        <w:gridCol w:w="1552"/>
        <w:gridCol w:w="530"/>
        <w:gridCol w:w="532"/>
        <w:gridCol w:w="530"/>
        <w:gridCol w:w="1526"/>
        <w:gridCol w:w="665"/>
        <w:gridCol w:w="1319"/>
        <w:gridCol w:w="666"/>
        <w:gridCol w:w="1177"/>
        <w:gridCol w:w="665"/>
        <w:gridCol w:w="1462"/>
        <w:gridCol w:w="1276"/>
        <w:gridCol w:w="1417"/>
      </w:tblGrid>
      <w:tr>
        <w:trPr>
          <w:trHeight w:val="402" w:hRule="exact"/>
        </w:trPr>
        <w:tc>
          <w:tcPr>
            <w:tcW w:w="2211" w:type="dxa"/>
            <w:vMerge w:val="restart"/>
            <w:tcBorders>
              <w:top w:val="single" w:sz="4" w:space="0" w:color="000000"/>
              <w:left w:val="single" w:sz="4" w:space="0" w:color="000000"/>
              <w:right w:val="single" w:sz="4" w:space="0" w:color="000000"/>
            </w:tcBorders>
            <w:shd w:val="clear" w:color="auto" w:fill="D2D2D2"/>
          </w:tcPr>
          <w:p>
            <w:pPr/>
          </w:p>
        </w:tc>
        <w:tc>
          <w:tcPr>
            <w:tcW w:w="1331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2211" w:type="dxa"/>
            <w:vMerge/>
            <w:tcBorders>
              <w:left w:val="single" w:sz="4" w:space="0" w:color="000000"/>
              <w:bottom w:val="nil" w:sz="6" w:space="0" w:color="auto"/>
              <w:right w:val="single" w:sz="4" w:space="0" w:color="000000"/>
            </w:tcBorders>
            <w:shd w:val="clear" w:color="auto" w:fill="D2D2D2"/>
          </w:tcPr>
          <w:p>
            <w:pPr/>
          </w:p>
        </w:tc>
        <w:tc>
          <w:tcPr>
            <w:tcW w:w="1062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206" w:hRule="exact"/>
        </w:trPr>
        <w:tc>
          <w:tcPr>
            <w:tcW w:w="22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26"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9" w:type="dxa"/>
            <w:vMerge w:val="restart"/>
            <w:tcBorders>
              <w:top w:val="single" w:sz="4" w:space="0" w:color="000000"/>
              <w:left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7"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2211" w:type="dxa"/>
            <w:vMerge/>
            <w:tcBorders>
              <w:left w:val="single" w:sz="4" w:space="0" w:color="000000"/>
              <w:bottom w:val="nil" w:sz="6" w:space="0" w:color="auto"/>
              <w:right w:val="single" w:sz="4" w:space="0" w:color="000000"/>
            </w:tcBorders>
            <w:shd w:val="clear" w:color="auto" w:fill="D2D2D2"/>
          </w:tcPr>
          <w:p>
            <w:pPr/>
          </w:p>
        </w:tc>
        <w:tc>
          <w:tcPr>
            <w:tcW w:w="155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319"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77"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6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2211" w:type="dxa"/>
            <w:vMerge w:val="restart"/>
            <w:tcBorders>
              <w:top w:val="nil" w:sz="6" w:space="0" w:color="auto"/>
              <w:left w:val="single" w:sz="4" w:space="0" w:color="000000"/>
              <w:right w:val="single" w:sz="4" w:space="0" w:color="000000"/>
            </w:tcBorders>
            <w:shd w:val="clear" w:color="auto" w:fill="D2D2D2"/>
          </w:tcPr>
          <w:p>
            <w:pPr/>
          </w:p>
        </w:tc>
        <w:tc>
          <w:tcPr>
            <w:tcW w:w="15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65" w:type="dxa"/>
            <w:vMerge/>
            <w:tcBorders>
              <w:left w:val="single" w:sz="4" w:space="0" w:color="000000"/>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66" w:type="dxa"/>
            <w:vMerge/>
            <w:tcBorders>
              <w:left w:val="single" w:sz="4" w:space="0" w:color="000000"/>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65" w:type="dxa"/>
            <w:vMerge/>
            <w:tcBorders>
              <w:left w:val="single" w:sz="4" w:space="0" w:color="000000"/>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211" w:type="dxa"/>
            <w:vMerge/>
            <w:tcBorders>
              <w:left w:val="single" w:sz="4" w:space="0" w:color="000000"/>
              <w:right w:val="single" w:sz="4" w:space="0" w:color="000000"/>
            </w:tcBorders>
            <w:shd w:val="clear" w:color="auto" w:fill="D2D2D2"/>
          </w:tcPr>
          <w:p>
            <w:pPr/>
          </w:p>
        </w:tc>
        <w:tc>
          <w:tcPr>
            <w:tcW w:w="155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19"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462"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2211" w:type="dxa"/>
            <w:vMerge/>
            <w:tcBorders>
              <w:left w:val="single" w:sz="4" w:space="0" w:color="000000"/>
              <w:right w:val="single" w:sz="4" w:space="0" w:color="000000"/>
            </w:tcBorders>
            <w:shd w:val="clear" w:color="auto" w:fill="D2D2D2"/>
          </w:tcPr>
          <w:p>
            <w:pPr/>
          </w:p>
        </w:tc>
        <w:tc>
          <w:tcPr>
            <w:tcW w:w="155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1526"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19"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1177"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200" w:hRule="exact"/>
        </w:trPr>
        <w:tc>
          <w:tcPr>
            <w:tcW w:w="2211" w:type="dxa"/>
            <w:vMerge/>
            <w:tcBorders>
              <w:left w:val="single" w:sz="4" w:space="0" w:color="000000"/>
              <w:bottom w:val="single" w:sz="4" w:space="0" w:color="000000"/>
              <w:right w:val="single" w:sz="4" w:space="0" w:color="000000"/>
            </w:tcBorders>
            <w:shd w:val="clear" w:color="auto" w:fill="D2D2D2"/>
          </w:tcPr>
          <w:p>
            <w:pPr/>
          </w:p>
        </w:tc>
        <w:tc>
          <w:tcPr>
            <w:tcW w:w="155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6"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9"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2,084,970,096.54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-205,561,190.76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56,078,872.34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2,847,897,240.18</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并</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2,084,970,096.54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-205,561,190.76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56,078,872.34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2,847,897,240.18</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8"/>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-111,112,330.62</w:t>
            </w: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61,963,314.56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127,163,129.59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80,804,062.86</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-111,112,330.62</w:t>
            </w: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64,215,586.67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center"/>
              <w:rPr>
                <w:rFonts w:ascii="Times New Roman" w:hAnsi="Times New Roman" w:cs="Times New Roman" w:eastAsia="Times New Roman" w:hint="default"/>
                <w:sz w:val="18"/>
                <w:szCs w:val="18"/>
              </w:rPr>
            </w:pPr>
            <w:r>
              <w:rPr>
                <w:rFonts w:ascii="Times New Roman"/>
                <w:sz w:val="18"/>
              </w:rPr>
              <w:t>13,376,276.62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-33,520,467.33</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8"/>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-2,252,272.11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113,786,852.97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114,324,530.19</w:t>
            </w: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center"/>
              <w:rPr>
                <w:rFonts w:ascii="Times New Roman" w:hAnsi="Times New Roman" w:cs="Times New Roman" w:eastAsia="Times New Roman" w:hint="default"/>
                <w:sz w:val="18"/>
                <w:szCs w:val="18"/>
              </w:rPr>
            </w:pPr>
            <w:r>
              <w:rPr>
                <w:rFonts w:ascii="Times New Roman"/>
                <w:sz w:val="18"/>
              </w:rPr>
              <w:t>-40,363,995.00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-40,363,995.00</w:t>
            </w: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资本</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的金额</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2,789,949.33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-2,252,272.11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154,150,847.97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154,688,525.19</w:t>
            </w:r>
          </w:p>
        </w:tc>
      </w:tr>
      <w:tr>
        <w:trPr>
          <w:trHeight w:val="403" w:hRule="exact"/>
        </w:trPr>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6840" w:h="11910" w:orient="landscape"/>
          <w:pgMar w:footer="979" w:header="867" w:top="1060" w:bottom="1160" w:left="540" w:right="520"/>
          <w:pgNumType w:start="101"/>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34"/>
        <w:gridCol w:w="1540"/>
        <w:gridCol w:w="530"/>
        <w:gridCol w:w="532"/>
        <w:gridCol w:w="530"/>
        <w:gridCol w:w="1526"/>
        <w:gridCol w:w="665"/>
        <w:gridCol w:w="1319"/>
        <w:gridCol w:w="666"/>
        <w:gridCol w:w="1177"/>
        <w:gridCol w:w="665"/>
        <w:gridCol w:w="1462"/>
        <w:gridCol w:w="1276"/>
        <w:gridCol w:w="1417"/>
      </w:tblGrid>
      <w:tr>
        <w:trPr>
          <w:trHeight w:val="416" w:hRule="exact"/>
        </w:trPr>
        <w:tc>
          <w:tcPr>
            <w:tcW w:w="22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40"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152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19"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1177"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46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配</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．设定受益计划变动额结转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留存收益</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765,799,353.00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4" w:right="0"/>
              <w:jc w:val="left"/>
              <w:rPr>
                <w:rFonts w:ascii="Times New Roman" w:hAnsi="Times New Roman" w:cs="Times New Roman" w:eastAsia="Times New Roman" w:hint="default"/>
                <w:sz w:val="18"/>
                <w:szCs w:val="18"/>
              </w:rPr>
            </w:pPr>
            <w:r>
              <w:rPr>
                <w:rFonts w:ascii="Times New Roman"/>
                <w:sz w:val="18"/>
              </w:rPr>
              <w:t>2,087,760,045.87</w:t>
            </w:r>
          </w:p>
        </w:tc>
        <w:tc>
          <w:tcPr>
            <w:tcW w:w="665"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7,481,773.91</w:t>
            </w:r>
          </w:p>
        </w:tc>
        <w:tc>
          <w:tcPr>
            <w:tcW w:w="66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28,016,004.53</w:t>
            </w: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-143,597,876.20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183,242,001.93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2,928,701,303.04</w:t>
            </w:r>
          </w:p>
        </w:tc>
      </w:tr>
    </w:tbl>
    <w:p>
      <w:pPr>
        <w:spacing w:line="240" w:lineRule="auto" w:before="2"/>
        <w:rPr>
          <w:rFonts w:ascii="宋体" w:hAnsi="宋体" w:cs="宋体" w:eastAsia="宋体" w:hint="default"/>
          <w:sz w:val="19"/>
          <w:szCs w:val="19"/>
        </w:rPr>
      </w:pPr>
    </w:p>
    <w:p>
      <w:pPr>
        <w:pStyle w:val="Heading3"/>
        <w:spacing w:line="240" w:lineRule="auto" w:before="35"/>
        <w:ind w:left="900"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00" w:right="0"/>
        <w:jc w:val="left"/>
      </w:pPr>
      <w:r>
        <w:rPr/>
        <w:t>本期金额</w:t>
      </w:r>
    </w:p>
    <w:p>
      <w:pPr>
        <w:pStyle w:val="BodyText"/>
        <w:spacing w:line="240" w:lineRule="auto" w:before="117"/>
        <w:ind w:left="0" w:right="1015"/>
        <w:jc w:val="right"/>
      </w:pPr>
      <w:r>
        <w:rPr/>
        <w:t>单位：元</w:t>
      </w:r>
    </w:p>
    <w:p>
      <w:pPr>
        <w:spacing w:line="240" w:lineRule="auto" w:before="13"/>
        <w:rPr>
          <w:rFonts w:ascii="宋体" w:hAnsi="宋体" w:cs="宋体" w:eastAsia="宋体" w:hint="default"/>
          <w:sz w:val="7"/>
          <w:szCs w:val="7"/>
        </w:rPr>
      </w:pPr>
    </w:p>
    <w:tbl>
      <w:tblPr>
        <w:tblW w:w="0" w:type="auto"/>
        <w:jc w:val="left"/>
        <w:tblInd w:w="714" w:type="dxa"/>
        <w:tblLayout w:type="fixed"/>
        <w:tblCellMar>
          <w:top w:w="0" w:type="dxa"/>
          <w:left w:w="0" w:type="dxa"/>
          <w:bottom w:w="0" w:type="dxa"/>
          <w:right w:w="0" w:type="dxa"/>
        </w:tblCellMar>
        <w:tblLook w:val="01E0"/>
      </w:tblPr>
      <w:tblGrid>
        <w:gridCol w:w="2721"/>
        <w:gridCol w:w="11589"/>
      </w:tblGrid>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540" w:right="520"/>
        </w:sectPr>
      </w:pPr>
    </w:p>
    <w:p>
      <w:pPr>
        <w:spacing w:line="240" w:lineRule="auto" w:before="9"/>
        <w:rPr>
          <w:rFonts w:ascii="Times New Roman" w:hAnsi="Times New Roman" w:cs="Times New Roman" w:eastAsia="Times New Roman" w:hint="default"/>
          <w:sz w:val="5"/>
          <w:szCs w:val="5"/>
        </w:rPr>
      </w:pPr>
      <w:r>
        <w:rPr/>
        <w:pict>
          <v:group style="position:absolute;margin-left:62.939999pt;margin-top:55.260006pt;width:708.9pt;height:1.95pt;mso-position-horizontal-relative:page;mso-position-vertical-relative:page;z-index:-1038352" coordorigin="1259,1105" coordsize="14178,39">
            <v:group style="position:absolute;left:1410;top:1112;width:14020;height:2" coordorigin="1410,1112" coordsize="14020,2">
              <v:shape style="position:absolute;left:1410;top:1112;width:14020;height:2" coordorigin="1410,1112" coordsize="14020,0" path="m1410,1112l15430,1112e" filled="false" stroked="true" strokeweight=".72pt" strokecolor="#000000">
                <v:path arrowok="t"/>
              </v:shape>
            </v:group>
            <v:group style="position:absolute;left:1264;top:1139;width:2712;height:2" coordorigin="1264,1139" coordsize="2712,2">
              <v:shape style="position:absolute;left:1264;top:1139;width:2712;height:2" coordorigin="1264,1139" coordsize="2712,0" path="m1264,1139l3975,1139e" filled="false" stroked="true" strokeweight=".48pt" strokecolor="#000000">
                <v:path arrowok="t"/>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2697"/>
        <w:gridCol w:w="1265"/>
        <w:gridCol w:w="665"/>
        <w:gridCol w:w="665"/>
        <w:gridCol w:w="666"/>
        <w:gridCol w:w="1407"/>
        <w:gridCol w:w="798"/>
        <w:gridCol w:w="1186"/>
        <w:gridCol w:w="798"/>
        <w:gridCol w:w="1188"/>
        <w:gridCol w:w="1559"/>
        <w:gridCol w:w="1417"/>
      </w:tblGrid>
      <w:tr>
        <w:trPr>
          <w:trHeight w:val="206" w:hRule="exact"/>
        </w:trPr>
        <w:tc>
          <w:tcPr>
            <w:tcW w:w="2697" w:type="dxa"/>
            <w:vMerge w:val="restart"/>
            <w:tcBorders>
              <w:top w:val="nil" w:sz="6" w:space="0" w:color="auto"/>
              <w:left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7" w:type="dxa"/>
            <w:tcBorders>
              <w:top w:val="nil" w:sz="6" w:space="0" w:color="auto"/>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1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697" w:type="dxa"/>
            <w:vMerge/>
            <w:tcBorders>
              <w:left w:val="single" w:sz="4" w:space="0" w:color="000000"/>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14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1" w:hRule="exact"/>
        </w:trPr>
        <w:tc>
          <w:tcPr>
            <w:tcW w:w="269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1188"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697"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2,094,107,223.15</w:t>
            </w:r>
          </w:p>
        </w:tc>
        <w:tc>
          <w:tcPr>
            <w:tcW w:w="798" w:type="dxa"/>
            <w:tcBorders>
              <w:top w:val="single" w:sz="18" w:space="0" w:color="D2D2D2"/>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28,016,004.53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-200,130,961.49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2,695,273,393.10</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2,094,107,223.15</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28,016,004.53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-200,130,961.49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2,695,273,393.10</w:t>
            </w:r>
          </w:p>
        </w:tc>
      </w:tr>
      <w:tr>
        <w:trPr>
          <w:trHeight w:val="714"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5,125,945.28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-20,091,473.30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-22,447,301.93</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-7,481,773.91</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-20,091,473.30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-27,573,247.21</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5,125,945.28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 额</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5,125,945.28</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5"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40" w:right="1140"/>
        </w:sectPr>
      </w:pPr>
    </w:p>
    <w:p>
      <w:pPr>
        <w:spacing w:line="240" w:lineRule="auto" w:before="4"/>
        <w:rPr>
          <w:rFonts w:ascii="Times New Roman" w:hAnsi="Times New Roman" w:cs="Times New Roman" w:eastAsia="Times New Roman"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2721"/>
        <w:gridCol w:w="1253"/>
        <w:gridCol w:w="665"/>
        <w:gridCol w:w="665"/>
        <w:gridCol w:w="666"/>
        <w:gridCol w:w="1407"/>
        <w:gridCol w:w="798"/>
        <w:gridCol w:w="1186"/>
        <w:gridCol w:w="798"/>
        <w:gridCol w:w="1188"/>
        <w:gridCol w:w="1559"/>
        <w:gridCol w:w="1417"/>
      </w:tblGrid>
      <w:tr>
        <w:trPr>
          <w:trHeight w:val="729" w:hRule="exact"/>
        </w:trPr>
        <w:tc>
          <w:tcPr>
            <w:tcW w:w="272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 收益</w:t>
            </w:r>
          </w:p>
        </w:tc>
        <w:tc>
          <w:tcPr>
            <w:tcW w:w="1253"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1407"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left"/>
              <w:rPr>
                <w:rFonts w:ascii="Times New Roman" w:hAnsi="Times New Roman" w:cs="Times New Roman" w:eastAsia="Times New Roman" w:hint="default"/>
                <w:sz w:val="18"/>
                <w:szCs w:val="18"/>
              </w:rPr>
            </w:pPr>
            <w:r>
              <w:rPr>
                <w:rFonts w:ascii="Times New Roman"/>
                <w:sz w:val="18"/>
              </w:rPr>
              <w:t>2,099,233,168.43</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28,016,004.53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0" w:right="0"/>
              <w:jc w:val="left"/>
              <w:rPr>
                <w:rFonts w:ascii="Times New Roman" w:hAnsi="Times New Roman" w:cs="Times New Roman" w:eastAsia="Times New Roman" w:hint="default"/>
                <w:sz w:val="18"/>
                <w:szCs w:val="18"/>
              </w:rPr>
            </w:pPr>
            <w:r>
              <w:rPr>
                <w:rFonts w:ascii="Times New Roman"/>
                <w:sz w:val="18"/>
              </w:rPr>
              <w:t>-220,222,434.79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2,672,826,091.17</w:t>
            </w:r>
          </w:p>
        </w:tc>
      </w:tr>
    </w:tbl>
    <w:p>
      <w:pPr>
        <w:pStyle w:val="BodyText"/>
        <w:spacing w:line="240" w:lineRule="auto" w:before="51"/>
        <w:ind w:left="340" w:right="0"/>
        <w:jc w:val="left"/>
      </w:pPr>
      <w:r>
        <w:rPr/>
        <w:t>上期金额</w:t>
      </w:r>
    </w:p>
    <w:p>
      <w:pPr>
        <w:pStyle w:val="BodyText"/>
        <w:spacing w:line="240" w:lineRule="auto" w:before="117"/>
        <w:ind w:left="0" w:right="455"/>
        <w:jc w:val="right"/>
      </w:pPr>
      <w:r>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246"/>
        <w:gridCol w:w="1264"/>
        <w:gridCol w:w="665"/>
        <w:gridCol w:w="665"/>
        <w:gridCol w:w="666"/>
        <w:gridCol w:w="1548"/>
        <w:gridCol w:w="798"/>
        <w:gridCol w:w="1328"/>
        <w:gridCol w:w="798"/>
        <w:gridCol w:w="1328"/>
        <w:gridCol w:w="1417"/>
        <w:gridCol w:w="1701"/>
      </w:tblGrid>
      <w:tr>
        <w:trPr>
          <w:trHeight w:val="402" w:hRule="exact"/>
        </w:trPr>
        <w:tc>
          <w:tcPr>
            <w:tcW w:w="2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7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22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2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vMerge/>
            <w:tcBorders>
              <w:left w:val="single" w:sz="4" w:space="0" w:color="000000"/>
              <w:bottom w:val="single" w:sz="4" w:space="0" w:color="000000"/>
              <w:right w:val="single" w:sz="4" w:space="0" w:color="000000"/>
            </w:tcBorders>
            <w:shd w:val="clear" w:color="auto" w:fill="D2D2D2"/>
          </w:tcPr>
          <w:p>
            <w:pPr/>
          </w:p>
        </w:tc>
        <w:tc>
          <w:tcPr>
            <w:tcW w:w="15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246" w:type="dxa"/>
            <w:vMerge w:val="restart"/>
            <w:tcBorders>
              <w:top w:val="nil" w:sz="6" w:space="0" w:color="auto"/>
              <w:left w:val="single" w:sz="4" w:space="0" w:color="000000"/>
              <w:right w:val="single" w:sz="4" w:space="0" w:color="000000"/>
            </w:tcBorders>
            <w:shd w:val="clear" w:color="auto" w:fill="D2D2D2"/>
          </w:tcPr>
          <w:p>
            <w:pPr/>
          </w:p>
        </w:tc>
        <w:tc>
          <w:tcPr>
            <w:tcW w:w="1264"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7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2,091,317,273.82</w:t>
            </w:r>
          </w:p>
        </w:tc>
        <w:tc>
          <w:tcPr>
            <w:tcW w:w="798" w:type="dxa"/>
            <w:tcBorders>
              <w:top w:val="single" w:sz="18" w:space="0" w:color="D2D2D2"/>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-130,969,303.01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2,872,757,432.87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2,091,317,273.82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118,594,104.53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28,016,004.53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-130,969,303.01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2,872,757,432.87</w:t>
            </w: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三、本期增减变动金额（减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-111,112,330.62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-69,161,658.48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-177,484,039.77</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-111,112,330.62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-69,161,658.48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-180,273,989.10</w:t>
            </w: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（二）所有者投入和减少资 本</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2,789,949.33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64"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00" w:right="1080"/>
        </w:sectPr>
      </w:pPr>
    </w:p>
    <w:p>
      <w:pPr>
        <w:spacing w:line="240" w:lineRule="auto" w:before="4"/>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268"/>
        <w:gridCol w:w="1253"/>
        <w:gridCol w:w="665"/>
        <w:gridCol w:w="665"/>
        <w:gridCol w:w="666"/>
        <w:gridCol w:w="1548"/>
        <w:gridCol w:w="798"/>
        <w:gridCol w:w="1328"/>
        <w:gridCol w:w="798"/>
        <w:gridCol w:w="1328"/>
        <w:gridCol w:w="1417"/>
        <w:gridCol w:w="1701"/>
      </w:tblGrid>
      <w:tr>
        <w:trPr>
          <w:trHeight w:val="729" w:hRule="exact"/>
        </w:trPr>
        <w:tc>
          <w:tcPr>
            <w:tcW w:w="22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w:t>
            </w:r>
            <w:r>
              <w:rPr>
                <w:rFonts w:ascii="宋体" w:hAnsi="宋体" w:cs="宋体" w:eastAsia="宋体" w:hint="default"/>
                <w:sz w:val="18"/>
                <w:szCs w:val="18"/>
              </w:rPr>
              <w:t> 资本</w:t>
            </w:r>
          </w:p>
        </w:tc>
        <w:tc>
          <w:tcPr>
            <w:tcW w:w="1253"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666" w:type="dxa"/>
            <w:tcBorders>
              <w:top w:val="single" w:sz="15" w:space="0" w:color="000000"/>
              <w:left w:val="single" w:sz="4" w:space="0" w:color="000000"/>
              <w:bottom w:val="single" w:sz="4" w:space="0" w:color="000000"/>
              <w:right w:val="single" w:sz="4" w:space="0" w:color="000000"/>
            </w:tcBorders>
          </w:tcPr>
          <w:p>
            <w:pPr/>
          </w:p>
        </w:tc>
        <w:tc>
          <w:tcPr>
            <w:tcW w:w="1548"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701"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w:t>
            </w:r>
            <w:r>
              <w:rPr>
                <w:rFonts w:ascii="宋体" w:hAnsi="宋体" w:cs="宋体" w:eastAsia="宋体" w:hint="default"/>
                <w:sz w:val="18"/>
                <w:szCs w:val="18"/>
              </w:rPr>
              <w:t> 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2,789,949.33</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2,789,949.33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．对所有者（或股东）的分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w:t>
            </w:r>
            <w:r>
              <w:rPr>
                <w:rFonts w:ascii="宋体" w:hAnsi="宋体" w:cs="宋体" w:eastAsia="宋体" w:hint="default"/>
                <w:sz w:val="18"/>
                <w:szCs w:val="18"/>
              </w:rPr>
              <w:t> 留存收益</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765,799,353.00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2,094,107,223.15</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7,481,773.91</w:t>
            </w:r>
          </w:p>
        </w:tc>
        <w:tc>
          <w:tcPr>
            <w:tcW w:w="79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28,016,004.53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-200,130,961.49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2,695,273,393.10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080" w:right="10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290"/>
        <w:jc w:val="left"/>
      </w:pPr>
      <w:r>
        <w:rPr/>
        <w:t>顺利办信息服务股份有限公司（原名称为神州易桥信息服务股份有限公司）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系经青海省经济体制改 </w:t>
      </w:r>
      <w:r>
        <w:rPr>
          <w:spacing w:val="-3"/>
        </w:rPr>
        <w:t>革委员会以青体改字</w:t>
      </w:r>
      <w:r>
        <w:rPr>
          <w:rFonts w:ascii="Times New Roman" w:hAnsi="Times New Roman" w:cs="Times New Roman" w:eastAsia="Times New Roman" w:hint="default"/>
          <w:spacing w:val="-3"/>
        </w:rPr>
        <w:t>(1996)</w:t>
      </w:r>
      <w:r>
        <w:rPr>
          <w:spacing w:val="-3"/>
        </w:rPr>
        <w:t>第</w:t>
      </w:r>
      <w:r>
        <w:rPr>
          <w:rFonts w:ascii="Times New Roman" w:hAnsi="Times New Roman" w:cs="Times New Roman" w:eastAsia="Times New Roman" w:hint="default"/>
          <w:spacing w:val="-3"/>
        </w:rPr>
        <w:t>40</w:t>
      </w:r>
      <w:r>
        <w:rPr>
          <w:spacing w:val="-3"/>
        </w:rPr>
        <w:t>号文批准，以青海制胶总公司</w:t>
      </w:r>
      <w:r>
        <w:rPr>
          <w:rFonts w:ascii="Times New Roman" w:hAnsi="Times New Roman" w:cs="Times New Roman" w:eastAsia="Times New Roman" w:hint="default"/>
          <w:spacing w:val="-3"/>
        </w:rPr>
        <w:t>(</w:t>
      </w:r>
      <w:r>
        <w:rPr>
          <w:spacing w:val="-3"/>
        </w:rPr>
        <w:t>现已改名为青海金牛胶业集团有限公司，以下简称</w:t>
      </w:r>
      <w:r>
        <w:rPr>
          <w:rFonts w:ascii="Times New Roman" w:hAnsi="Times New Roman" w:cs="Times New Roman" w:eastAsia="Times New Roman" w:hint="default"/>
          <w:spacing w:val="-3"/>
        </w:rPr>
        <w:t>“</w:t>
      </w:r>
      <w:r>
        <w:rPr>
          <w:spacing w:val="-3"/>
        </w:rPr>
        <w:t>金牛集团</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3"/>
        </w:rPr>
        <w:t> </w:t>
      </w:r>
      <w:r>
        <w:rPr>
          <w:spacing w:val="-1"/>
        </w:rPr>
        <w:t>为主发起人，联合广东恒丰投资集团有限公司、西宁市自来水公司</w:t>
      </w:r>
      <w:r>
        <w:rPr>
          <w:rFonts w:ascii="Times New Roman" w:hAnsi="Times New Roman" w:cs="Times New Roman" w:eastAsia="Times New Roman" w:hint="default"/>
          <w:spacing w:val="-1"/>
        </w:rPr>
        <w:t>(</w:t>
      </w:r>
      <w:r>
        <w:rPr>
          <w:spacing w:val="-1"/>
        </w:rPr>
        <w:t>现已更名为西宁供水集团有限责任公司</w:t>
      </w:r>
      <w:r>
        <w:rPr>
          <w:rFonts w:ascii="Times New Roman" w:hAnsi="Times New Roman" w:cs="Times New Roman" w:eastAsia="Times New Roman" w:hint="default"/>
          <w:spacing w:val="-1"/>
        </w:rPr>
        <w:t>)</w:t>
      </w:r>
      <w:r>
        <w:rPr>
          <w:spacing w:val="-1"/>
        </w:rPr>
        <w:t>、青海省化工进</w:t>
      </w:r>
      <w:r>
        <w:rPr>
          <w:spacing w:val="-59"/>
        </w:rPr>
        <w:t> </w:t>
      </w:r>
      <w:r>
        <w:rPr>
          <w:spacing w:val="-59"/>
        </w:rPr>
      </w:r>
      <w:r>
        <w:rPr>
          <w:spacing w:val="-1"/>
        </w:rPr>
        <w:t>出口公司</w:t>
      </w:r>
      <w:r>
        <w:rPr>
          <w:rFonts w:ascii="Times New Roman" w:hAnsi="Times New Roman" w:cs="Times New Roman" w:eastAsia="Times New Roman" w:hint="default"/>
          <w:spacing w:val="-1"/>
        </w:rPr>
        <w:t>(</w:t>
      </w:r>
      <w:r>
        <w:rPr>
          <w:spacing w:val="-1"/>
        </w:rPr>
        <w:t>现已更名为青海省新机五金矿产化工有限公司</w:t>
      </w:r>
      <w:r>
        <w:rPr>
          <w:rFonts w:ascii="Times New Roman" w:hAnsi="Times New Roman" w:cs="Times New Roman" w:eastAsia="Times New Roman" w:hint="default"/>
          <w:spacing w:val="-1"/>
        </w:rPr>
        <w:t>)</w:t>
      </w:r>
      <w:r>
        <w:rPr>
          <w:spacing w:val="-1"/>
        </w:rPr>
        <w:t>、江门市蓬江区恒业化工商行、北京第三制药厂（现已更名为北京</w:t>
      </w:r>
      <w:r>
        <w:rPr>
          <w:spacing w:val="-59"/>
        </w:rPr>
        <w:t> </w:t>
      </w:r>
      <w:r>
        <w:rPr>
          <w:spacing w:val="-59"/>
        </w:rPr>
      </w:r>
      <w:r>
        <w:rPr/>
        <w:t>紫竹药业有限公司）共同发起，采用社会募集方式设立的股份有限公司。</w:t>
      </w:r>
    </w:p>
    <w:p>
      <w:pPr>
        <w:pStyle w:val="BodyText"/>
        <w:spacing w:line="300" w:lineRule="auto" w:before="31"/>
        <w:ind w:right="1130" w:firstLine="434"/>
        <w:jc w:val="both"/>
      </w:pPr>
      <w:r>
        <w:rPr>
          <w:spacing w:val="-2"/>
        </w:rPr>
        <w:t>经中国证券监督管理委员会证监发字（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163</w:t>
      </w:r>
      <w:r>
        <w:rPr>
          <w:spacing w:val="-2"/>
        </w:rPr>
        <w:t>号和</w:t>
      </w:r>
      <w:r>
        <w:rPr>
          <w:rFonts w:ascii="Times New Roman" w:hAnsi="Times New Roman" w:cs="Times New Roman" w:eastAsia="Times New Roman" w:hint="default"/>
          <w:spacing w:val="-2"/>
        </w:rPr>
        <w:t>164</w:t>
      </w:r>
      <w:r>
        <w:rPr>
          <w:spacing w:val="-2"/>
        </w:rPr>
        <w:t>号文批准，本公司于</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月向社会公开发行人民币普通股</w:t>
      </w:r>
      <w:r>
        <w:rPr/>
        <w:t> 股票</w:t>
      </w:r>
      <w:r>
        <w:rPr>
          <w:rFonts w:ascii="Times New Roman" w:hAnsi="Times New Roman" w:cs="Times New Roman" w:eastAsia="Times New Roman" w:hint="default"/>
        </w:rPr>
        <w:t>1,500</w:t>
      </w:r>
      <w:r>
        <w:rPr/>
        <w:t>万股，每股面值人民币壹元，并于同年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日在深圳证券交易所挂牌交易。</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日，本公司领取了注册 号为</w:t>
      </w:r>
      <w:r>
        <w:rPr>
          <w:rFonts w:ascii="Times New Roman" w:hAnsi="Times New Roman" w:cs="Times New Roman" w:eastAsia="Times New Roman" w:hint="default"/>
        </w:rPr>
        <w:t>22659245-9</w:t>
      </w:r>
      <w:r>
        <w:rPr/>
        <w:t>的企业法人营业执照，注册资本为人民币</w:t>
      </w:r>
      <w:r>
        <w:rPr>
          <w:rFonts w:ascii="Times New Roman" w:hAnsi="Times New Roman" w:cs="Times New Roman" w:eastAsia="Times New Roman" w:hint="default"/>
        </w:rPr>
        <w:t>5150</w:t>
      </w:r>
      <w:r>
        <w:rPr/>
        <w:t>万元。</w:t>
      </w:r>
    </w:p>
    <w:p>
      <w:pPr>
        <w:pStyle w:val="BodyText"/>
        <w:spacing w:line="300" w:lineRule="auto" w:before="13"/>
        <w:ind w:right="1038" w:firstLine="362"/>
        <w:jc w:val="left"/>
      </w:pPr>
      <w:r>
        <w:rPr>
          <w:spacing w:val="-3"/>
        </w:rPr>
        <w:t>经中国证券监督管理委员会证监上字（</w:t>
      </w:r>
      <w:r>
        <w:rPr>
          <w:rFonts w:ascii="Times New Roman" w:hAnsi="Times New Roman" w:cs="Times New Roman" w:eastAsia="Times New Roman" w:hint="default"/>
          <w:spacing w:val="-3"/>
        </w:rPr>
        <w:t>1997</w:t>
      </w:r>
      <w:r>
        <w:rPr>
          <w:spacing w:val="-3"/>
        </w:rPr>
        <w:t>）</w:t>
      </w:r>
      <w:r>
        <w:rPr>
          <w:rFonts w:ascii="Times New Roman" w:hAnsi="Times New Roman" w:cs="Times New Roman" w:eastAsia="Times New Roman" w:hint="default"/>
          <w:spacing w:val="-3"/>
        </w:rPr>
        <w:t>119</w:t>
      </w:r>
      <w:r>
        <w:rPr>
          <w:spacing w:val="-3"/>
        </w:rPr>
        <w:t>号、证监公司字（</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106</w:t>
      </w:r>
      <w:r>
        <w:rPr>
          <w:spacing w:val="-3"/>
        </w:rPr>
        <w:t>号文批准，本公司分别于</w:t>
      </w: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2</w:t>
      </w:r>
      <w:r>
        <w:rPr>
          <w:spacing w:val="-3"/>
        </w:rPr>
        <w:t>月及</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spacing w:val="-3"/>
        </w:rPr>
        <w:t>年</w:t>
      </w:r>
      <w:r>
        <w:rPr>
          <w:rFonts w:ascii="Times New Roman" w:hAnsi="Times New Roman" w:cs="Times New Roman" w:eastAsia="Times New Roman" w:hint="default"/>
          <w:spacing w:val="-3"/>
        </w:rPr>
        <w:t>8</w:t>
      </w:r>
      <w:r>
        <w:rPr>
          <w:spacing w:val="-3"/>
        </w:rPr>
        <w:t>月实施每</w:t>
      </w:r>
      <w:r>
        <w:rPr>
          <w:rFonts w:ascii="Times New Roman" w:hAnsi="Times New Roman" w:cs="Times New Roman" w:eastAsia="Times New Roman" w:hint="default"/>
          <w:spacing w:val="-3"/>
        </w:rPr>
        <w:t>10</w:t>
      </w:r>
      <w:r>
        <w:rPr>
          <w:spacing w:val="-3"/>
        </w:rPr>
        <w:t>股配</w:t>
      </w:r>
      <w:r>
        <w:rPr>
          <w:rFonts w:ascii="Times New Roman" w:hAnsi="Times New Roman" w:cs="Times New Roman" w:eastAsia="Times New Roman" w:hint="default"/>
          <w:spacing w:val="-3"/>
        </w:rPr>
        <w:t>3</w:t>
      </w:r>
      <w:r>
        <w:rPr>
          <w:spacing w:val="-3"/>
        </w:rPr>
        <w:t>股的增资方案。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7</w:t>
      </w:r>
      <w:r>
        <w:rPr>
          <w:spacing w:val="-3"/>
        </w:rPr>
        <w:t>日，本公司临时股东大会审议通过了资本公积金每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股的增资方案。</w:t>
      </w:r>
      <w:r>
        <w:rPr>
          <w:spacing w:val="-78"/>
        </w:rPr>
        <w:t> </w:t>
      </w:r>
      <w:r>
        <w:rPr/>
        <w:t>经中国证券监督管理委员证监发行字</w:t>
      </w:r>
      <w:r>
        <w:rPr>
          <w:rFonts w:ascii="Times New Roman" w:hAnsi="Times New Roman" w:cs="Times New Roman" w:eastAsia="Times New Roman" w:hint="default"/>
        </w:rPr>
        <w:t>[2007]45</w:t>
      </w:r>
      <w:r>
        <w:rPr/>
        <w:t>号文批准，本公司向控股股东、证券公司、信托投资公司、财务公司、保险机 构投资者及其他机构投资者等特定投资者非公开发行股票</w:t>
      </w:r>
      <w:r>
        <w:rPr>
          <w:rFonts w:ascii="Times New Roman" w:hAnsi="Times New Roman" w:cs="Times New Roman" w:eastAsia="Times New Roman" w:hint="default"/>
        </w:rPr>
        <w:t>3500</w:t>
      </w:r>
      <w:r>
        <w:rPr/>
        <w:t>万股。根据本公司</w:t>
      </w:r>
      <w:r>
        <w:rPr>
          <w:rFonts w:ascii="Times New Roman" w:hAnsi="Times New Roman" w:cs="Times New Roman" w:eastAsia="Times New Roman" w:hint="default"/>
        </w:rPr>
        <w:t>2006</w:t>
      </w:r>
      <w:r>
        <w:rPr/>
        <w:t>年度股东大会审议通过按每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 </w:t>
      </w:r>
      <w:r>
        <w:rPr>
          <w:spacing w:val="-5"/>
        </w:rPr>
        <w:t>股的增资方案，以资本公积和未分配利润转增股本。以上方案实施后，本公司注册资本变更为人民币</w:t>
      </w:r>
      <w:r>
        <w:rPr>
          <w:rFonts w:ascii="Times New Roman" w:hAnsi="Times New Roman" w:cs="Times New Roman" w:eastAsia="Times New Roman" w:hint="default"/>
          <w:spacing w:val="-5"/>
        </w:rPr>
        <w:t>22,404.24</w:t>
      </w:r>
      <w:r>
        <w:rPr>
          <w:spacing w:val="-5"/>
        </w:rPr>
        <w:t>万元，并于</w:t>
      </w:r>
      <w:r>
        <w:rPr>
          <w:rFonts w:ascii="Times New Roman" w:hAnsi="Times New Roman" w:cs="Times New Roman" w:eastAsia="Times New Roman" w:hint="default"/>
          <w:spacing w:val="-5"/>
        </w:rPr>
        <w:t>2007</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日更换企业法人营业执照，注册号</w:t>
      </w:r>
      <w:r>
        <w:rPr>
          <w:rFonts w:ascii="Times New Roman" w:hAnsi="Times New Roman" w:cs="Times New Roman" w:eastAsia="Times New Roman" w:hint="default"/>
        </w:rPr>
        <w:t>6300001200698</w:t>
      </w:r>
      <w:r>
        <w:rPr/>
        <w:t>。</w:t>
      </w:r>
    </w:p>
    <w:p>
      <w:pPr>
        <w:pStyle w:val="BodyText"/>
        <w:spacing w:line="300" w:lineRule="auto" w:before="13"/>
        <w:ind w:right="0" w:firstLine="290"/>
        <w:jc w:val="left"/>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日中国证券监督管理委员会证监许可【</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1449</w:t>
      </w:r>
      <w:r>
        <w:rPr/>
        <w:t>号文核准，本公司非公开发行新股，发行面值为</w:t>
      </w:r>
      <w:r>
        <w:rPr>
          <w:rFonts w:ascii="Times New Roman" w:hAnsi="Times New Roman" w:cs="Times New Roman" w:eastAsia="Times New Roman" w:hint="default"/>
        </w:rPr>
        <w:t>1 </w:t>
      </w:r>
      <w:r>
        <w:rPr/>
        <w:t>元的人民币普通股股票</w:t>
      </w:r>
      <w:r>
        <w:rPr>
          <w:rFonts w:ascii="Times New Roman" w:hAnsi="Times New Roman" w:cs="Times New Roman" w:eastAsia="Times New Roman" w:hint="default"/>
        </w:rPr>
        <w:t>4,660</w:t>
      </w:r>
      <w:r>
        <w:rPr/>
        <w:t>万股，每股发行价为人民币</w:t>
      </w:r>
      <w:r>
        <w:rPr>
          <w:rFonts w:ascii="Times New Roman" w:hAnsi="Times New Roman" w:cs="Times New Roman" w:eastAsia="Times New Roman" w:hint="default"/>
        </w:rPr>
        <w:t>3.39</w:t>
      </w:r>
      <w:r>
        <w:rPr/>
        <w:t>元。本公司申请增加注册资本人民币</w:t>
      </w:r>
      <w:r>
        <w:rPr>
          <w:rFonts w:ascii="Times New Roman" w:hAnsi="Times New Roman" w:cs="Times New Roman" w:eastAsia="Times New Roman" w:hint="default"/>
        </w:rPr>
        <w:t>4,660</w:t>
      </w:r>
      <w:r>
        <w:rPr/>
        <w:t>万元，变更后的注册 资本为人民币</w:t>
      </w:r>
      <w:r>
        <w:rPr>
          <w:rFonts w:ascii="Times New Roman" w:hAnsi="Times New Roman" w:cs="Times New Roman" w:eastAsia="Times New Roman" w:hint="default"/>
        </w:rPr>
        <w:t>27,064.24</w:t>
      </w:r>
      <w:r>
        <w:rPr/>
        <w:t>万元，股本为人民币</w:t>
      </w:r>
      <w:r>
        <w:rPr>
          <w:rFonts w:ascii="Times New Roman" w:hAnsi="Times New Roman" w:cs="Times New Roman" w:eastAsia="Times New Roman" w:hint="default"/>
        </w:rPr>
        <w:t>27,064.24</w:t>
      </w:r>
      <w:r>
        <w:rPr/>
        <w:t>万元。 </w:t>
      </w:r>
      <w:r>
        <w:rPr>
          <w:spacing w:val="-2"/>
        </w:rPr>
        <w:t>根据本公司</w:t>
      </w:r>
      <w:r>
        <w:rPr>
          <w:rFonts w:ascii="Times New Roman" w:hAnsi="Times New Roman" w:cs="Times New Roman" w:eastAsia="Times New Roman" w:hint="default"/>
          <w:spacing w:val="-2"/>
        </w:rPr>
        <w:t>2008</w:t>
      </w:r>
      <w:r>
        <w:rPr>
          <w:spacing w:val="-2"/>
        </w:rPr>
        <w:t>年年度股东大会决议和章程修正案的规定，由资本公积和未分配利润转增股本，本公司申请增加注册资本人</w:t>
      </w:r>
      <w:r>
        <w:rPr>
          <w:spacing w:val="-60"/>
        </w:rPr>
        <w:t> </w:t>
      </w:r>
      <w:r>
        <w:rPr>
          <w:spacing w:val="-60"/>
        </w:rPr>
      </w:r>
      <w:r>
        <w:rPr>
          <w:spacing w:val="-2"/>
        </w:rPr>
        <w:t>民币</w:t>
      </w:r>
      <w:r>
        <w:rPr>
          <w:rFonts w:ascii="Times New Roman" w:hAnsi="Times New Roman" w:cs="Times New Roman" w:eastAsia="Times New Roman" w:hint="default"/>
          <w:spacing w:val="-2"/>
        </w:rPr>
        <w:t>13,532.12</w:t>
      </w:r>
      <w:r>
        <w:rPr>
          <w:spacing w:val="-2"/>
        </w:rPr>
        <w:t>万元，变更后的注册资本为人民币</w:t>
      </w:r>
      <w:r>
        <w:rPr>
          <w:rFonts w:ascii="Times New Roman" w:hAnsi="Times New Roman" w:cs="Times New Roman" w:eastAsia="Times New Roman" w:hint="default"/>
          <w:spacing w:val="-2"/>
        </w:rPr>
        <w:t>40,596.36</w:t>
      </w:r>
      <w:r>
        <w:rPr>
          <w:spacing w:val="-2"/>
        </w:rPr>
        <w:t>万元，股本为人民币</w:t>
      </w:r>
      <w:r>
        <w:rPr>
          <w:rFonts w:ascii="Times New Roman" w:hAnsi="Times New Roman" w:cs="Times New Roman" w:eastAsia="Times New Roman" w:hint="default"/>
          <w:spacing w:val="-2"/>
        </w:rPr>
        <w:t>40,596.36</w:t>
      </w:r>
      <w:r>
        <w:rPr>
          <w:spacing w:val="-2"/>
        </w:rPr>
        <w:t>万元。并更换企业法人营业执照，注</w:t>
      </w:r>
      <w:r>
        <w:rPr>
          <w:spacing w:val="-42"/>
        </w:rPr>
        <w:t> </w:t>
      </w:r>
      <w:r>
        <w:rPr>
          <w:spacing w:val="-42"/>
        </w:rPr>
      </w:r>
      <w:r>
        <w:rPr/>
        <w:t>册号</w:t>
      </w:r>
      <w:r>
        <w:rPr>
          <w:rFonts w:ascii="Times New Roman" w:hAnsi="Times New Roman" w:cs="Times New Roman" w:eastAsia="Times New Roman" w:hint="default"/>
        </w:rPr>
        <w:t>63000100006984</w:t>
      </w:r>
      <w:r>
        <w:rPr/>
        <w:t>。</w:t>
      </w:r>
    </w:p>
    <w:p>
      <w:pPr>
        <w:pStyle w:val="BodyText"/>
        <w:spacing w:line="300" w:lineRule="auto" w:before="13"/>
        <w:ind w:right="0" w:firstLine="290"/>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日中国证券监督管理委员会证监许可【</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1484</w:t>
      </w:r>
      <w:r>
        <w:rPr/>
        <w:t>号文核准，本公司非公开发行新股，发行面值为</w:t>
      </w:r>
      <w:r>
        <w:rPr>
          <w:rFonts w:ascii="Times New Roman" w:hAnsi="Times New Roman" w:cs="Times New Roman" w:eastAsia="Times New Roman" w:hint="default"/>
        </w:rPr>
        <w:t>1 </w:t>
      </w:r>
      <w:r>
        <w:rPr>
          <w:spacing w:val="-2"/>
        </w:rPr>
        <w:t>元的人民币普通股股票</w:t>
      </w:r>
      <w:r>
        <w:rPr>
          <w:rFonts w:ascii="Times New Roman" w:hAnsi="Times New Roman" w:cs="Times New Roman" w:eastAsia="Times New Roman" w:hint="default"/>
          <w:spacing w:val="-2"/>
        </w:rPr>
        <w:t>6,615</w:t>
      </w:r>
      <w:r>
        <w:rPr>
          <w:spacing w:val="-2"/>
        </w:rPr>
        <w:t>万股，每股发行价为人民币</w:t>
      </w:r>
      <w:r>
        <w:rPr>
          <w:rFonts w:ascii="Times New Roman" w:hAnsi="Times New Roman" w:cs="Times New Roman" w:eastAsia="Times New Roman" w:hint="default"/>
          <w:spacing w:val="-2"/>
        </w:rPr>
        <w:t>5.13</w:t>
      </w:r>
      <w:r>
        <w:rPr>
          <w:spacing w:val="-2"/>
        </w:rPr>
        <w:t>元。本公司申请增加注册资本人民币</w:t>
      </w:r>
      <w:r>
        <w:rPr>
          <w:rFonts w:ascii="Times New Roman" w:hAnsi="Times New Roman" w:cs="Times New Roman" w:eastAsia="Times New Roman" w:hint="default"/>
          <w:spacing w:val="-2"/>
        </w:rPr>
        <w:t>6615</w:t>
      </w:r>
      <w:r>
        <w:rPr>
          <w:spacing w:val="-2"/>
        </w:rPr>
        <w:t>万元，变更后的注册资</w:t>
      </w:r>
      <w:r>
        <w:rPr>
          <w:spacing w:val="-54"/>
        </w:rPr>
        <w:t> </w:t>
      </w:r>
      <w:r>
        <w:rPr>
          <w:spacing w:val="-54"/>
        </w:rPr>
      </w:r>
      <w:r>
        <w:rPr/>
        <w:t>本为人民币</w:t>
      </w:r>
      <w:r>
        <w:rPr>
          <w:rFonts w:ascii="Times New Roman" w:hAnsi="Times New Roman" w:cs="Times New Roman" w:eastAsia="Times New Roman" w:hint="default"/>
        </w:rPr>
        <w:t>47,211.36</w:t>
      </w:r>
      <w:r>
        <w:rPr/>
        <w:t>万元，股本为人民币</w:t>
      </w:r>
      <w:r>
        <w:rPr>
          <w:rFonts w:ascii="Times New Roman" w:hAnsi="Times New Roman" w:cs="Times New Roman" w:eastAsia="Times New Roman" w:hint="default"/>
        </w:rPr>
        <w:t>47,211.36</w:t>
      </w:r>
      <w:r>
        <w:rPr/>
        <w:t>万元。企业法人营业执照统一社会信用代码</w:t>
      </w:r>
      <w:r>
        <w:rPr>
          <w:rFonts w:ascii="Times New Roman" w:hAnsi="Times New Roman" w:cs="Times New Roman" w:eastAsia="Times New Roman" w:hint="default"/>
        </w:rPr>
        <w:t>916300002265924591</w:t>
      </w:r>
      <w:r>
        <w:rPr/>
        <w:t>号。</w:t>
      </w:r>
    </w:p>
    <w:p>
      <w:pPr>
        <w:pStyle w:val="BodyText"/>
        <w:spacing w:line="300" w:lineRule="auto" w:before="13"/>
        <w:ind w:right="1032" w:firstLine="29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日证券监督管理委员会《关于核准青海明胶股份有限公司向彭聪等发行股份购买资产并募集配套资金 </w:t>
      </w:r>
      <w:r>
        <w:rPr>
          <w:spacing w:val="-10"/>
        </w:rPr>
        <w:t>的批复》（证监许可</w:t>
      </w:r>
      <w:r>
        <w:rPr>
          <w:rFonts w:ascii="Times New Roman" w:hAnsi="Times New Roman" w:cs="Times New Roman" w:eastAsia="Times New Roman" w:hint="default"/>
          <w:spacing w:val="-10"/>
        </w:rPr>
        <w:t>[2016]577</w:t>
      </w:r>
      <w:r>
        <w:rPr>
          <w:rFonts w:ascii="Times New Roman" w:hAnsi="Times New Roman" w:cs="Times New Roman" w:eastAsia="Times New Roman" w:hint="default"/>
          <w:spacing w:val="32"/>
        </w:rPr>
        <w:t> </w:t>
      </w:r>
      <w:r>
        <w:rPr>
          <w:spacing w:val="-8"/>
        </w:rPr>
        <w:t>号），核准本公司向彭聪发行</w:t>
      </w:r>
      <w:r>
        <w:rPr>
          <w:rFonts w:ascii="Times New Roman" w:hAnsi="Times New Roman" w:cs="Times New Roman" w:eastAsia="Times New Roman" w:hint="default"/>
          <w:spacing w:val="-8"/>
        </w:rPr>
        <w:t>78,130,329</w:t>
      </w:r>
      <w:r>
        <w:rPr>
          <w:rFonts w:ascii="Times New Roman" w:hAnsi="Times New Roman" w:cs="Times New Roman" w:eastAsia="Times New Roman" w:hint="default"/>
          <w:spacing w:val="31"/>
        </w:rPr>
        <w:t> </w:t>
      </w:r>
      <w:r>
        <w:rPr>
          <w:spacing w:val="-9"/>
        </w:rPr>
        <w:t>股股份、向百达永信（北京）投资有限公司发行</w:t>
      </w:r>
      <w:r>
        <w:rPr>
          <w:rFonts w:ascii="Times New Roman" w:hAnsi="Times New Roman" w:cs="Times New Roman" w:eastAsia="Times New Roman" w:hint="default"/>
          <w:spacing w:val="-9"/>
        </w:rPr>
        <w:t>45,768,340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股股份、向新疆泰达新源股权投资有限公司发行</w:t>
      </w:r>
      <w:r>
        <w:rPr>
          <w:rFonts w:ascii="Times New Roman" w:hAnsi="Times New Roman" w:cs="Times New Roman" w:eastAsia="Times New Roman" w:hint="default"/>
        </w:rPr>
        <w:t>22,944,207</w:t>
      </w:r>
      <w:r>
        <w:rPr/>
        <w:t>股股份购买相关资产；经第七届董事会</w:t>
      </w:r>
      <w:r>
        <w:rPr>
          <w:rFonts w:ascii="Times New Roman" w:hAnsi="Times New Roman" w:cs="Times New Roman" w:eastAsia="Times New Roman" w:hint="default"/>
        </w:rPr>
        <w:t>2016</w:t>
      </w:r>
      <w:r>
        <w:rPr/>
        <w:t>年第六次临时会议、 </w:t>
      </w:r>
      <w:r>
        <w:rPr>
          <w:rFonts w:ascii="Times New Roman" w:hAnsi="Times New Roman" w:cs="Times New Roman" w:eastAsia="Times New Roman" w:hint="default"/>
          <w:spacing w:val="-2"/>
        </w:rPr>
        <w:t>2015</w:t>
      </w:r>
      <w:r>
        <w:rPr>
          <w:spacing w:val="-2"/>
        </w:rPr>
        <w:t>年年度股东大会审议通过了《关于修订公司章程的议案》、《关于公司名称、经营范围变更的议案》，</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日公</w:t>
      </w:r>
      <w:r>
        <w:rPr>
          <w:spacing w:val="-58"/>
        </w:rPr>
        <w:t> </w:t>
      </w:r>
      <w:r>
        <w:rPr>
          <w:spacing w:val="-3"/>
        </w:rPr>
        <w:t>司完成了工商登记变更手续，取得了青海省工商行政管理局颁发的《营业执照》，统一社会信用代码：</w:t>
      </w:r>
      <w:r>
        <w:rPr>
          <w:rFonts w:ascii="Times New Roman" w:hAnsi="Times New Roman" w:cs="Times New Roman" w:eastAsia="Times New Roman" w:hint="default"/>
          <w:spacing w:val="-3"/>
        </w:rPr>
        <w:t>916300002265924591</w:t>
      </w:r>
      <w:r>
        <w:rPr>
          <w:spacing w:val="-3"/>
        </w:rPr>
        <w:t>，</w:t>
      </w:r>
      <w:r>
        <w:rPr>
          <w:spacing w:val="-72"/>
        </w:rPr>
        <w:t> </w:t>
      </w:r>
      <w:r>
        <w:rPr>
          <w:spacing w:val="-2"/>
        </w:rPr>
        <w:t>本公司增加注册资本</w:t>
      </w:r>
      <w:r>
        <w:rPr>
          <w:rFonts w:ascii="Times New Roman" w:hAnsi="Times New Roman" w:cs="Times New Roman" w:eastAsia="Times New Roman" w:hint="default"/>
          <w:spacing w:val="-2"/>
        </w:rPr>
        <w:t>14,684.2876</w:t>
      </w:r>
      <w:r>
        <w:rPr>
          <w:spacing w:val="-2"/>
        </w:rPr>
        <w:t>万元，变更后的注册资本为人民币</w:t>
      </w:r>
      <w:r>
        <w:rPr>
          <w:rFonts w:ascii="Times New Roman" w:hAnsi="Times New Roman" w:cs="Times New Roman" w:eastAsia="Times New Roman" w:hint="default"/>
          <w:spacing w:val="-2"/>
        </w:rPr>
        <w:t>61,895.6476</w:t>
      </w:r>
      <w:r>
        <w:rPr>
          <w:spacing w:val="-2"/>
        </w:rPr>
        <w:t>万元；本公司更名为神州易桥信息服务股份有</w:t>
      </w:r>
      <w:r>
        <w:rPr>
          <w:spacing w:val="-46"/>
        </w:rPr>
        <w:t> </w:t>
      </w:r>
      <w:r>
        <w:rPr>
          <w:spacing w:val="-46"/>
        </w:rPr>
      </w:r>
      <w:r>
        <w:rPr/>
        <w:t>限公司。</w:t>
      </w:r>
    </w:p>
    <w:p>
      <w:pPr>
        <w:pStyle w:val="BodyText"/>
        <w:spacing w:line="300" w:lineRule="auto" w:before="31"/>
        <w:ind w:right="1042" w:firstLine="29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14</w:t>
      </w:r>
      <w:r>
        <w:rPr>
          <w:spacing w:val="-1"/>
        </w:rPr>
        <w:t>日，本公司分别向连良桂、智尚田发行人民币普通股</w:t>
      </w:r>
      <w:r>
        <w:rPr>
          <w:rFonts w:ascii="Times New Roman" w:hAnsi="Times New Roman" w:cs="Times New Roman" w:eastAsia="Times New Roman" w:hint="default"/>
          <w:spacing w:val="-1"/>
        </w:rPr>
        <w:t>124,816,446</w:t>
      </w:r>
      <w:r>
        <w:rPr>
          <w:spacing w:val="-1"/>
        </w:rPr>
        <w:t>股、</w:t>
      </w:r>
      <w:r>
        <w:rPr>
          <w:rFonts w:ascii="Times New Roman" w:hAnsi="Times New Roman" w:cs="Times New Roman" w:eastAsia="Times New Roman" w:hint="default"/>
          <w:spacing w:val="-1"/>
        </w:rPr>
        <w:t>22,026,431</w:t>
      </w:r>
      <w:r>
        <w:rPr>
          <w:spacing w:val="-1"/>
        </w:rPr>
        <w:t>股，发行面值为人民币</w:t>
      </w:r>
      <w:r>
        <w:rPr>
          <w:rFonts w:ascii="Times New Roman" w:hAnsi="Times New Roman" w:cs="Times New Roman" w:eastAsia="Times New Roman" w:hint="default"/>
          <w:spacing w:val="-1"/>
        </w:rPr>
        <w:t>1</w:t>
      </w:r>
      <w:r>
        <w:rPr>
          <w:spacing w:val="-1"/>
        </w:rPr>
        <w:t>元，</w:t>
      </w:r>
      <w:r>
        <w:rPr/>
        <w:t> </w:t>
      </w:r>
      <w:r>
        <w:rPr>
          <w:spacing w:val="-3"/>
        </w:rPr>
        <w:t>发行价格</w:t>
      </w:r>
      <w:r>
        <w:rPr>
          <w:rFonts w:ascii="Times New Roman" w:hAnsi="Times New Roman" w:cs="Times New Roman" w:eastAsia="Times New Roman" w:hint="default"/>
          <w:spacing w:val="-3"/>
        </w:rPr>
        <w:t>6.81</w:t>
      </w:r>
      <w:r>
        <w:rPr>
          <w:spacing w:val="-3"/>
        </w:rPr>
        <w:t>元</w:t>
      </w:r>
      <w:r>
        <w:rPr>
          <w:rFonts w:ascii="Times New Roman" w:hAnsi="Times New Roman" w:cs="Times New Roman" w:eastAsia="Times New Roman" w:hint="default"/>
          <w:spacing w:val="-3"/>
        </w:rPr>
        <w:t>/</w:t>
      </w:r>
      <w:r>
        <w:rPr>
          <w:spacing w:val="-3"/>
        </w:rPr>
        <w:t>股，本公司增加注册资本</w:t>
      </w:r>
      <w:r>
        <w:rPr>
          <w:rFonts w:ascii="Times New Roman" w:hAnsi="Times New Roman" w:cs="Times New Roman" w:eastAsia="Times New Roman" w:hint="default"/>
          <w:spacing w:val="-3"/>
        </w:rPr>
        <w:t>14,684.2877</w:t>
      </w:r>
      <w:r>
        <w:rPr>
          <w:spacing w:val="-3"/>
        </w:rPr>
        <w:t>万元，变更后的注册资本为</w:t>
      </w:r>
      <w:r>
        <w:rPr>
          <w:rFonts w:ascii="Times New Roman" w:hAnsi="Times New Roman" w:cs="Times New Roman" w:eastAsia="Times New Roman" w:hint="default"/>
          <w:spacing w:val="-3"/>
        </w:rPr>
        <w:t>76,579.9353</w:t>
      </w:r>
      <w:r>
        <w:rPr>
          <w:spacing w:val="-3"/>
        </w:rPr>
        <w:t>万元。本公司法定代表人：彭聪；</w:t>
      </w:r>
      <w:r>
        <w:rPr>
          <w:spacing w:val="-66"/>
        </w:rPr>
        <w:t> </w:t>
      </w:r>
      <w:r>
        <w:rPr>
          <w:spacing w:val="-66"/>
        </w:rPr>
      </w:r>
      <w:r>
        <w:rPr/>
        <w:t>经营期限：长期。</w:t>
      </w:r>
    </w:p>
    <w:p>
      <w:pPr>
        <w:pStyle w:val="BodyText"/>
        <w:spacing w:line="300" w:lineRule="auto" w:before="31"/>
        <w:ind w:left="44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日本公司更名为顺利办信息服务股份有限公司。 </w:t>
      </w:r>
      <w:r>
        <w:rPr>
          <w:spacing w:val="-1"/>
        </w:rPr>
        <w:t>本公司经营范围为：信息技术开发、推广、服务、咨询与转让；研制、开发多媒体网络信息系统软件、多媒体网络工程</w:t>
      </w:r>
    </w:p>
    <w:p>
      <w:pPr>
        <w:pStyle w:val="BodyText"/>
        <w:spacing w:line="316" w:lineRule="auto" w:before="31"/>
        <w:ind w:left="371" w:right="1160" w:hanging="218"/>
        <w:jc w:val="left"/>
      </w:pPr>
      <w:r>
        <w:rPr/>
        <w:t>设计咨询、企业中介代理并提供相关的技术、管理和咨询服务等；经营期限：长期。 本公司位于青海省西宁市城西区五四西路 </w:t>
      </w:r>
      <w:r>
        <w:rPr>
          <w:rFonts w:ascii="Times New Roman" w:hAnsi="Times New Roman" w:cs="Times New Roman" w:eastAsia="Times New Roman" w:hint="default"/>
        </w:rPr>
        <w:t>57 </w:t>
      </w:r>
      <w:r>
        <w:rPr/>
        <w:t>号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号楼，主要从事服务业；本公司及控股子公司主要产品包括：人力资</w:t>
      </w:r>
    </w:p>
    <w:p>
      <w:pPr>
        <w:pStyle w:val="BodyText"/>
        <w:spacing w:line="316" w:lineRule="auto"/>
        <w:ind w:left="516" w:right="1120" w:hanging="363"/>
        <w:jc w:val="left"/>
      </w:pPr>
      <w:r>
        <w:rPr/>
        <w:t>本、顾问咨询等。 本财务报表已于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日经第八届董事会第二次会议批准。按照有关法律、行政法规等规定，本公司股东大会或</w:t>
      </w:r>
    </w:p>
    <w:p>
      <w:pPr>
        <w:pStyle w:val="BodyText"/>
        <w:spacing w:line="235" w:lineRule="exact"/>
        <w:ind w:right="0"/>
        <w:jc w:val="left"/>
      </w:pPr>
      <w:r>
        <w:rPr/>
        <w:t>其他方面有权对报出的财务报告进行修改。</w:t>
      </w:r>
    </w:p>
    <w:p>
      <w:pPr>
        <w:spacing w:line="240" w:lineRule="auto" w:before="0"/>
        <w:rPr>
          <w:rFonts w:ascii="宋体" w:hAnsi="宋体" w:cs="宋体" w:eastAsia="宋体" w:hint="default"/>
          <w:sz w:val="18"/>
          <w:szCs w:val="18"/>
        </w:rPr>
      </w:pPr>
    </w:p>
    <w:p>
      <w:pPr>
        <w:pStyle w:val="BodyText"/>
        <w:spacing w:line="240" w:lineRule="auto" w:before="153"/>
        <w:ind w:left="299" w:right="0"/>
        <w:jc w:val="left"/>
      </w:pPr>
      <w:r>
        <w:rPr/>
        <w:t>本报告期，公司完成了对霍尔果斯快马财税管理服务有限公司</w:t>
      </w:r>
      <w:r>
        <w:rPr>
          <w:rFonts w:ascii="Times New Roman" w:hAnsi="Times New Roman" w:cs="Times New Roman" w:eastAsia="Times New Roman" w:hint="default"/>
        </w:rPr>
        <w:t>60%</w:t>
      </w:r>
      <w:r>
        <w:rPr/>
        <w:t>股权收购的重大资产重组并纳入合并范围，使本公司本</w:t>
      </w:r>
    </w:p>
    <w:p>
      <w:pPr>
        <w:spacing w:after="0" w:line="240" w:lineRule="auto"/>
        <w:jc w:val="left"/>
        <w:sectPr>
          <w:headerReference w:type="default" r:id="rId31"/>
          <w:footerReference w:type="default" r:id="rId32"/>
          <w:pgSz w:w="11910" w:h="16840"/>
          <w:pgMar w:header="877" w:footer="979" w:top="1060" w:bottom="1160" w:left="980" w:right="0"/>
          <w:pgNumType w:start="106"/>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报告期纳入合并范围的子公司共</w:t>
      </w:r>
      <w:r>
        <w:rPr>
          <w:rFonts w:ascii="Times New Roman" w:hAnsi="Times New Roman" w:cs="Times New Roman" w:eastAsia="Times New Roman" w:hint="default"/>
        </w:rPr>
        <w:t>5</w:t>
      </w:r>
      <w:r>
        <w:rPr/>
        <w:t>户，详见本附注</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0"/>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1" w:firstLine="300"/>
        <w:jc w:val="both"/>
      </w:pPr>
      <w:r>
        <w:rPr>
          <w:spacing w:val="-1"/>
        </w:rPr>
        <w:t>根据企业会计准则的相关规定，本公司会计核算以权责发生制为基础。除某些金融工具外，本财务报表均以历史成本为</w:t>
      </w:r>
      <w:r>
        <w:rPr/>
        <w:t> </w:t>
      </w:r>
      <w:r>
        <w:rPr>
          <w:spacing w:val="-2"/>
        </w:rPr>
        <w:t>计量基础。持有待售的非流动资产，按公允价值减去预计费用后的金额，以及符合持有待售条件时的原账面价值，取两者孰</w:t>
      </w:r>
      <w:r>
        <w:rPr>
          <w:spacing w:val="-66"/>
        </w:rPr>
        <w:t> </w:t>
      </w:r>
      <w:r>
        <w:rPr>
          <w:spacing w:val="-66"/>
        </w:rPr>
      </w:r>
      <w:r>
        <w:rPr/>
        <w:t>低计价。</w:t>
      </w:r>
    </w:p>
    <w:p>
      <w:pPr>
        <w:pStyle w:val="BodyText"/>
        <w:spacing w:line="240" w:lineRule="auto" w:before="19"/>
        <w:ind w:left="454" w:right="0"/>
        <w:jc w:val="left"/>
      </w:pPr>
      <w:r>
        <w:rPr/>
        <w:t>资产如果发生减值，则按照相关规定计提相应的减值准备。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本公司不存在导致对自报告期末起</w:t>
      </w:r>
      <w:r>
        <w:rPr>
          <w:rFonts w:ascii="Times New Roman" w:hAnsi="Times New Roman" w:cs="Times New Roman" w:eastAsia="Times New Roman" w:hint="default"/>
        </w:rPr>
        <w:t>12</w:t>
      </w:r>
      <w:r>
        <w:rPr/>
        <w:t>个月内的持续经营能力产生重大疑虑的事项或情况。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both"/>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299" w:right="1120" w:hanging="146"/>
        <w:jc w:val="left"/>
      </w:pPr>
      <w:r>
        <w:rPr/>
        <w:t>具体会计政策和会计估计提示： </w:t>
      </w:r>
      <w:r>
        <w:rPr>
          <w:spacing w:val="-1"/>
        </w:rPr>
        <w:t>本公司及各子公司主要从事企业互联网服务等的经营。本公司及各子公司根据实际生产经营特点，依据相关企业会计准则</w:t>
      </w:r>
    </w:p>
    <w:p>
      <w:pPr>
        <w:pStyle w:val="BodyText"/>
        <w:spacing w:line="237" w:lineRule="exact"/>
        <w:ind w:right="0"/>
        <w:jc w:val="both"/>
      </w:pPr>
      <w:r>
        <w:rPr/>
        <w:t>的规定，对收入确认等交易和事项制定了若干项具体会计政策和会计估计，详见本附注</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各项描述。关于管理层所作出</w:t>
      </w:r>
    </w:p>
    <w:p>
      <w:pPr>
        <w:pStyle w:val="BodyText"/>
        <w:spacing w:line="240" w:lineRule="auto" w:before="63"/>
        <w:ind w:right="0"/>
        <w:jc w:val="both"/>
      </w:pPr>
      <w:r>
        <w:rPr/>
        <w:t>的重大会计判断和估计的说明，请参阅附注</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217"/>
        <w:jc w:val="both"/>
      </w:pPr>
      <w:r>
        <w:rPr/>
        <w:t>本公司编制的财务报表符合企业会计准则的要求，真实、完整地反映了本公司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日的财务状况及本报告期的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both"/>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145"/>
        <w:jc w:val="both"/>
      </w:pPr>
      <w:r>
        <w:rPr>
          <w:spacing w:val="-1"/>
        </w:rPr>
        <w:t>本公司的会计期间分为年度和中期，会计中期指短于一个完整的会计年度的报告期间。本公司会计年度采用公历年度，即</w:t>
      </w:r>
      <w:r>
        <w:rPr/>
        <w:t> 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firstLine="145"/>
        <w:jc w:val="left"/>
      </w:pPr>
      <w:r>
        <w:rPr>
          <w:spacing w:val="-1"/>
        </w:rPr>
        <w:t>人民币为本公司及境内子公司经营所处的主要经济环境中的货币，本公司及境内子公司以人民币为记账本位币。本公司编</w:t>
      </w:r>
      <w:r>
        <w:rPr/>
        <w:t> 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firstLine="73"/>
        <w:jc w:val="left"/>
      </w:pPr>
      <w:r>
        <w:rPr/>
        <w:t>企业合并，是指将两个或两个以上单独的企业合并形成一个报告主体的交易或事项。企业合并分为同一控制下企业合并和 非同一控制下企业合并。</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right="1043"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4" w:right="0"/>
        <w:jc w:val="left"/>
      </w:pPr>
      <w:r>
        <w:rPr/>
        <w:t>合并方为进行企业合并发生的各项直接费用，于发生时计入当期损益。</w:t>
      </w:r>
    </w:p>
    <w:p>
      <w:pPr>
        <w:pStyle w:val="BodyText"/>
        <w:spacing w:line="300" w:lineRule="auto" w:before="77"/>
        <w:ind w:left="63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31"/>
        <w:ind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right="1130"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3"/>
        </w:rPr>
        <w:t> </w:t>
      </w:r>
      <w:r>
        <w:rPr>
          <w:spacing w:val="-63"/>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right="113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034"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的判断标准（参见本附注），判断该多次 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 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1"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2"/>
        <w:jc w:val="both"/>
      </w:pP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9" w:lineRule="auto" w:before="19"/>
        <w:ind w:right="1130"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3"/>
        </w:rPr>
        <w:t> </w:t>
      </w:r>
      <w:r>
        <w:rPr>
          <w:spacing w:val="-63"/>
        </w:rPr>
      </w:r>
      <w:r>
        <w:rPr/>
        <w:t>设定受益计划净负债或净资产导致的变动中的相应份额以外，其余转为购买日所属当期投资收益）。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firstLine="26"/>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w:t>
      </w:r>
    </w:p>
    <w:p>
      <w:pPr>
        <w:pStyle w:val="BodyText"/>
        <w:spacing w:line="316" w:lineRule="auto" w:before="31"/>
        <w:ind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4" w:right="0"/>
        <w:jc w:val="left"/>
      </w:pPr>
      <w:r>
        <w:rPr/>
        <w:t>一旦相关事实和情况的变化导致上述控制定义涉及的相关要素发生了变化，本公司将进行重新评估。</w:t>
      </w:r>
    </w:p>
    <w:p>
      <w:pPr>
        <w:pStyle w:val="BodyText"/>
        <w:spacing w:line="300" w:lineRule="auto" w:before="76"/>
        <w:ind w:left="63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right="113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634"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00" w:lineRule="auto" w:before="19"/>
        <w:ind w:right="1130"/>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3"/>
        </w:rPr>
        <w:t> </w:t>
      </w:r>
      <w:r>
        <w:rPr/>
        <w:t>数股东损益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w:t>
      </w:r>
      <w:r>
        <w:rPr>
          <w:spacing w:val="-77"/>
        </w:rPr>
        <w:t> </w:t>
      </w:r>
      <w:r>
        <w:rPr>
          <w:spacing w:val="-77"/>
        </w:rPr>
      </w:r>
      <w:r>
        <w:rPr/>
        <w:t>数股东权益。</w:t>
      </w:r>
    </w:p>
    <w:p>
      <w:pPr>
        <w:pStyle w:val="BodyText"/>
        <w:spacing w:line="312" w:lineRule="auto" w:before="31"/>
        <w:ind w:right="1131"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spacing w:val="-2"/>
        </w:rPr>
        <w:t>长期股权投资》或《企业会计准则第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或本附注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6" w:lineRule="auto" w:before="3"/>
        <w:ind w:right="1133" w:firstLine="480"/>
        <w:jc w:val="both"/>
      </w:pPr>
      <w:r>
        <w:rPr>
          <w:spacing w:val="-1"/>
        </w:rPr>
        <w:t>本公司通过多次交易分步处置对子公司股权投资直至丧失控制权的，需区分处置对子公司股权投资直至丧失控制权的</w:t>
      </w:r>
      <w:r>
        <w:rPr/>
        <w:t> </w:t>
      </w:r>
      <w:r>
        <w:rPr>
          <w:spacing w:val="-2"/>
        </w:rPr>
        <w:t>各项交易是否属于一揽子交易。处置对子公司股权投资的各项交易的条款、条件以及经济影响符合以下一种或多种情况，通</w:t>
      </w:r>
      <w:r>
        <w:rPr>
          <w:spacing w:val="-66"/>
        </w:rPr>
        <w:t> </w:t>
      </w:r>
      <w:r>
        <w:rPr>
          <w:spacing w:val="-66"/>
        </w:rPr>
      </w:r>
      <w:r>
        <w:rPr/>
        <w:t>常表明应将多次交易事项作为一揽子交易进行会计处理：</w:t>
      </w:r>
    </w:p>
    <w:p>
      <w:pPr>
        <w:pStyle w:val="BodyText"/>
        <w:spacing w:line="240" w:lineRule="auto" w:before="19"/>
        <w:ind w:left="634" w:right="0"/>
        <w:jc w:val="left"/>
      </w:pPr>
      <w:r>
        <w:rPr/>
        <w:t>①这些交易是同时或者在考虑了彼此影响的情况下订立的；</w:t>
      </w:r>
    </w:p>
    <w:p>
      <w:pPr>
        <w:pStyle w:val="BodyText"/>
        <w:spacing w:line="240" w:lineRule="auto" w:before="76"/>
        <w:ind w:left="634" w:right="0"/>
        <w:jc w:val="left"/>
      </w:pPr>
      <w:r>
        <w:rPr/>
        <w:t>②这些交易整体才能达成一项完整的商业结果；</w:t>
      </w:r>
    </w:p>
    <w:p>
      <w:pPr>
        <w:pStyle w:val="BodyText"/>
        <w:spacing w:line="240" w:lineRule="auto" w:before="76"/>
        <w:ind w:left="634" w:right="0"/>
        <w:jc w:val="left"/>
      </w:pPr>
      <w:r>
        <w:rPr/>
        <w:t>③一项交易的发生取决于其他至少一项交易的发生；</w:t>
      </w:r>
    </w:p>
    <w:p>
      <w:pPr>
        <w:pStyle w:val="BodyText"/>
        <w:spacing w:line="240" w:lineRule="auto" w:before="76"/>
        <w:ind w:left="634" w:right="0"/>
        <w:jc w:val="left"/>
      </w:pPr>
      <w:r>
        <w:rPr/>
        <w:t>④一项交易单独看是不经济的，但是和其他交易一并考虑时是经济的。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1" w:firstLine="480"/>
        <w:jc w:val="both"/>
      </w:pPr>
      <w:r>
        <w:rPr/>
        <w:t>不属于一揽子交易的，对其中的每一项交易视情况分别按照</w:t>
      </w:r>
      <w:r>
        <w:rPr>
          <w:rFonts w:ascii="Times New Roman" w:hAnsi="Times New Roman" w:cs="Times New Roman" w:eastAsia="Times New Roman" w:hint="default"/>
        </w:rPr>
        <w:t>“</w:t>
      </w:r>
      <w:r>
        <w:rPr/>
        <w:t>不丧失控制权的情况下部分处置对子公司的长期股权投 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（详见前段）适用的原则进行会计处理。处置对子公 </w:t>
      </w:r>
      <w:r>
        <w:rPr>
          <w:spacing w:val="-2"/>
        </w:rPr>
        <w:t>司股权投资直至丧失控制权的各项交易属于一揽子交易的，将各项交易作为一项处置子公司并丧失控制权的交易进行会计处</w:t>
      </w:r>
      <w:r>
        <w:rPr>
          <w:spacing w:val="-64"/>
        </w:rPr>
        <w:t> </w:t>
      </w:r>
      <w:r>
        <w:rPr>
          <w:spacing w:val="-64"/>
        </w:rPr>
      </w:r>
      <w:r>
        <w:rPr>
          <w:spacing w:val="-2"/>
        </w:rPr>
        <w:t>理；但是，在丧失控制权之前每一次处置价款与处置投资对应的享有该子公司净资产份额的差额，在合并财务报表中确认为</w:t>
      </w:r>
      <w:r>
        <w:rPr>
          <w:spacing w:val="-66"/>
        </w:rPr>
        <w:t> </w:t>
      </w:r>
      <w:r>
        <w:rPr>
          <w:spacing w:val="-66"/>
        </w:rPr>
      </w:r>
      <w:r>
        <w:rPr/>
        <w:t>其他综合收益，在丧失控制权时一并转入丧失控制权当期的损益。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both"/>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7" w:firstLine="283"/>
        <w:jc w:val="both"/>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left="437" w:right="0"/>
        <w:jc w:val="left"/>
      </w:pPr>
      <w:r>
        <w:rPr/>
        <w:t>本公司对合营企业的投资采用权益法核算，按照本附注</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 </w:t>
      </w:r>
      <w:r>
        <w:rPr>
          <w:spacing w:val="-1"/>
        </w:rPr>
        <w:t>本公司作为合营方对共同经营，确认本公司单独持有的资产、单独所承担的负债，以及按本公司份额确认共同持有的资</w:t>
      </w:r>
    </w:p>
    <w:p>
      <w:pPr>
        <w:pStyle w:val="BodyText"/>
        <w:spacing w:line="316" w:lineRule="auto" w:before="31"/>
        <w:ind w:right="1132"/>
        <w:jc w:val="both"/>
      </w:pP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3" w:firstLine="283"/>
        <w:jc w:val="both"/>
      </w:pPr>
      <w:r>
        <w:rPr>
          <w:spacing w:val="-1"/>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 该损失；对于本公司自共同经营购买资产的情况，本公司按承担的份额确认该损失。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80"/>
        <w:jc w:val="both"/>
      </w:pPr>
      <w:r>
        <w:rPr>
          <w:spacing w:val="-1"/>
        </w:rPr>
        <w:t>本公司现金及现金等价物包括库存现金、可以随时用于支付的存款以及本公司持有的期限短（一般为从购买日起三个</w:t>
      </w:r>
      <w:r>
        <w:rPr/>
        <w:t> 月内到期）、流动性强、易于转换为已知金额现金、价值变动风险很小的投资。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hanging="118"/>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本公司发生的外币交易在初始确认时，按交易日的即期汇率（通常指中国人民银行公布的当日外汇牌价的中间价，下</w:t>
      </w:r>
    </w:p>
    <w:p>
      <w:pPr>
        <w:pStyle w:val="BodyText"/>
        <w:spacing w:line="316" w:lineRule="auto" w:before="31"/>
        <w:ind w:right="1133"/>
        <w:jc w:val="both"/>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00" w:lineRule="auto" w:before="19"/>
        <w:ind w:left="63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right="1131"/>
        <w:jc w:val="both"/>
      </w:pP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套期工具的汇兑差额计入其他综合收益，直至净投资被处置才被确认为当期损益；③可供出售的外币货币性项目除摊余成本</w:t>
      </w:r>
      <w:r>
        <w:rPr>
          <w:spacing w:val="-64"/>
        </w:rPr>
        <w:t> </w:t>
      </w:r>
      <w:r>
        <w:rPr>
          <w:spacing w:val="-64"/>
        </w:rPr>
      </w:r>
      <w:r>
        <w:rPr/>
        <w:t>之外的其他账面余额变动产生的汇兑差额计入其他综合收益之外，均计入当期损益。</w:t>
      </w:r>
    </w:p>
    <w:p>
      <w:pPr>
        <w:pStyle w:val="BodyText"/>
        <w:spacing w:line="319" w:lineRule="auto" w:before="19"/>
        <w:ind w:right="1133"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7"/>
        <w:ind w:right="1131"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240" w:lineRule="auto" w:before="19"/>
        <w:ind w:left="634" w:right="0"/>
        <w:jc w:val="left"/>
      </w:pPr>
      <w:r>
        <w:rPr/>
        <w:t>（</w:t>
      </w:r>
      <w:r>
        <w:rPr>
          <w:rFonts w:ascii="Times New Roman" w:hAnsi="Times New Roman" w:cs="Times New Roman" w:eastAsia="Times New Roman" w:hint="default"/>
        </w:rPr>
        <w:t>3</w:t>
      </w:r>
      <w:r>
        <w:rPr/>
        <w:t>）外币财务报表的折算方法</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3" w:firstLine="480"/>
        <w:jc w:val="both"/>
      </w:pPr>
      <w:r>
        <w:rPr>
          <w:spacing w:val="-1"/>
        </w:rPr>
        <w:t>编制合并财务报表涉及境外经营的，如有实质上构成对境外经营净投资的外币货币性项目，因汇率变动而产生的汇兑</w:t>
      </w:r>
      <w:r>
        <w:rPr/>
        <w:t> 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right="0"/>
        <w:jc w:val="left"/>
      </w:pPr>
      <w:r>
        <w:rPr/>
        <w:t>动计入当期损益的金融资产、持有至到期投资、贷款和应收款项以及可供出售金融资产。</w:t>
      </w:r>
    </w:p>
    <w:p>
      <w:pPr>
        <w:pStyle w:val="BodyText"/>
        <w:spacing w:line="316" w:lineRule="auto" w:before="76"/>
        <w:ind w:left="634" w:right="1112"/>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right="1130"/>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8"/>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right="1130"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right="1133"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4" w:right="1118"/>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0"/>
        <w:jc w:val="left"/>
      </w:pPr>
      <w:r>
        <w:rPr/>
        <w:t>入当期损益。</w:t>
      </w:r>
    </w:p>
    <w:p>
      <w:pPr>
        <w:pStyle w:val="BodyText"/>
        <w:spacing w:line="316" w:lineRule="auto" w:before="76"/>
        <w:ind w:right="113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4" w:right="0"/>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4" w:right="0"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入当期损益。</w:t>
      </w:r>
    </w:p>
    <w:p>
      <w:pPr>
        <w:pStyle w:val="BodyText"/>
        <w:spacing w:line="316" w:lineRule="auto" w:before="76"/>
        <w:ind w:left="634" w:right="1272"/>
        <w:jc w:val="left"/>
      </w:pPr>
      <w:r>
        <w:rPr/>
        <w:t>④可供出售金融资产 包括初始确认时即被指定为可供出售的非衍生金融资产，以及除了以公允价值计量且其变动计入当期损益的金融资</w:t>
      </w:r>
    </w:p>
    <w:p>
      <w:pPr>
        <w:pStyle w:val="BodyText"/>
        <w:spacing w:line="319" w:lineRule="auto" w:before="19"/>
        <w:ind w:left="634" w:right="0" w:hanging="480"/>
        <w:jc w:val="left"/>
      </w:pPr>
      <w:r>
        <w:rPr/>
        <w:t>产、贷款和应收款项、持有至到期投资以外的金融资产。 </w:t>
      </w:r>
      <w:r>
        <w:rPr>
          <w:spacing w:val="-1"/>
        </w:rPr>
        <w:t>可供出售债务工具投资的期末成本按照摊余成本法确定，即初始确认金额扣除已偿还的本金，加上或减去采用实际利</w:t>
      </w:r>
    </w:p>
    <w:p>
      <w:pPr>
        <w:pStyle w:val="BodyText"/>
        <w:spacing w:line="316" w:lineRule="auto" w:before="17"/>
        <w:ind w:right="0"/>
        <w:jc w:val="left"/>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032"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4" w:right="0"/>
        <w:jc w:val="left"/>
      </w:pPr>
      <w:r>
        <w:rPr/>
        <w:t>可供出售金融资产持有期间取得的利息及被投资单位宣告发放的现金股利，计入投资收益。</w:t>
      </w:r>
    </w:p>
    <w:p>
      <w:pPr>
        <w:pStyle w:val="BodyText"/>
        <w:spacing w:line="300" w:lineRule="auto" w:before="76"/>
        <w:ind w:left="634"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4" w:right="0"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4" w:right="0"/>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9" w:lineRule="auto" w:before="19"/>
        <w:ind w:right="1032"/>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7"/>
        <w:ind w:left="634" w:right="0"/>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00" w:lineRule="auto" w:before="19"/>
        <w:ind w:left="634" w:right="1092" w:hanging="48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right="1212"/>
        <w:jc w:val="left"/>
      </w:pPr>
      <w:r>
        <w:rPr/>
        <w:t>该转出的累计损失为该资产初始取得成本扣除已收回本金和已摊销金额、当前公允价值和原已计入损益的减值损失后的余 额。</w:t>
      </w:r>
    </w:p>
    <w:p>
      <w:pPr>
        <w:pStyle w:val="BodyText"/>
        <w:spacing w:line="316" w:lineRule="auto" w:before="19"/>
        <w:ind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00" w:lineRule="auto" w:before="19"/>
        <w:ind w:left="634" w:right="109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right="0"/>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9" w:lineRule="auto" w:before="19"/>
        <w:ind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7"/>
        <w:ind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9" w:lineRule="auto" w:before="19"/>
        <w:ind w:right="1130"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7"/>
        <w:ind w:left="634" w:right="127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w:t>
      </w:r>
    </w:p>
    <w:p>
      <w:pPr>
        <w:pStyle w:val="BodyText"/>
        <w:spacing w:line="316" w:lineRule="auto" w:before="31"/>
        <w:ind w:right="0"/>
        <w:jc w:val="left"/>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4" w:right="1272"/>
        <w:jc w:val="left"/>
      </w:pPr>
      <w:r>
        <w:rPr/>
        <w:t>①以公允价值计量且其变动计入当期损益的金融负债 分类为交易性金融负债和在初始确认时指定为以公允价值计量且其变动计入当期损益的金融负债的条件与分类为交</w:t>
      </w:r>
    </w:p>
    <w:p>
      <w:pPr>
        <w:pStyle w:val="BodyText"/>
        <w:spacing w:line="316" w:lineRule="auto" w:before="19"/>
        <w:ind w:left="634"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right="0"/>
        <w:jc w:val="left"/>
      </w:pPr>
      <w:r>
        <w:rPr/>
        <w:t>及与该等金融负债相关的股利和利息支出计入当期损益。</w:t>
      </w:r>
    </w:p>
    <w:p>
      <w:pPr>
        <w:pStyle w:val="BodyText"/>
        <w:spacing w:line="316" w:lineRule="auto" w:before="76"/>
        <w:ind w:left="634"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right="1118"/>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4" w:right="0"/>
        <w:jc w:val="left"/>
      </w:pPr>
      <w:r>
        <w:rPr/>
        <w:t>③财务担保合同 </w:t>
      </w:r>
      <w:r>
        <w:rPr>
          <w:spacing w:val="-1"/>
        </w:rPr>
        <w:t>不属于指定为以公允价值计量且其变动计入当期损益的金融负债的财务担保合同，以公允价值进行初始确认，在初始</w:t>
      </w:r>
    </w:p>
    <w:p>
      <w:pPr>
        <w:pStyle w:val="BodyText"/>
        <w:spacing w:line="300" w:lineRule="auto" w:before="19"/>
        <w:ind w:right="0"/>
        <w:jc w:val="left"/>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w:t>
      </w:r>
      <w:r>
        <w:rPr>
          <w:spacing w:val="-62"/>
        </w:rPr>
        <w:t> </w:t>
      </w:r>
      <w:r>
        <w:rPr>
          <w:spacing w:val="-62"/>
        </w:rPr>
      </w:r>
      <w:r>
        <w:rPr/>
        <w:t>确定的累计摊销额后的余额之中的较高者进行后续计量。</w:t>
      </w:r>
    </w:p>
    <w:p>
      <w:pPr>
        <w:pStyle w:val="BodyText"/>
        <w:spacing w:line="300" w:lineRule="auto" w:before="31"/>
        <w:ind w:left="634" w:right="0"/>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right="0"/>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1133"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4" w:right="0"/>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right="0"/>
        <w:jc w:val="left"/>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right="1133"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4" w:right="0"/>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2"/>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4" w:right="1118"/>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18"/>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634" w:right="0"/>
        <w:jc w:val="left"/>
      </w:pPr>
      <w:r>
        <w:rPr>
          <w:spacing w:val="-3"/>
        </w:rPr>
        <w:t>本公司对权益工具持有方的各种分配（不包括股票股利），减少股东权益。本公司不确认权益工具的公允价值变动额。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11、应收票据及应收账款" w:id="183"/>
      <w:bookmarkEnd w:id="18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 款项确认为单项金额重大的应收款项。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bl>
    <w:p>
      <w:pPr>
        <w:spacing w:line="240" w:lineRule="auto" w:before="4"/>
        <w:rPr>
          <w:rFonts w:ascii="宋体" w:hAnsi="宋体" w:cs="宋体" w:eastAsia="宋体" w:hint="default"/>
          <w:sz w:val="24"/>
          <w:szCs w:val="24"/>
        </w:rPr>
      </w:pPr>
    </w:p>
    <w:p>
      <w:pPr>
        <w:pStyle w:val="BodyText"/>
        <w:spacing w:line="232" w:lineRule="exact" w:before="69"/>
        <w:ind w:right="0" w:firstLine="360"/>
        <w:jc w:val="left"/>
      </w:pPr>
      <w:r>
        <w:rPr>
          <w:spacing w:val="-2"/>
        </w:rPr>
        <w:t>本公司之子公司神州易桥（北京）财税科技有限公司、企业管家（北京）科技服务有限公司采用账龄分析法计提坏账准</w:t>
      </w:r>
      <w:r>
        <w:rPr/>
        <w:t> 备的比例如下：</w:t>
      </w:r>
    </w:p>
    <w:p>
      <w:pPr>
        <w:spacing w:line="240" w:lineRule="auto" w:before="8"/>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434"/>
        <w:gridCol w:w="3246"/>
        <w:gridCol w:w="3015"/>
      </w:tblGrid>
      <w:tr>
        <w:trPr>
          <w:trHeight w:val="29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73"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r>
              <w:rPr>
                <w:rFonts w:ascii="宋体" w:hAnsi="宋体" w:cs="宋体" w:eastAsia="宋体" w:hint="default"/>
                <w:sz w:val="18"/>
                <w:szCs w:val="18"/>
              </w:rPr>
              <w:t>）</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29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年，下同）</w:t>
            </w:r>
          </w:p>
        </w:tc>
        <w:tc>
          <w:tcPr>
            <w:tcW w:w="3246"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30.00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30.00</w:t>
            </w:r>
          </w:p>
        </w:tc>
      </w:tr>
      <w:tr>
        <w:trPr>
          <w:trHeight w:val="29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50.00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50.00</w:t>
            </w:r>
          </w:p>
        </w:tc>
      </w:tr>
      <w:tr>
        <w:trPr>
          <w:trHeight w:val="295"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100.00</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0"/>
              <w:jc w:val="right"/>
              <w:rPr>
                <w:rFonts w:ascii="宋体" w:hAnsi="宋体" w:cs="宋体" w:eastAsia="宋体" w:hint="default"/>
                <w:sz w:val="18"/>
                <w:szCs w:val="18"/>
              </w:rPr>
            </w:pPr>
            <w:r>
              <w:rPr>
                <w:rFonts w:ascii="宋体"/>
                <w:sz w:val="18"/>
              </w:rPr>
              <w:t>100.00</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2.068302pt;width:479.2pt;height:87.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个别计提。</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3"/>
        <w:spacing w:line="240" w:lineRule="auto" w:before="35"/>
        <w:ind w:right="0"/>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240" w:lineRule="auto" w:before="10"/>
        <w:rPr>
          <w:rFonts w:ascii="宋体" w:hAnsi="宋体" w:cs="宋体" w:eastAsia="宋体" w:hint="default"/>
          <w:sz w:val="25"/>
          <w:szCs w:val="25"/>
        </w:rPr>
      </w:pPr>
    </w:p>
    <w:p>
      <w:pPr>
        <w:pStyle w:val="BodyText"/>
        <w:spacing w:line="300" w:lineRule="auto"/>
        <w:ind w:left="634" w:right="7212"/>
        <w:jc w:val="left"/>
      </w:pPr>
      <w:r>
        <w:rPr/>
        <w:t>（</w:t>
      </w:r>
      <w:r>
        <w:rPr>
          <w:rFonts w:ascii="Times New Roman" w:hAnsi="Times New Roman" w:cs="Times New Roman" w:eastAsia="Times New Roman" w:hint="default"/>
        </w:rPr>
        <w:t>1</w:t>
      </w:r>
      <w:r>
        <w:rPr/>
        <w:t>）存货的分类 存货主要包括周转材料、库存商品等。</w:t>
      </w:r>
    </w:p>
    <w:p>
      <w:pPr>
        <w:pStyle w:val="BodyText"/>
        <w:spacing w:line="300" w:lineRule="auto" w:before="31"/>
        <w:ind w:left="634" w:right="127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63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9" w:lineRule="auto" w:before="31"/>
        <w:ind w:left="634" w:right="0" w:hanging="480"/>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 计提存货跌价准备后，如果以前减记存货价值的影响因素已经消失，导致存货的可变现净值高于其账面价值的，在原</w:t>
      </w:r>
    </w:p>
    <w:p>
      <w:pPr>
        <w:pStyle w:val="BodyText"/>
        <w:spacing w:line="240" w:lineRule="auto" w:before="17"/>
        <w:ind w:right="0"/>
        <w:jc w:val="left"/>
      </w:pPr>
      <w:r>
        <w:rPr/>
        <w:t>已计提的存货跌价准备金额内予以转回，转回的金额计入当期损益。</w:t>
      </w:r>
    </w:p>
    <w:p>
      <w:pPr>
        <w:pStyle w:val="BodyText"/>
        <w:spacing w:line="240" w:lineRule="auto" w:before="76"/>
        <w:ind w:left="634" w:right="0"/>
        <w:jc w:val="left"/>
      </w:pPr>
      <w:r>
        <w:rPr/>
        <w:t>（</w:t>
      </w:r>
      <w:r>
        <w:rPr>
          <w:rFonts w:ascii="Times New Roman" w:hAnsi="Times New Roman" w:cs="Times New Roman" w:eastAsia="Times New Roman" w:hint="default"/>
        </w:rPr>
        <w:t>4</w:t>
      </w:r>
      <w:r>
        <w:rPr/>
        <w:t>）存货的盘存制度为永续盘存制。</w:t>
      </w:r>
    </w:p>
    <w:p>
      <w:pPr>
        <w:pStyle w:val="BodyText"/>
        <w:spacing w:line="252" w:lineRule="auto" w:before="63"/>
        <w:ind w:left="707" w:right="7619" w:hanging="74"/>
        <w:jc w:val="left"/>
        <w:rPr>
          <w:sz w:val="24"/>
          <w:szCs w:val="24"/>
        </w:rPr>
      </w:pPr>
      <w:r>
        <w:rPr/>
        <w:t>（</w:t>
      </w:r>
      <w:r>
        <w:rPr>
          <w:rFonts w:ascii="Times New Roman" w:hAnsi="Times New Roman" w:cs="Times New Roman" w:eastAsia="Times New Roman" w:hint="default"/>
        </w:rPr>
        <w:t>5</w:t>
      </w:r>
      <w:r>
        <w:rPr/>
        <w:t>）低值易耗品的摊销方法 低值易耗品于领用时一次摊销</w:t>
      </w:r>
      <w:r>
        <w:rPr>
          <w:sz w:val="24"/>
          <w:szCs w:val="24"/>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247" w:firstLine="145"/>
        <w:jc w:val="left"/>
      </w:pPr>
      <w:r>
        <w:rPr/>
        <w:t>本公司若主要通过出售包括具有商业实质的非货币性资产交换，而非持续使用一项非流动资产或处置组收回其账面价值 的，则将其划分为持有待售类别。具体标准为同时满足以下条件：</w:t>
      </w:r>
    </w:p>
    <w:p>
      <w:pPr>
        <w:pStyle w:val="BodyText"/>
        <w:spacing w:line="300" w:lineRule="auto" w:before="19"/>
        <w:ind w:right="0" w:firstLine="73"/>
        <w:jc w:val="left"/>
      </w:pPr>
      <w:r>
        <w:rPr>
          <w:spacing w:val="-2"/>
        </w:rPr>
        <w:t>（</w:t>
      </w:r>
      <w:r>
        <w:rPr>
          <w:rFonts w:ascii="Times New Roman" w:hAnsi="Times New Roman" w:cs="Times New Roman" w:eastAsia="Times New Roman" w:hint="default"/>
          <w:spacing w:val="-2"/>
        </w:rPr>
        <w:t>1</w:t>
      </w:r>
      <w:r>
        <w:rPr>
          <w:spacing w:val="-2"/>
        </w:rPr>
        <w:t>）某项非流动资产或处置组根据类似交易中出售此类资产或处置组的惯例，在当前状况下即可立即出售；本公司已经就</w:t>
      </w:r>
      <w:r>
        <w:rPr/>
        <w:t> 出售计划作出决议且获得确定的购买承诺。</w:t>
      </w:r>
    </w:p>
    <w:p>
      <w:pPr>
        <w:pStyle w:val="BodyText"/>
        <w:spacing w:line="316" w:lineRule="auto" w:before="31"/>
        <w:ind w:right="0" w:firstLine="300"/>
        <w:jc w:val="left"/>
      </w:pPr>
      <w:r>
        <w:rPr>
          <w:spacing w:val="-1"/>
        </w:rPr>
        <w:t>确定的购买承诺，是指公司与其他方签订的具有法律约束力的购买协议，该协议包含交易价格、时间和足够严厉的违约</w:t>
      </w:r>
      <w:r>
        <w:rPr/>
        <w:t> 惩罚等重要条款，使协议出现重大调整或者撤销的可能性极小。</w:t>
      </w:r>
    </w:p>
    <w:p>
      <w:pPr>
        <w:pStyle w:val="BodyText"/>
        <w:spacing w:line="300" w:lineRule="auto" w:before="19"/>
        <w:ind w:left="454" w:right="0" w:hanging="10"/>
        <w:jc w:val="left"/>
      </w:pPr>
      <w:r>
        <w:rPr/>
        <w:t>（</w:t>
      </w:r>
      <w:r>
        <w:rPr>
          <w:rFonts w:ascii="Times New Roman" w:hAnsi="Times New Roman" w:cs="Times New Roman" w:eastAsia="Times New Roman" w:hint="default"/>
        </w:rPr>
        <w:t>2</w:t>
      </w:r>
      <w:r>
        <w:rPr/>
        <w:t>）预计出售将在一年内完成。 </w:t>
      </w:r>
      <w:r>
        <w:rPr>
          <w:spacing w:val="-1"/>
        </w:rPr>
        <w:t>其中，处置组是指在一项交易中作为整体通过出售或其他方式一并处置的一组资产，以及在该交易中转让的与这些资产</w:t>
      </w:r>
    </w:p>
    <w:p>
      <w:pPr>
        <w:pStyle w:val="BodyText"/>
        <w:spacing w:line="300" w:lineRule="auto" w:before="31"/>
        <w:ind w:right="1158"/>
        <w:jc w:val="left"/>
      </w:pPr>
      <w:r>
        <w:rPr/>
        <w:t>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资产减值》分摊了企业合并中取得的 商誉的，该处置组应当包含分摊至处置组的商誉。</w:t>
      </w:r>
    </w:p>
    <w:p>
      <w:pPr>
        <w:pStyle w:val="BodyText"/>
        <w:spacing w:line="316" w:lineRule="auto" w:before="31"/>
        <w:ind w:right="1032" w:firstLine="300"/>
        <w:jc w:val="left"/>
      </w:pPr>
      <w:r>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持有待售的非流动资产、处置组和终止经营》的计量规定的各项非流动资产的账面价</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值。后续资产负债表日持有待售的处置组公允价值减去出售费用后的净额增加的，以前减记的金额应当予以恢复，并在划分</w:t>
      </w:r>
      <w:r>
        <w:rPr>
          <w:spacing w:val="-66"/>
        </w:rPr>
        <w:t> </w:t>
      </w:r>
      <w:r>
        <w:rPr>
          <w:spacing w:val="-66"/>
        </w:rPr>
      </w:r>
      <w:r>
        <w:rPr>
          <w:spacing w:val="-2"/>
        </w:rPr>
        <w:t>为持有待售类别后适用持有待售准则计量规定的非流动资产确认的资产减值损失金额内转回，转回金额计入当期损益，并根</w:t>
      </w:r>
      <w:r>
        <w:rPr>
          <w:spacing w:val="-64"/>
        </w:rPr>
        <w:t> </w:t>
      </w:r>
      <w:r>
        <w:rPr>
          <w:spacing w:val="-64"/>
        </w:rPr>
      </w:r>
      <w:r>
        <w:rPr>
          <w:spacing w:val="-2"/>
        </w:rPr>
        <w:t>据处置组中除商誉外适用持有待售准则计量规定的各项非流动资产账面价值所占比重按比例增加其账面价值；已抵减的商誉</w:t>
      </w:r>
      <w:r>
        <w:rPr>
          <w:spacing w:val="-64"/>
        </w:rPr>
        <w:t> </w:t>
      </w:r>
      <w:r>
        <w:rPr>
          <w:spacing w:val="-64"/>
        </w:rPr>
      </w:r>
      <w:r>
        <w:rPr/>
        <w:t>账面价值，以及适用持有待售准则计量规定的非流动资产在划分为持有待售类别前确认的资产减值损失不得转回。</w:t>
      </w:r>
    </w:p>
    <w:p>
      <w:pPr>
        <w:pStyle w:val="BodyText"/>
        <w:spacing w:line="316" w:lineRule="auto" w:before="19"/>
        <w:ind w:right="1133" w:firstLine="300"/>
        <w:jc w:val="both"/>
      </w:pPr>
      <w:r>
        <w:rPr>
          <w:spacing w:val="-1"/>
        </w:rPr>
        <w:t>持有待售的非流动资产或处置组中的非流动资产不计提折旧或摊销，持有待售的处置组中负债的利息和其他费用继续予</w:t>
      </w:r>
      <w:r>
        <w:rPr/>
        <w:t> 以确认。</w:t>
      </w:r>
    </w:p>
    <w:p>
      <w:pPr>
        <w:pStyle w:val="BodyText"/>
        <w:spacing w:line="309" w:lineRule="auto" w:before="19"/>
        <w:ind w:right="1133" w:firstLine="300"/>
        <w:jc w:val="both"/>
      </w:pPr>
      <w:r>
        <w:rPr>
          <w:spacing w:val="-1"/>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 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145"/>
        <w:jc w:val="both"/>
      </w:pPr>
      <w:r>
        <w:rPr>
          <w:spacing w:val="-1"/>
        </w:rPr>
        <w:t>本部分所指的长期股权投资是指本公司对被投资单位具有控制、共同控制或重大影响的长期股权投资。本公司对被投资单</w:t>
      </w:r>
      <w:r>
        <w:rPr/>
        <w:t> </w:t>
      </w:r>
      <w:r>
        <w:rPr>
          <w:spacing w:val="-2"/>
        </w:rPr>
        <w:t>位不具有控制、共同控制或重大影响的长期股权投资，作为可供出售金融资产或以公允价值计量且其变动计入当期损益的金</w:t>
      </w:r>
      <w:r>
        <w:rPr>
          <w:spacing w:val="-64"/>
        </w:rPr>
        <w:t> </w:t>
      </w:r>
      <w:r>
        <w:rPr>
          <w:spacing w:val="-64"/>
        </w:rPr>
      </w:r>
      <w:r>
        <w:rPr/>
        <w:t>融资产核算，其会计政策详见附注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16" w:lineRule="auto" w:before="40"/>
        <w:ind w:right="1132" w:firstLine="290"/>
        <w:jc w:val="both"/>
      </w:pPr>
      <w:r>
        <w:rPr>
          <w:spacing w:val="-1"/>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58"/>
        <w:ind w:left="444" w:right="0" w:hanging="291"/>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对于同一控制下的企业合并取得的长期股权投资，在合并日按照被合并方股东权益在最终控制方合并财务报表中的账面</w:t>
      </w:r>
    </w:p>
    <w:p>
      <w:pPr>
        <w:pStyle w:val="BodyText"/>
        <w:spacing w:line="314" w:lineRule="auto" w:before="31"/>
        <w:ind w:right="1032"/>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pStyle w:val="BodyText"/>
        <w:spacing w:line="312" w:lineRule="auto" w:before="20"/>
        <w:ind w:right="1040" w:firstLine="290"/>
        <w:jc w:val="left"/>
      </w:pPr>
      <w:r>
        <w:rPr/>
        <w:t>对于非同一控制下的企业合并取得的长期股权投资，在购买日按照合并成本作为长期股权投资的初始投资成本，合并成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w w:val="100"/>
        </w:rPr>
        <w:t>取得控制权的交易进行会计处理。不属于</w:t>
      </w:r>
      <w:r>
        <w:rPr>
          <w:rFonts w:ascii="Times New Roman" w:hAnsi="Times New Roman" w:cs="Times New Roman" w:eastAsia="Times New Roman" w:hint="default"/>
          <w:spacing w:val="-3"/>
          <w:w w:val="100"/>
        </w:rPr>
        <w:t>“</w:t>
      </w:r>
      <w:r>
        <w:rPr>
          <w:spacing w:val="-3"/>
          <w:w w:val="100"/>
        </w:rPr>
        <w:t>一揽子交易</w:t>
      </w:r>
      <w:r>
        <w:rPr>
          <w:rFonts w:ascii="Times New Roman" w:hAnsi="Times New Roman" w:cs="Times New Roman" w:eastAsia="Times New Roman" w:hint="default"/>
          <w:spacing w:val="-3"/>
          <w:w w:val="100"/>
        </w:rPr>
        <w:t>”</w:t>
      </w:r>
      <w:r>
        <w:rPr>
          <w:spacing w:val="-3"/>
          <w:w w:val="100"/>
        </w:rPr>
        <w:t>的，按照原持有被购买方的股权投资账面价值加上新增投资成本之和，</w:t>
      </w:r>
      <w:r>
        <w:rPr>
          <w:spacing w:val="-76"/>
          <w:w w:val="100"/>
        </w:rPr>
        <w:t> </w:t>
      </w:r>
      <w:r>
        <w:rPr>
          <w:spacing w:val="-76"/>
          <w:w w:val="100"/>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316" w:lineRule="auto" w:before="22"/>
        <w:ind w:right="1132" w:firstLine="290"/>
        <w:jc w:val="both"/>
      </w:pPr>
      <w:r>
        <w:rPr>
          <w:spacing w:val="-1"/>
        </w:rPr>
        <w:t>合并方或购买方为企业合并发生的审计、法律服务、评估咨询等中介费用以及其他相关管理费用，于发生时计入当期损</w:t>
      </w:r>
      <w:r>
        <w:rPr/>
        <w:t> 益。</w:t>
      </w:r>
    </w:p>
    <w:p>
      <w:pPr>
        <w:pStyle w:val="BodyText"/>
        <w:spacing w:line="316" w:lineRule="auto" w:before="19"/>
        <w:ind w:right="1132" w:firstLine="290"/>
        <w:jc w:val="both"/>
      </w:pPr>
      <w:r>
        <w:rPr>
          <w:spacing w:val="-1"/>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31"/>
        <w:ind w:left="444" w:right="0" w:hanging="74"/>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对被投资单位具有共同控制（构成共同经营者除外）或重大影响的长期股权投资，采用权益法核算。此外，公司财务报</w:t>
      </w:r>
    </w:p>
    <w:p>
      <w:pPr>
        <w:pStyle w:val="BodyText"/>
        <w:spacing w:line="240" w:lineRule="auto" w:before="32"/>
        <w:ind w:right="0"/>
        <w:jc w:val="left"/>
      </w:pPr>
      <w:r>
        <w:rPr/>
        <w:t>表采用成本法核算能够对被投资单位实施控制的长期股权投资。</w:t>
      </w:r>
    </w:p>
    <w:p>
      <w:pPr>
        <w:pStyle w:val="BodyText"/>
        <w:spacing w:line="316" w:lineRule="auto" w:before="76"/>
        <w:ind w:left="444" w:right="0"/>
        <w:jc w:val="left"/>
      </w:pPr>
      <w:r>
        <w:rPr/>
        <w:t>①成本法核算的长期股权投资 </w:t>
      </w:r>
      <w:r>
        <w:rPr>
          <w:spacing w:val="-1"/>
        </w:rPr>
        <w:t>采用成本法核算时，长期股权投资按初始投资成本计价，追加或收回投资调整长期股权投资的成本。除取得投资时实际</w:t>
      </w:r>
    </w:p>
    <w:p>
      <w:pPr>
        <w:pStyle w:val="BodyText"/>
        <w:spacing w:line="316" w:lineRule="auto" w:before="19"/>
        <w:ind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444" w:right="0"/>
        <w:jc w:val="left"/>
      </w:pPr>
      <w:r>
        <w:rPr/>
        <w:t>②权益法核算的长期股权投资 </w:t>
      </w:r>
      <w:r>
        <w:rPr>
          <w:spacing w:val="-1"/>
        </w:rPr>
        <w:t>采用权益法核算时，长期股权投资的初始投资成本大于投资时应享有被投资单位可辨认净资产公允价值份额的，不调整</w:t>
      </w:r>
    </w:p>
    <w:p>
      <w:pPr>
        <w:pStyle w:val="BodyText"/>
        <w:spacing w:line="316" w:lineRule="auto" w:before="19"/>
        <w:ind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2" w:firstLine="290"/>
        <w:jc w:val="left"/>
      </w:pPr>
      <w:r>
        <w:rPr/>
        <w:t>采用权益法核算时，按照应享有或应分担的被投资单位实现的净损益和其他综合收益的份额，分别确认投资收益和其他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3"/>
        </w:rPr>
        <w:t> </w:t>
      </w:r>
      <w:r>
        <w:rPr>
          <w:spacing w:val="-63"/>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00" w:lineRule="auto" w:before="19"/>
        <w:ind w:right="0" w:firstLine="290"/>
        <w:jc w:val="left"/>
      </w:pPr>
      <w:r>
        <w:rPr>
          <w:spacing w:val="-1"/>
        </w:rPr>
        <w:t>对于本公司</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日首次执行新会计准则之前已经持有的对联营企业和合营企业的长期股权投资，如存在与该投资</w:t>
      </w:r>
      <w:r>
        <w:rPr/>
        <w:t> 相关的股权投资借方差额，按原剩余期限直线摊销的金额计入当期损益。</w:t>
      </w:r>
    </w:p>
    <w:p>
      <w:pPr>
        <w:pStyle w:val="BodyText"/>
        <w:spacing w:line="316" w:lineRule="auto" w:before="31"/>
        <w:ind w:left="444" w:right="0"/>
        <w:jc w:val="left"/>
      </w:pPr>
      <w:r>
        <w:rPr/>
        <w:t>③收购少数股权 </w:t>
      </w:r>
      <w:r>
        <w:rPr>
          <w:spacing w:val="-1"/>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pStyle w:val="BodyText"/>
        <w:spacing w:line="316" w:lineRule="auto" w:before="76"/>
        <w:ind w:left="444" w:right="0" w:hanging="146"/>
        <w:jc w:val="left"/>
      </w:pPr>
      <w:r>
        <w:rPr/>
        <w:t>④处置长期股权投资 </w:t>
      </w:r>
      <w:r>
        <w:rPr>
          <w:spacing w:val="-1"/>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444"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w:t>
      </w:r>
    </w:p>
    <w:p>
      <w:pPr>
        <w:pStyle w:val="BodyText"/>
        <w:spacing w:line="316" w:lineRule="auto" w:before="19"/>
        <w:ind w:right="1131" w:firstLine="290"/>
        <w:jc w:val="both"/>
      </w:pPr>
      <w:r>
        <w:rPr>
          <w:spacing w:val="-1"/>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pStyle w:val="BodyText"/>
        <w:spacing w:line="316" w:lineRule="auto" w:before="19"/>
        <w:ind w:right="1032" w:firstLine="290"/>
        <w:jc w:val="left"/>
      </w:pPr>
      <w:r>
        <w:rPr/>
        <w:t>本公司因处置部分股权投资丧失了对被投资单位的共同控制或重大影响的，处置后的剩余股权改按金融工具确认和计量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3"/>
        </w:rPr>
        <w:t> </w:t>
      </w:r>
      <w:r>
        <w:rPr>
          <w:spacing w:val="-63"/>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57" w:lineRule="auto" w:before="26"/>
        <w:ind w:left="299" w:right="1120"/>
        <w:jc w:val="left"/>
      </w:pPr>
      <w:r>
        <w:rPr/>
        <w:t>折旧或摊销方法 </w:t>
      </w:r>
      <w:r>
        <w:rPr>
          <w:spacing w:val="-1"/>
        </w:rPr>
        <w:t>投资性房地产是指为赚取租金或资本增值，或两者兼有而持有的房地产。包括已出租的土地使用权、持有并准备增值后转</w:t>
      </w:r>
    </w:p>
    <w:p>
      <w:pPr>
        <w:pStyle w:val="BodyText"/>
        <w:spacing w:line="224" w:lineRule="exact"/>
        <w:ind w:right="0"/>
        <w:jc w:val="left"/>
      </w:pPr>
      <w:r>
        <w:rPr/>
        <w:t>让的土地使用权、已出租的建筑物等。</w:t>
      </w:r>
    </w:p>
    <w:p>
      <w:pPr>
        <w:pStyle w:val="BodyText"/>
        <w:spacing w:line="316" w:lineRule="auto" w:before="76"/>
        <w:ind w:right="1120" w:firstLine="145"/>
        <w:jc w:val="left"/>
      </w:pPr>
      <w:r>
        <w:rPr>
          <w:spacing w:val="-1"/>
        </w:rPr>
        <w:t>对于本公司持有以备经营出租的空置建筑物，若董事会（或类似机构）作出书面决议，明确表示将其用于经营出租且持有</w:t>
      </w:r>
      <w:r>
        <w:rPr/>
        <w:t> 意图短期内不再发生变化的，也作为投资性房地产列报。</w:t>
      </w:r>
    </w:p>
    <w:p>
      <w:pPr>
        <w:pStyle w:val="BodyText"/>
        <w:spacing w:line="316" w:lineRule="auto" w:before="19"/>
        <w:ind w:right="1120" w:firstLine="145"/>
        <w:jc w:val="left"/>
      </w:pPr>
      <w:r>
        <w:rPr>
          <w:spacing w:val="-1"/>
        </w:rPr>
        <w:t>投资性房地产按成本进行初始计量。与投资性房地产有关的后续支出，如果与该资产有关的经济利益很可能流入且其成本</w:t>
      </w:r>
      <w:r>
        <w:rPr/>
        <w:t> 能可靠地计量，则计入投资性房地产成本。其他后续支出，在发生时计入当期损益。</w:t>
      </w:r>
    </w:p>
    <w:p>
      <w:pPr>
        <w:pStyle w:val="BodyText"/>
        <w:spacing w:line="312" w:lineRule="auto" w:before="19"/>
        <w:ind w:left="299" w:right="1120"/>
        <w:jc w:val="left"/>
      </w:pPr>
      <w:r>
        <w:rPr/>
        <w:t>本公司采用成本模式对投资性房地产进行后续计量，并按照与房屋建筑物或土地使用权一致的政策进行折旧或摊销。 投资性房地产的减值测试方法和减值准备计提方法详见附注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 自用房地产转换为投资性房地产或投资性房地产转换为自用房地产时，按转换前的账面价值作为转换后的入账价值。 </w:t>
      </w:r>
      <w:r>
        <w:rPr>
          <w:spacing w:val="-1"/>
        </w:rPr>
        <w:t>投资性房地产的用途改变为自用时，自改变之日起，将该投资性房地产转换为固定资产。自用房地产的用途改变为赚取租</w:t>
      </w:r>
    </w:p>
    <w:p>
      <w:pPr>
        <w:pStyle w:val="BodyText"/>
        <w:spacing w:line="316" w:lineRule="auto" w:before="22"/>
        <w:ind w:right="1131"/>
        <w:jc w:val="both"/>
      </w:pPr>
      <w:r>
        <w:rPr>
          <w:spacing w:val="-2"/>
        </w:rPr>
        <w:t>金或资本增值时，自改变之日起，将固定资产转换为投资性房地产。发生转换时，转换为采用成本模式计量的投资性房地产</w:t>
      </w:r>
      <w:r>
        <w:rPr>
          <w:spacing w:val="-66"/>
        </w:rPr>
        <w:t> </w:t>
      </w:r>
      <w:r>
        <w:rPr>
          <w:spacing w:val="-66"/>
        </w:rPr>
      </w:r>
      <w:r>
        <w:rPr>
          <w:spacing w:val="-2"/>
        </w:rPr>
        <w:t>的，以转换前的账面价值作为转换后的入账价值；转换为以公允价值模式计量的投资性房地产的，以转换日的公允价值作为</w:t>
      </w:r>
      <w:r>
        <w:rPr>
          <w:spacing w:val="-66"/>
        </w:rPr>
        <w:t> </w:t>
      </w:r>
      <w:r>
        <w:rPr>
          <w:spacing w:val="-66"/>
        </w:rPr>
      </w:r>
      <w:r>
        <w:rPr/>
        <w:t>转换后的入账价值。</w:t>
      </w:r>
    </w:p>
    <w:p>
      <w:pPr>
        <w:pStyle w:val="BodyText"/>
        <w:spacing w:line="316" w:lineRule="auto" w:before="19"/>
        <w:ind w:right="1120" w:firstLine="145"/>
        <w:jc w:val="left"/>
      </w:pPr>
      <w:r>
        <w:rPr>
          <w:spacing w:val="-1"/>
        </w:rPr>
        <w:t>当投资性房地产被处置、或者永久退出使用且预计不能从其处置中取得经济利益时，终止确认该项投资性房地产。投资性</w:t>
      </w:r>
      <w:r>
        <w:rPr/>
        <w:t> 房地产出售、转让、报废或毁损的处置收入扣除其账面价值和相关税费后计入当期损益。</w:t>
      </w:r>
    </w:p>
    <w:p>
      <w:pPr>
        <w:spacing w:after="0" w:line="31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270"/>
        <w:jc w:val="both"/>
      </w:pPr>
      <w:r>
        <w:rPr/>
        <w:t>固定资产是指为生产商品、提供劳务、出租或经营管理而持有的，使用寿命超过一个会计年度的有形资产。固定资产仅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6.47%-2.77%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24.25%-12.13%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32.33%-12.13%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270"/>
        <w:jc w:val="both"/>
      </w:pPr>
      <w:r>
        <w:rPr/>
        <w:t>融资租赁为实质上转移了与资产所有权有关的全部风险和报酬的租赁，其所有权最终可能转移，也可能不转移。以融资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6"/>
        </w:rPr>
        <w:t> </w:t>
      </w:r>
      <w:r>
        <w:rPr>
          <w:spacing w:val="-66"/>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6" w:lineRule="auto" w:before="26"/>
        <w:ind w:right="1131" w:firstLine="145"/>
        <w:jc w:val="both"/>
      </w:pPr>
      <w:r>
        <w:rPr>
          <w:spacing w:val="-1"/>
        </w:rPr>
        <w:t>在建工程成本按实际工程支出确定，包括在建期间发生的各项工程支出以及其他相关费用等。在建工程在达到预定可使用</w:t>
      </w:r>
      <w:r>
        <w:rPr/>
        <w:t> 状态后结转为固定资产。</w:t>
      </w:r>
    </w:p>
    <w:p>
      <w:pPr>
        <w:pStyle w:val="BodyText"/>
        <w:spacing w:line="240" w:lineRule="auto" w:before="59"/>
        <w:ind w:left="444" w:right="0"/>
        <w:jc w:val="left"/>
      </w:pPr>
      <w:r>
        <w:rPr/>
        <w:t>在建工程的减值测试方法和减值准备计提方法详见附注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right="0"/>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145"/>
        <w:jc w:val="both"/>
      </w:pPr>
      <w:r>
        <w:rPr>
          <w:spacing w:val="-1"/>
        </w:rPr>
        <w:t>借款费用包括借款利息、折价或溢价的摊销、辅助费用以及因外币借款而发生的汇兑差额等。可直接归属于符合资本化条</w:t>
      </w:r>
      <w:r>
        <w:rPr/>
        <w:t> </w:t>
      </w:r>
      <w:r>
        <w:rPr>
          <w:spacing w:val="-2"/>
        </w:rPr>
        <w:t>件的资产的购建或者生产的借款费用，在资产支出已经发生、借款费用已经发生、为使资产达到预定可使用或可销售状态所</w:t>
      </w:r>
      <w:r>
        <w:rPr>
          <w:spacing w:val="-66"/>
        </w:rPr>
        <w:t> </w:t>
      </w:r>
      <w:r>
        <w:rPr>
          <w:spacing w:val="-66"/>
        </w:rPr>
      </w:r>
      <w:r>
        <w:rPr>
          <w:spacing w:val="-2"/>
        </w:rPr>
        <w:t>必要的购建或生产活动已经开始时，开始资本化；构建或者生产的符合资本化条件的资产达到预定可使用状态或者可销售状</w:t>
      </w:r>
      <w:r>
        <w:rPr>
          <w:spacing w:val="-64"/>
        </w:rPr>
        <w:t> </w:t>
      </w:r>
      <w:r>
        <w:rPr>
          <w:spacing w:val="-64"/>
        </w:rPr>
      </w:r>
      <w:r>
        <w:rPr/>
        <w:t>态时，停止资本化。其余借款费用在发生当期确认为费用。</w:t>
      </w:r>
    </w:p>
    <w:p>
      <w:pPr>
        <w:pStyle w:val="BodyText"/>
        <w:spacing w:line="319" w:lineRule="auto" w:before="19"/>
        <w:ind w:right="1131" w:firstLine="290"/>
        <w:jc w:val="both"/>
      </w:pPr>
      <w:r>
        <w:rPr>
          <w:spacing w:val="-1"/>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7"/>
        <w:ind w:left="444"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符合资本化条件的资产指需要经过相当长时间的购建或者生产活动才能达到预定可使用或可销售状态的固定资产、投资</w:t>
      </w:r>
    </w:p>
    <w:p>
      <w:pPr>
        <w:pStyle w:val="BodyText"/>
        <w:spacing w:line="240" w:lineRule="auto" w:before="19"/>
        <w:ind w:right="0"/>
        <w:jc w:val="left"/>
      </w:pPr>
      <w:r>
        <w:rPr/>
        <w:t>性房地产和存货等资产。</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211" w:firstLine="29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19、无形资产" w:id="197"/>
      <w:bookmarkEnd w:id="197"/>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1028" w:hanging="146"/>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w:t>
      </w:r>
    </w:p>
    <w:p>
      <w:pPr>
        <w:pStyle w:val="BodyText"/>
        <w:spacing w:line="316" w:lineRule="auto" w:before="19"/>
        <w:ind w:left="444" w:right="0" w:hanging="291"/>
        <w:jc w:val="left"/>
      </w:pPr>
      <w:r>
        <w:rPr/>
        <w:t>则计入无形资产成本。除此以外的其他项目的支出，在发生时计入当期损益。 </w:t>
      </w:r>
      <w:r>
        <w:rPr>
          <w:spacing w:val="-1"/>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1132" w:firstLine="290"/>
        <w:jc w:val="both"/>
      </w:pPr>
      <w:r>
        <w:rPr>
          <w:spacing w:val="-1"/>
        </w:rPr>
        <w:t>使用寿命有限的无形资产自可供使用时起，对其原值在其预计使用寿命内采用摊销。使用寿命不确定的无形资产不予摊</w:t>
      </w:r>
      <w:r>
        <w:rPr/>
        <w:t> 销。</w:t>
      </w:r>
    </w:p>
    <w:p>
      <w:pPr>
        <w:pStyle w:val="BodyText"/>
        <w:spacing w:line="316" w:lineRule="auto" w:before="19"/>
        <w:ind w:right="1131"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1822" w:hanging="146"/>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444" w:right="0"/>
        <w:jc w:val="left"/>
      </w:pPr>
      <w:r>
        <w:rPr/>
        <w:t>①完成该无形资产以使其能够使用或出售在技术上具有可行性；</w:t>
      </w:r>
    </w:p>
    <w:p>
      <w:pPr>
        <w:pStyle w:val="BodyText"/>
        <w:spacing w:line="240" w:lineRule="auto" w:before="76"/>
        <w:ind w:left="444" w:right="0"/>
        <w:jc w:val="left"/>
      </w:pPr>
      <w:r>
        <w:rPr/>
        <w:t>②具有完成该无形资产并使用或出售的意图；</w:t>
      </w:r>
    </w:p>
    <w:p>
      <w:pPr>
        <w:pStyle w:val="BodyText"/>
        <w:spacing w:line="316" w:lineRule="auto" w:before="76"/>
        <w:ind w:right="1132" w:firstLine="290"/>
        <w:jc w:val="both"/>
      </w:pPr>
      <w:r>
        <w:rPr>
          <w:spacing w:val="-1"/>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444" w:right="0"/>
        <w:jc w:val="left"/>
      </w:pPr>
      <w:r>
        <w:rPr/>
        <w:t>④有足够的技术、财务资源和其他资源支持，以完成该无形资产的开发，并有能力使用或出售该无形资产；</w:t>
      </w:r>
    </w:p>
    <w:p>
      <w:pPr>
        <w:pStyle w:val="BodyText"/>
        <w:spacing w:line="316" w:lineRule="auto" w:before="76"/>
        <w:ind w:left="444" w:right="1028"/>
        <w:jc w:val="left"/>
      </w:pPr>
      <w:r>
        <w:rPr/>
        <w:t>⑤归属于该无形资产开发阶段的支出能够可靠地计量。 无法区分研究阶段支出和开发阶段支出的，将发生的研发支出全部计入当期损益。 </w:t>
      </w:r>
      <w:r>
        <w:rPr>
          <w:spacing w:val="-2"/>
        </w:rPr>
        <w:t>研究开发项目在满足上述条件，通过技术可行性及经济可行性研究，形成项目立项后，且预计带来稳定的经济利益流入，</w:t>
      </w:r>
    </w:p>
    <w:p>
      <w:pPr>
        <w:pStyle w:val="BodyText"/>
        <w:spacing w:line="240" w:lineRule="auto" w:before="19"/>
        <w:ind w:right="0"/>
        <w:jc w:val="left"/>
      </w:pPr>
      <w:r>
        <w:rPr/>
        <w:t>进入开发阶段。</w:t>
      </w:r>
    </w:p>
    <w:p>
      <w:pPr>
        <w:pStyle w:val="BodyText"/>
        <w:spacing w:line="300" w:lineRule="auto" w:before="76"/>
        <w:ind w:left="444" w:right="4722" w:hanging="74"/>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0、长期资产减值" w:id="200"/>
      <w:bookmarkEnd w:id="200"/>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145"/>
        <w:jc w:val="both"/>
      </w:pPr>
      <w:r>
        <w:rPr>
          <w:spacing w:val="-1"/>
        </w:rPr>
        <w:t>对于固定资产、在建工程、使用寿命有限的无形资产、以成本模式计量的投资性房地产及对子公司、合营企业、联营企业</w:t>
      </w:r>
      <w:r>
        <w:rPr/>
        <w:t> </w:t>
      </w:r>
      <w:r>
        <w:rPr>
          <w:spacing w:val="-2"/>
        </w:rPr>
        <w:t>的长期股权投资等非流动非金融资产，本公司于资产负债表日判断是否存在减值迹象。如存在减值迹象的，则估计其可收回</w:t>
      </w:r>
      <w:r>
        <w:rPr>
          <w:spacing w:val="-66"/>
        </w:rPr>
        <w:t> </w:t>
      </w:r>
      <w:r>
        <w:rPr>
          <w:spacing w:val="-66"/>
        </w:rPr>
      </w:r>
      <w:r>
        <w:rPr>
          <w:spacing w:val="-2"/>
        </w:rPr>
        <w:t>金额，进行减值测试。商誉、使用寿命不确定的无形资产和尚未达到可使用状态的无形资产，无论是否存在减值迹象，每年</w:t>
      </w:r>
      <w:r>
        <w:rPr>
          <w:spacing w:val="-66"/>
        </w:rPr>
        <w:t> </w:t>
      </w:r>
      <w:r>
        <w:rPr>
          <w:spacing w:val="-66"/>
        </w:rPr>
      </w:r>
      <w:r>
        <w:rPr/>
        <w:t>均进行减值测试。</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firstLine="480"/>
        <w:jc w:val="both"/>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131"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34" w:right="0"/>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21、长期待摊费用" w:id="201"/>
      <w:bookmarkEnd w:id="201"/>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长期待摊费用为已经发生但应由报告期和以后各期负担的分摊期限在一年以上的各项费用，如租用的办公场所的装修</w:t>
      </w:r>
      <w:r>
        <w:rPr/>
        <w:t> 费。长期待摊费用在预计受益期间按直线法摊销。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2、职工薪酬" w:id="202"/>
      <w:bookmarkEnd w:id="202"/>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145"/>
        <w:jc w:val="left"/>
      </w:pPr>
      <w:r>
        <w:rPr/>
        <w:t>短期薪酬主要包括工资、奖金、津贴和补贴、职工福利费、医疗保险费、生育保险费、工伤保险费、住房公积金、工会经 费和职工教育经费、非货币性福利等。本公司在职工为本公司提供服务的会计期间将实际发生的短期职工薪酬确认为负债， 并计入当期损益或相关资产成本。其中非货币性福利按公允价值计量。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firstLine="145"/>
        <w:jc w:val="left"/>
      </w:pPr>
      <w:r>
        <w:rPr>
          <w:spacing w:val="-1"/>
        </w:rPr>
        <w:t>离职后福利主要包括基本养老保险、失业保险以及年金等。离职后福利计划包括设定提存计划。采用设定提存计划的，相</w:t>
      </w:r>
      <w:r>
        <w:rPr/>
        <w:t> 应的应缴存金额于发生时计入相关资产成本或当期损益。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145"/>
        <w:jc w:val="left"/>
      </w:pPr>
      <w:r>
        <w:rPr/>
        <w:t>在职工劳动合同到期之前解除与职工的劳动关系，或为鼓励职工自愿接受裁减而提出给予补偿的建议，在本公司不能单方 </w:t>
      </w:r>
      <w:r>
        <w:rPr>
          <w:spacing w:val="-2"/>
        </w:rPr>
        <w:t>面撤回因解除劳动关系计划或裁减建议所提供的辞退福利时，和本公司确认与涉及支付辞退福利的重组相关的成本两者孰早</w:t>
      </w:r>
      <w:r>
        <w:rPr>
          <w:spacing w:val="-64"/>
        </w:rPr>
        <w:t> </w:t>
      </w:r>
      <w:r>
        <w:rPr>
          <w:spacing w:val="-64"/>
        </w:rPr>
      </w:r>
      <w:r>
        <w:rPr/>
        <w:t>日，确认辞退福利产生的职工薪酬负债，并计入当期损益。但辞退福利预期在年度报告期结束后十二个月不能完全支付的， 按照其他长期职工薪酬处理。</w:t>
      </w:r>
    </w:p>
    <w:p>
      <w:pPr>
        <w:spacing w:after="0" w:line="319"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0" w:firstLine="145"/>
        <w:jc w:val="left"/>
      </w:pPr>
      <w:r>
        <w:rPr>
          <w:spacing w:val="-1"/>
        </w:rPr>
        <w:t>本公司向职工提供的其他长期职工福利，符合设定提存计划的，按照设定提存计划进行会计处理，除此之外按照设定受益</w:t>
      </w:r>
      <w:r>
        <w:rPr/>
        <w:t> 计划进行会计处理。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23、预计负债" w:id="207"/>
      <w:bookmarkEnd w:id="207"/>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1" w:firstLine="145"/>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）履行该义务</w:t>
      </w:r>
      <w:r>
        <w:rPr/>
        <w:t> 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33" w:firstLine="290"/>
        <w:jc w:val="both"/>
      </w:pPr>
      <w:r>
        <w:rPr>
          <w:spacing w:val="-1"/>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right="1133" w:firstLine="290"/>
        <w:jc w:val="both"/>
      </w:pPr>
      <w:r>
        <w:rPr>
          <w:spacing w:val="-1"/>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444" w:right="1118" w:hanging="74"/>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444" w:right="1118" w:hanging="74"/>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对于有详细、正式并且已经对外公告的重组计划，在满足前述预计负债的确认条件的情况下，按照与重组有关的直接支</w:t>
      </w:r>
    </w:p>
    <w:p>
      <w:pPr>
        <w:pStyle w:val="BodyText"/>
        <w:spacing w:line="240" w:lineRule="auto" w:before="31"/>
        <w:ind w:right="0"/>
        <w:jc w:val="both"/>
      </w:pPr>
      <w:r>
        <w:rPr/>
        <w:t>出确定预计负债金额。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4、股份支付" w:id="208"/>
      <w:bookmarkEnd w:id="208"/>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0" w:hanging="218"/>
        <w:jc w:val="left"/>
      </w:pPr>
      <w:r>
        <w:rPr/>
        <w:t>（</w:t>
      </w:r>
      <w:r>
        <w:rPr>
          <w:rFonts w:ascii="Times New Roman" w:hAnsi="Times New Roman" w:cs="Times New Roman" w:eastAsia="Times New Roman" w:hint="default"/>
        </w:rPr>
        <w:t>1</w:t>
      </w:r>
      <w:r>
        <w:rPr/>
        <w:t>）股份支付的会计处理方法 </w:t>
      </w:r>
      <w:r>
        <w:rPr>
          <w:spacing w:val="-1"/>
        </w:rPr>
        <w:t>股份支付是为了获取职工或其他方提供服务而授予权益工具或者承担以权益工具为基础确定的负债的交易。股份支付分</w:t>
      </w:r>
    </w:p>
    <w:p>
      <w:pPr>
        <w:pStyle w:val="BodyText"/>
        <w:spacing w:line="240" w:lineRule="auto" w:before="31"/>
        <w:ind w:right="0"/>
        <w:jc w:val="both"/>
      </w:pPr>
      <w:r>
        <w:rPr/>
        <w:t>为以权益结算的股份支付和以现金结算的股份支付。</w:t>
      </w:r>
    </w:p>
    <w:p>
      <w:pPr>
        <w:pStyle w:val="BodyText"/>
        <w:spacing w:line="316" w:lineRule="auto" w:before="76"/>
        <w:ind w:left="444" w:right="0"/>
        <w:jc w:val="left"/>
      </w:pPr>
      <w:r>
        <w:rPr/>
        <w:t>①以权益结算的股份支付 </w:t>
      </w:r>
      <w:r>
        <w:rPr>
          <w:spacing w:val="-1"/>
        </w:rPr>
        <w:t>用以换取职工提供的服务的权益结算的股份支付，以授予职工权益工具在授予日的公允价值计量。该公允价值的金额在</w:t>
      </w:r>
    </w:p>
    <w:p>
      <w:pPr>
        <w:pStyle w:val="BodyText"/>
        <w:spacing w:line="316" w:lineRule="auto" w:before="19"/>
        <w:ind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right="1132" w:firstLine="290"/>
        <w:jc w:val="both"/>
      </w:pPr>
      <w:r>
        <w:rPr>
          <w:spacing w:val="-1"/>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2" w:firstLine="290"/>
        <w:jc w:val="both"/>
      </w:pPr>
      <w:r>
        <w:rPr>
          <w:spacing w:val="-1"/>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444" w:right="0"/>
        <w:jc w:val="left"/>
      </w:pPr>
      <w:r>
        <w:rPr/>
        <w:t>②以现金结算的股份支付 </w:t>
      </w:r>
      <w:r>
        <w:rPr>
          <w:spacing w:val="-1"/>
        </w:rPr>
        <w:t>以现金结算的股份支付，按照本公司承担的以股份或其他权益工具为基础确定的负债的公允价值计量。如授予后立即可</w:t>
      </w:r>
    </w:p>
    <w:p>
      <w:pPr>
        <w:pStyle w:val="BodyText"/>
        <w:spacing w:line="319" w:lineRule="auto" w:before="19"/>
        <w:ind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7"/>
        <w:ind w:left="444" w:right="0"/>
        <w:jc w:val="left"/>
      </w:pPr>
      <w:r>
        <w:rPr/>
        <w:t>在相关负债结算前的每个资产负债表日以及结算日，对负债的公允价值重新计量，其变动计入当期损益。</w:t>
      </w:r>
    </w:p>
    <w:p>
      <w:pPr>
        <w:pStyle w:val="BodyText"/>
        <w:spacing w:line="300" w:lineRule="auto" w:before="76"/>
        <w:ind w:left="444" w:right="0" w:hanging="74"/>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本公司对股份支付计划进行修改时，若修改增加了所授予权益工具的公允价值，按照权益工具公允价值的增加相应确认</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9" w:lineRule="auto" w:before="19"/>
        <w:ind w:right="1133" w:firstLine="290"/>
        <w:jc w:val="both"/>
      </w:pPr>
      <w:r>
        <w:rPr>
          <w:spacing w:val="-1"/>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00" w:lineRule="auto" w:before="17"/>
        <w:ind w:left="371" w:right="1175"/>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6" w:lineRule="auto" w:before="76"/>
        <w:ind w:right="1133" w:firstLine="290"/>
        <w:jc w:val="both"/>
      </w:pPr>
      <w:r>
        <w:rPr>
          <w:spacing w:val="-1"/>
        </w:rPr>
        <w:t>①结算企业以其本身权益工具结算的，将该股份支付交易作为权益结算的股份支付处理；除此之外，作为现金结算的股</w:t>
      </w:r>
      <w:r>
        <w:rPr/>
        <w:t> 份支付处理。</w:t>
      </w:r>
    </w:p>
    <w:p>
      <w:pPr>
        <w:pStyle w:val="BodyText"/>
        <w:spacing w:line="316" w:lineRule="auto" w:before="19"/>
        <w:ind w:right="1133" w:firstLine="290"/>
        <w:jc w:val="both"/>
      </w:pPr>
      <w:r>
        <w:rPr>
          <w:spacing w:val="-1"/>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right="1132" w:firstLine="290"/>
        <w:jc w:val="both"/>
      </w:pPr>
      <w:r>
        <w:rPr>
          <w:spacing w:val="-1"/>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59"/>
        <w:ind w:right="1132" w:firstLine="290"/>
        <w:jc w:val="both"/>
      </w:pPr>
      <w:r>
        <w:rPr>
          <w:spacing w:val="-1"/>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left"/>
        <w:rPr>
          <w:b w:val="0"/>
          <w:bCs w:val="0"/>
        </w:rPr>
      </w:pPr>
      <w:bookmarkStart w:name="25、优先股、永续债等其他金融工具" w:id="209"/>
      <w:bookmarkEnd w:id="209"/>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3982" w:hanging="291"/>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6" w:lineRule="auto" w:before="31"/>
        <w:ind w:right="1133" w:firstLine="290"/>
        <w:jc w:val="both"/>
      </w:pPr>
      <w:r>
        <w:rPr>
          <w:spacing w:val="-1"/>
        </w:rPr>
        <w:t>①该金融工具不包括交付现金或其他金融资产给其他方，或在潜在不利条件下与其他方交换金融资产或金融负债的合同</w:t>
      </w:r>
      <w:r>
        <w:rPr/>
        <w:t> 义务；</w:t>
      </w:r>
    </w:p>
    <w:p>
      <w:pPr>
        <w:pStyle w:val="BodyText"/>
        <w:spacing w:line="316" w:lineRule="auto" w:before="19"/>
        <w:ind w:right="1131" w:firstLine="290"/>
        <w:jc w:val="both"/>
      </w:pPr>
      <w:r>
        <w:rPr>
          <w:spacing w:val="-1"/>
        </w:rPr>
        <w:t>②如将来须用或可用企业自身权益工具结算该金融工具的，如该金融工具为非衍生工具，则不包括交付可变数量的自身</w:t>
      </w:r>
      <w:r>
        <w:rPr/>
        <w:t> </w:t>
      </w:r>
      <w:r>
        <w:rPr>
          <w:spacing w:val="-3"/>
        </w:rPr>
        <w:t>权益工具进行结算的合同义务；如为衍生工具，则</w:t>
      </w:r>
      <w:r>
        <w:rPr>
          <w:spacing w:val="10"/>
        </w:rPr>
        <w:t> </w:t>
      </w:r>
      <w:r>
        <w:rPr/>
        <w:t>本公司只能通过以固定数量的自身权益工具交换固定金额的现</w:t>
      </w:r>
      <w:r>
        <w:rPr/>
        <w:t> 金或其他金融资产结算该金融工具。</w:t>
      </w:r>
    </w:p>
    <w:p>
      <w:pPr>
        <w:pStyle w:val="BodyText"/>
        <w:spacing w:line="316" w:lineRule="auto" w:before="19"/>
        <w:ind w:left="444" w:right="0"/>
        <w:jc w:val="left"/>
      </w:pPr>
      <w:r>
        <w:rPr/>
        <w:t>除按上述条件可归类为权益工具的金融工具以外，本公司发行的其他金融工具应归类为金融负债。 </w:t>
      </w:r>
      <w:r>
        <w:rPr>
          <w:spacing w:val="-1"/>
        </w:rPr>
        <w:t>本公司发行的金融工具为复合金融工具的，按照负债成分的公允价值确认为一项负债，按实际收到的金额扣除负债成分</w:t>
      </w:r>
    </w:p>
    <w:p>
      <w:pPr>
        <w:pStyle w:val="BodyText"/>
        <w:spacing w:line="300" w:lineRule="auto" w:before="19"/>
        <w:ind w:right="0"/>
        <w:jc w:val="left"/>
      </w:pPr>
      <w:r>
        <w:rPr>
          <w:spacing w:val="-2"/>
        </w:rPr>
        <w:t>的公允价值后的金额，确认为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w:t>
      </w:r>
      <w:r>
        <w:rPr>
          <w:spacing w:val="-45"/>
        </w:rPr>
        <w:t> </w:t>
      </w:r>
      <w:r>
        <w:rPr>
          <w:spacing w:val="-45"/>
        </w:rPr>
      </w:r>
      <w:r>
        <w:rPr/>
        <w:t>总发行价款的比例进行分摊。</w:t>
      </w:r>
    </w:p>
    <w:p>
      <w:pPr>
        <w:pStyle w:val="BodyText"/>
        <w:spacing w:line="300" w:lineRule="auto" w:before="31"/>
        <w:ind w:left="444" w:right="0" w:hanging="74"/>
        <w:jc w:val="left"/>
      </w:pPr>
      <w:r>
        <w:rPr/>
        <w:t>（</w:t>
      </w:r>
      <w:r>
        <w:rPr>
          <w:rFonts w:ascii="Times New Roman" w:hAnsi="Times New Roman" w:cs="Times New Roman" w:eastAsia="Times New Roman" w:hint="default"/>
        </w:rPr>
        <w:t>2</w:t>
      </w:r>
      <w:r>
        <w:rPr/>
        <w:t>）永续债和优先股等的会计处理方法 </w:t>
      </w:r>
      <w:r>
        <w:rPr>
          <w:spacing w:val="-1"/>
        </w:rPr>
        <w:t>归类为金融负债的永续债和优先股等金融工具，其相关利息、股利（或股息）、利得或损失，以及赎回或再融资产生的</w:t>
      </w:r>
    </w:p>
    <w:p>
      <w:pPr>
        <w:pStyle w:val="BodyText"/>
        <w:spacing w:line="300" w:lineRule="auto" w:before="31"/>
        <w:ind w:left="444" w:right="0" w:hanging="291"/>
        <w:jc w:val="left"/>
      </w:pPr>
      <w:r>
        <w:rPr/>
        <w:t>利得或损失等，除符合资本化条件的借款费用（参见本附注</w:t>
      </w:r>
      <w:r>
        <w:rPr>
          <w:rFonts w:ascii="Times New Roman" w:hAnsi="Times New Roman" w:cs="Times New Roman" w:eastAsia="Times New Roman" w:hint="default"/>
        </w:rPr>
        <w:t>“</w:t>
      </w:r>
      <w:r>
        <w:rPr/>
        <w:t>借款费用</w:t>
      </w:r>
      <w:r>
        <w:rPr>
          <w:rFonts w:ascii="Times New Roman" w:hAnsi="Times New Roman" w:cs="Times New Roman" w:eastAsia="Times New Roman" w:hint="default"/>
        </w:rPr>
        <w:t>”</w:t>
      </w:r>
      <w:r>
        <w:rPr/>
        <w:t>）以外，均计入当期损益。 </w:t>
      </w:r>
      <w:r>
        <w:rPr>
          <w:spacing w:val="-1"/>
        </w:rPr>
        <w:t>归类为权益工具的永续债和优先股等金融工具，其发行（含再融资）、回购、出售或注销时，本公司作为权益的变动处</w:t>
      </w:r>
    </w:p>
    <w:p>
      <w:pPr>
        <w:pStyle w:val="BodyText"/>
        <w:spacing w:line="316" w:lineRule="auto" w:before="31"/>
        <w:ind w:left="444" w:right="3733" w:hanging="291"/>
        <w:jc w:val="left"/>
      </w:pPr>
      <w:r>
        <w:rPr/>
        <w:t>理，相关交易费用亦从权益中扣减。本公司对权益工具持有方的分配作为利润分配处理。 本公司不确认权益工具的公允价值变动。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6、收入" w:id="210"/>
      <w:bookmarkEnd w:id="210"/>
      <w:r>
        <w:rPr>
          <w:b w:val="0"/>
          <w:bCs w:val="0"/>
        </w:rPr>
      </w: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footerReference w:type="default" r:id="rId33"/>
          <w:pgSz w:w="11910" w:h="16840"/>
          <w:pgMar w:footer="979" w:header="877" w:top="1100" w:bottom="1160" w:left="980" w:right="0"/>
          <w:pgNumType w:start="123"/>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否</w:t>
      </w:r>
    </w:p>
    <w:p>
      <w:pPr>
        <w:pStyle w:val="BodyText"/>
        <w:spacing w:line="300" w:lineRule="auto" w:before="115"/>
        <w:ind w:left="444" w:right="0" w:hanging="218"/>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在已将商品所有权上的主要风险和报酬转移给买方，既没有保留通常与所有权相联系的继续管理权，也没有对已售商品</w:t>
      </w:r>
    </w:p>
    <w:p>
      <w:pPr>
        <w:pStyle w:val="BodyText"/>
        <w:spacing w:line="319" w:lineRule="auto" w:before="31"/>
        <w:ind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7"/>
        <w:ind w:left="44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在提供劳务交易的结果能够可靠估计的情况下，于资产负债表日按照完工百分比法确认提供的劳务收入。劳务交易的完</w:t>
      </w:r>
    </w:p>
    <w:p>
      <w:pPr>
        <w:pStyle w:val="BodyText"/>
        <w:spacing w:line="316" w:lineRule="auto" w:before="31"/>
        <w:ind w:left="444" w:right="1102" w:hanging="291"/>
        <w:jc w:val="left"/>
      </w:pPr>
      <w:r>
        <w:rPr/>
        <w:t>工进度按已经提供的劳务占应提供劳务总量的比例确定。 提供劳务交易的结果能够可靠估计是指同时满足：①收入的金额能够可靠地计量；②相关的经济利益很可能流入企业；</w:t>
      </w:r>
    </w:p>
    <w:p>
      <w:pPr>
        <w:pStyle w:val="BodyText"/>
        <w:spacing w:line="316" w:lineRule="auto" w:before="19"/>
        <w:ind w:left="444" w:right="0" w:hanging="291"/>
        <w:jc w:val="left"/>
      </w:pPr>
      <w:r>
        <w:rPr/>
        <w:t>③交易的完工程度能够可靠地确定；④交易中已发生和将发生的成本能够可靠地计量。 </w:t>
      </w:r>
      <w:r>
        <w:rPr>
          <w:spacing w:val="-1"/>
        </w:rPr>
        <w:t>如果提供劳务交易的结果不能够可靠估计，则按已经发生并预计能够得到补偿的劳务成本金额确认提供的劳务收入，并</w:t>
      </w:r>
    </w:p>
    <w:p>
      <w:pPr>
        <w:pStyle w:val="BodyText"/>
        <w:spacing w:line="316" w:lineRule="auto" w:before="19"/>
        <w:ind w:left="444" w:right="0" w:hanging="291"/>
        <w:jc w:val="left"/>
      </w:pPr>
      <w:r>
        <w:rPr/>
        <w:t>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444" w:right="6682" w:hanging="74"/>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9" w:lineRule="auto" w:before="31"/>
        <w:ind w:left="444" w:right="5962" w:hanging="74"/>
        <w:jc w:val="left"/>
      </w:pPr>
      <w:r>
        <w:rPr/>
        <w:t>（</w:t>
      </w:r>
      <w:r>
        <w:rPr>
          <w:rFonts w:ascii="Times New Roman" w:hAnsi="Times New Roman" w:cs="Times New Roman" w:eastAsia="Times New Roman" w:hint="default"/>
        </w:rPr>
        <w:t>4</w:t>
      </w:r>
      <w:r>
        <w:rPr/>
        <w:t>）利息收入</w:t>
      </w:r>
      <w:r>
        <w:rPr>
          <w:spacing w:val="-2"/>
        </w:rPr>
        <w:t> </w:t>
      </w:r>
      <w:r>
        <w:rPr/>
        <w:t>按照他人使用本公司货币资金的时间和实际利率计算确定</w:t>
      </w:r>
      <w:r>
        <w:rPr/>
        <w:t> 本公司对企业互联网服务的收入确认如下：</w:t>
      </w:r>
    </w:p>
    <w:p>
      <w:pPr>
        <w:pStyle w:val="BodyText"/>
        <w:spacing w:line="309" w:lineRule="auto" w:before="24"/>
        <w:ind w:right="1133" w:firstLine="145"/>
        <w:jc w:val="both"/>
      </w:pPr>
      <w:r>
        <w:rPr/>
        <w:t>（</w:t>
      </w:r>
      <w:r>
        <w:rPr>
          <w:rFonts w:ascii="Times New Roman" w:hAnsi="Times New Roman" w:cs="Times New Roman" w:eastAsia="Times New Roman" w:hint="default"/>
        </w:rPr>
        <w:t>5</w:t>
      </w:r>
      <w:r>
        <w:rPr/>
        <w:t>）人力资本，公司根据客户的多种用工需求，为其提供相关岗位、业务流程等服务并签订服务协议。公司根据协议提 </w:t>
      </w:r>
      <w:r>
        <w:rPr>
          <w:spacing w:val="-2"/>
        </w:rPr>
        <w:t>供约定的工作或服务内容，并按照所提供服务的内容、期限、派出人数、完成工作量以及结算价格等定期与客户确认；在相</w:t>
      </w:r>
      <w:r>
        <w:rPr>
          <w:spacing w:val="-66"/>
        </w:rPr>
        <w:t> </w:t>
      </w:r>
      <w:r>
        <w:rPr>
          <w:spacing w:val="-66"/>
        </w:rPr>
      </w:r>
      <w:r>
        <w:rPr/>
        <w:t>关的经济利益很可能流入企业，服务的完成结果能够可靠地确定时确认收入。</w:t>
      </w:r>
    </w:p>
    <w:p>
      <w:pPr>
        <w:pStyle w:val="BodyText"/>
        <w:spacing w:line="309" w:lineRule="auto" w:before="24"/>
        <w:ind w:right="1133" w:firstLine="145"/>
        <w:jc w:val="both"/>
      </w:pPr>
      <w:r>
        <w:rPr/>
        <w:t>（</w:t>
      </w:r>
      <w:r>
        <w:rPr>
          <w:rFonts w:ascii="Times New Roman" w:hAnsi="Times New Roman" w:cs="Times New Roman" w:eastAsia="Times New Roman" w:hint="default"/>
        </w:rPr>
        <w:t>6</w:t>
      </w:r>
      <w:r>
        <w:rPr/>
        <w:t>）顾问咨询，公司根据客户需要为其提供股权筹划咨询、架构设计、交易设计等全案服务并签订服务协议，按照协议 </w:t>
      </w:r>
      <w:r>
        <w:rPr>
          <w:spacing w:val="-2"/>
        </w:rPr>
        <w:t>约定的内容完成相关服务或咨询并收取约定的服务费；公司在上述服务的成果已完成，并取得双方认可的收款依据，在相关</w:t>
      </w:r>
      <w:r>
        <w:rPr>
          <w:spacing w:val="-66"/>
        </w:rPr>
        <w:t> </w:t>
      </w:r>
      <w:r>
        <w:rPr>
          <w:spacing w:val="-66"/>
        </w:rPr>
      </w:r>
      <w:r>
        <w:rPr/>
        <w:t>的经济利益很可能流入企业，服务的完成结果能够可靠确定时确认收入。</w:t>
      </w:r>
    </w:p>
    <w:p>
      <w:pPr>
        <w:pStyle w:val="BodyText"/>
        <w:spacing w:line="300" w:lineRule="auto" w:before="24"/>
        <w:ind w:left="444" w:right="6142" w:hanging="146"/>
        <w:jc w:val="left"/>
      </w:pPr>
      <w:r>
        <w:rPr/>
        <w:t>（</w:t>
      </w:r>
      <w:r>
        <w:rPr>
          <w:rFonts w:ascii="Times New Roman" w:hAnsi="Times New Roman" w:cs="Times New Roman" w:eastAsia="Times New Roman" w:hint="default"/>
        </w:rPr>
        <w:t>7</w:t>
      </w:r>
      <w:r>
        <w:rPr/>
        <w:t>）企业综合服务收入 此项业务收入分为一次性服务收入和周期性服务收入：</w:t>
      </w:r>
    </w:p>
    <w:p>
      <w:pPr>
        <w:pStyle w:val="BodyText"/>
        <w:spacing w:line="316" w:lineRule="auto" w:before="31"/>
        <w:ind w:right="1131" w:firstLine="290"/>
        <w:jc w:val="both"/>
      </w:pPr>
      <w:r>
        <w:rPr>
          <w:spacing w:val="-1"/>
        </w:rPr>
        <w:t>一次性服务收入：双方如签署服务协议，本公司依据服务协议提供服务，并依据服务协议提交或形成工作成果，对方已</w:t>
      </w:r>
      <w:r>
        <w:rPr/>
        <w:t> </w:t>
      </w:r>
      <w:r>
        <w:rPr>
          <w:spacing w:val="-2"/>
        </w:rPr>
        <w:t>付款或按服务协议约定付款，或预计相关的经济利益很可能流入本公司时，本公司在服务完成时一次性确认收入；如双方未</w:t>
      </w:r>
      <w:r>
        <w:rPr>
          <w:spacing w:val="-66"/>
        </w:rPr>
        <w:t> </w:t>
      </w:r>
      <w:r>
        <w:rPr>
          <w:spacing w:val="-66"/>
        </w:rPr>
      </w:r>
      <w:r>
        <w:rPr/>
        <w:t>签署服务协议，本公司在服务完成时如已收款或取得收款凭据，或预计相关的经济利益很可能流入本公司时确认收入。</w:t>
      </w:r>
    </w:p>
    <w:p>
      <w:pPr>
        <w:pStyle w:val="BodyText"/>
        <w:spacing w:line="316" w:lineRule="auto" w:before="19"/>
        <w:ind w:right="1133" w:firstLine="290"/>
        <w:jc w:val="both"/>
      </w:pPr>
      <w:r>
        <w:rPr>
          <w:spacing w:val="-1"/>
        </w:rPr>
        <w:t>周期性服务收入：双方签署周期性服务协议，本公司依据服务协议提供周期性服务，并依据服务协议提交或形成周期性</w:t>
      </w:r>
      <w:r>
        <w:rPr/>
        <w:t> </w:t>
      </w:r>
      <w:r>
        <w:rPr>
          <w:spacing w:val="-2"/>
        </w:rPr>
        <w:t>的工作成果，对方已付款或按服务协议约定付款，或预计相关的经济利益很可能流入本公司时，本公司根据服务期限分期确</w:t>
      </w:r>
      <w:r>
        <w:rPr>
          <w:spacing w:val="-66"/>
        </w:rPr>
        <w:t> </w:t>
      </w:r>
      <w:r>
        <w:rPr>
          <w:spacing w:val="-66"/>
        </w:rPr>
      </w:r>
      <w:r>
        <w:rPr/>
        <w:t>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7、政府补助" w:id="211"/>
      <w:bookmarkEnd w:id="211"/>
      <w:r>
        <w:rPr>
          <w:b w:val="0"/>
          <w:bCs w:val="0"/>
        </w:rPr>
      </w:r>
      <w:r>
        <w:rPr>
          <w:rFonts w:ascii="Times New Roman" w:hAnsi="Times New Roman" w:cs="Times New Roman" w:eastAsia="Times New Roman" w:hint="default"/>
        </w:rPr>
        <w:t>27</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371" w:right="1175"/>
        <w:jc w:val="left"/>
      </w:pPr>
      <w:r>
        <w:rPr/>
        <w:t>公司取得的、用于购建或以其他方式形成长期资产的政府补助划分为与资产相关的政府补助。 与资产相关的政府补助，冲减相关资产的账面价值或确认为递延收益。与资产相关补助确认为递延收益的，在相关资产</w:t>
      </w:r>
    </w:p>
    <w:p>
      <w:pPr>
        <w:pStyle w:val="BodyText"/>
        <w:spacing w:line="316" w:lineRule="auto" w:before="19"/>
        <w:ind w:right="0"/>
        <w:jc w:val="left"/>
      </w:pPr>
      <w:r>
        <w:rPr>
          <w:spacing w:val="-2"/>
        </w:rPr>
        <w:t>使用寿命内按照合理、系统的方法分期计入损益。按照名义金额计量的政府补助，直接计入当期损益。相关资产在使用寿命</w:t>
      </w:r>
      <w:r>
        <w:rPr>
          <w:spacing w:val="-66"/>
        </w:rPr>
        <w:t> </w:t>
      </w:r>
      <w:r>
        <w:rPr>
          <w:spacing w:val="-66"/>
        </w:rPr>
      </w:r>
      <w:r>
        <w:rPr/>
        <w:t>结束前被出售、转让、报废或发生毁损的，将尚未分配的相关递延收益余额转入资产处置当期的损益。</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99" w:right="1120"/>
        <w:jc w:val="left"/>
      </w:pPr>
      <w:r>
        <w:rPr/>
        <w:t>除与资产相关的政府补助之外的政府补助划分为与收益相关的政府补助。 </w:t>
      </w:r>
      <w:r>
        <w:rPr>
          <w:spacing w:val="-1"/>
        </w:rPr>
        <w:t>对于同时包含与资产相关部分和与收益相关部分的政府补助，难以区分与资产相关或与收益相关的，整体归类为与收益相</w:t>
      </w:r>
    </w:p>
    <w:p>
      <w:pPr>
        <w:pStyle w:val="BodyText"/>
        <w:spacing w:line="316" w:lineRule="auto" w:before="19"/>
        <w:ind w:right="1131"/>
        <w:jc w:val="both"/>
      </w:pPr>
      <w:r>
        <w:rPr>
          <w:spacing w:val="-2"/>
        </w:rPr>
        <w:t>关的政府补助。与收益相关的政府补助，用于补偿以后期间的相关成本费用或损失的，确认为递延收益，在确认相关成本费</w:t>
      </w:r>
      <w:r>
        <w:rPr>
          <w:spacing w:val="-66"/>
        </w:rPr>
        <w:t> </w:t>
      </w:r>
      <w:r>
        <w:rPr>
          <w:spacing w:val="-66"/>
        </w:rPr>
      </w:r>
      <w:r>
        <w:rPr>
          <w:spacing w:val="-2"/>
        </w:rPr>
        <w:t>用或损失的期间，计入当期损益或冲减相关成本；用于补偿已发生的相关成本费用或损失的，直接计入当期损益或冲减相关</w:t>
      </w:r>
      <w:r>
        <w:rPr>
          <w:spacing w:val="-66"/>
        </w:rPr>
        <w:t> </w:t>
      </w:r>
      <w:r>
        <w:rPr>
          <w:spacing w:val="-66"/>
        </w:rPr>
      </w:r>
      <w:r>
        <w:rPr/>
        <w:t>成本。</w:t>
      </w:r>
    </w:p>
    <w:p>
      <w:pPr>
        <w:pStyle w:val="BodyText"/>
        <w:spacing w:line="316" w:lineRule="auto" w:before="19"/>
        <w:ind w:right="1120" w:firstLine="145"/>
        <w:jc w:val="left"/>
      </w:pPr>
      <w:r>
        <w:rPr>
          <w:spacing w:val="-1"/>
        </w:rPr>
        <w:t>与公司日常经营活动相关的政府补助，按照经济业务实质，计入其他收益或冲减相关成本费用。与公司日常活动无关的政</w:t>
      </w:r>
      <w:r>
        <w:rPr/>
        <w:t> 府补助，计入营业外收支。</w:t>
      </w:r>
    </w:p>
    <w:p>
      <w:pPr>
        <w:pStyle w:val="BodyText"/>
        <w:spacing w:line="316" w:lineRule="auto" w:before="19"/>
        <w:ind w:left="299" w:right="1120"/>
        <w:jc w:val="left"/>
      </w:pPr>
      <w:r>
        <w:rPr/>
        <w:t>财政将贴息资金直接拨付给公司的，将对应的贴息冲减相关借款费用。 </w:t>
      </w:r>
      <w:r>
        <w:rPr>
          <w:spacing w:val="-1"/>
        </w:rPr>
        <w:t>已确认的政府补助需要返还时，初始确认时冲减相关资产账面价值的，调整资产账面价值；存在相关递延收益余额的，冲</w:t>
      </w:r>
    </w:p>
    <w:p>
      <w:pPr>
        <w:pStyle w:val="BodyText"/>
        <w:spacing w:line="240" w:lineRule="auto" w:before="19"/>
        <w:ind w:right="0"/>
        <w:jc w:val="both"/>
      </w:pPr>
      <w:r>
        <w:rPr/>
        <w:t>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3"/>
        <w:spacing w:line="240" w:lineRule="auto"/>
        <w:ind w:right="0"/>
        <w:jc w:val="both"/>
        <w:rPr>
          <w:b w:val="0"/>
          <w:bCs w:val="0"/>
        </w:rPr>
      </w:pPr>
      <w:bookmarkStart w:name="28、递延所得税资产/递延所得税负债" w:id="212"/>
      <w:bookmarkEnd w:id="212"/>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4" w:right="1102" w:hanging="218"/>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1118"/>
        <w:jc w:val="left"/>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300" w:lineRule="auto" w:before="19"/>
        <w:ind w:left="444" w:right="0" w:hanging="74"/>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某些资产、负债项目的账面价值与其计税基础之间的差额，以及未作为资产和负债确认但按照税法规定可以确定其计税</w:t>
      </w:r>
    </w:p>
    <w:p>
      <w:pPr>
        <w:pStyle w:val="BodyText"/>
        <w:spacing w:line="316" w:lineRule="auto" w:before="31"/>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290"/>
        <w:jc w:val="both"/>
      </w:pPr>
      <w:r>
        <w:rPr>
          <w:spacing w:val="-1"/>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right="1131" w:firstLine="290"/>
        <w:jc w:val="both"/>
      </w:pPr>
      <w:r>
        <w:rPr>
          <w:spacing w:val="-1"/>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right="1118" w:firstLine="290"/>
        <w:jc w:val="left"/>
      </w:pPr>
      <w:r>
        <w:rPr>
          <w:spacing w:val="-1"/>
        </w:rPr>
        <w:t>对于能够结转以后年度的可抵扣亏损和税款抵减，以很可能获得用来抵扣可抵扣亏损和税款抵减的未来应纳税所得额为</w:t>
      </w:r>
      <w:r>
        <w:rPr/>
        <w:t> 限，确认相应的递延所得税资产。 </w:t>
      </w:r>
      <w:r>
        <w:rPr>
          <w:spacing w:val="-2"/>
        </w:rPr>
        <w:t>资产负债表日，对于递延所得税资产和递延所得税负债，根据税法规定，按照预期收回相关资产或清偿相关负债期间的适用</w:t>
      </w:r>
      <w:r>
        <w:rPr>
          <w:spacing w:val="-66"/>
        </w:rPr>
        <w:t> </w:t>
      </w:r>
      <w:r>
        <w:rPr>
          <w:spacing w:val="-66"/>
        </w:rPr>
      </w:r>
      <w:r>
        <w:rPr/>
        <w:t>税率计量。</w:t>
      </w:r>
    </w:p>
    <w:p>
      <w:pPr>
        <w:pStyle w:val="BodyText"/>
        <w:spacing w:line="319" w:lineRule="auto" w:before="19"/>
        <w:ind w:right="1132" w:firstLine="290"/>
        <w:jc w:val="both"/>
      </w:pPr>
      <w:r>
        <w:rPr>
          <w:spacing w:val="-1"/>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7"/>
        <w:ind w:left="444" w:right="7042" w:hanging="74"/>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82" w:firstLine="29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444" w:right="0" w:hanging="74"/>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当拥有以净额结算的法定权利，且意图以净额结算或取得资产、清偿负债同时进行时，本公司当期所得税资产及当期所</w:t>
      </w:r>
    </w:p>
    <w:p>
      <w:pPr>
        <w:pStyle w:val="BodyText"/>
        <w:spacing w:line="316" w:lineRule="auto" w:before="31"/>
        <w:ind w:left="444" w:right="0" w:hanging="291"/>
        <w:jc w:val="left"/>
      </w:pPr>
      <w:r>
        <w:rPr/>
        <w:t>得税负债以抵销后的净额列报。 </w:t>
      </w:r>
      <w:r>
        <w:rPr>
          <w:spacing w:val="-1"/>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29、租赁" w:id="213"/>
      <w:bookmarkEnd w:id="213"/>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0"/>
        <w:jc w:val="left"/>
      </w:pPr>
      <w:r>
        <w:rPr/>
        <w:t>融资租赁以外的其他租赁为经营租赁。</w:t>
      </w:r>
    </w:p>
    <w:p>
      <w:pPr>
        <w:pStyle w:val="BodyText"/>
        <w:spacing w:line="309" w:lineRule="auto" w:before="76"/>
        <w:ind w:right="0" w:firstLine="217"/>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00" w:lineRule="auto" w:before="24"/>
        <w:ind w:left="444" w:right="1282" w:hanging="74"/>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融资租赁为实质上转移了与资产所有权有关的全部风险和报酬的租赁，其所有权最终可能转移，也可能不转移。</w:t>
      </w:r>
    </w:p>
    <w:p>
      <w:pPr>
        <w:pStyle w:val="BodyText"/>
        <w:spacing w:line="300" w:lineRule="auto" w:before="76"/>
        <w:ind w:left="444" w:right="0" w:hanging="74"/>
        <w:jc w:val="left"/>
      </w:pPr>
      <w:r>
        <w:rPr/>
        <w:t>（</w:t>
      </w:r>
      <w:r>
        <w:rPr>
          <w:rFonts w:ascii="Times New Roman" w:hAnsi="Times New Roman" w:cs="Times New Roman" w:eastAsia="Times New Roman" w:hint="default"/>
        </w:rPr>
        <w:t>1</w:t>
      </w:r>
      <w:r>
        <w:rPr/>
        <w:t>）本公司作为承租人记录融资租赁业务 </w:t>
      </w:r>
      <w:r>
        <w:rPr>
          <w:spacing w:val="-1"/>
        </w:rPr>
        <w:t>于租赁期开始日，将租赁开始日租赁资产的公允价值与最低租赁付款额现值两者中较低者作为租入资产的入账价值，将</w:t>
      </w:r>
    </w:p>
    <w:p>
      <w:pPr>
        <w:pStyle w:val="BodyText"/>
        <w:spacing w:line="316"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444" w:right="0"/>
        <w:jc w:val="left"/>
      </w:pPr>
      <w:r>
        <w:rPr/>
        <w:t>未确认融资费用在租赁期内采用实际利率法计算确认当期的融资费用。或有租金于实际发生时计入当期损益。</w:t>
      </w:r>
    </w:p>
    <w:p>
      <w:pPr>
        <w:pStyle w:val="BodyText"/>
        <w:spacing w:line="300" w:lineRule="auto" w:before="76"/>
        <w:ind w:left="444" w:right="0" w:hanging="74"/>
        <w:jc w:val="left"/>
      </w:pPr>
      <w:r>
        <w:rPr/>
        <w:t>（</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于租赁期开始日，将租赁开始日最低租赁收款额与初始直接费用之和作为应收融资租赁款的入账价值，同时记录未担保</w:t>
      </w:r>
    </w:p>
    <w:p>
      <w:pPr>
        <w:pStyle w:val="BodyText"/>
        <w:spacing w:line="316" w:lineRule="auto" w:before="31"/>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59"/>
        <w:ind w:left="444" w:right="0"/>
        <w:jc w:val="left"/>
      </w:pPr>
      <w:r>
        <w:rPr/>
        <w:t>未实现融资收益在租赁期内采用实际利率法计算确认当期的融资收入。或有租金于实际发生时计入当期损益。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30、其他重要的会计政策和会计估计" w:id="216"/>
      <w:bookmarkEnd w:id="216"/>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2"/>
        <w:jc w:val="both"/>
      </w:pPr>
      <w:r>
        <w:rPr/>
        <w:t>终止经营，是指满足下列条件之一的、能够单独区分的组成部分，且该组成部分已经处置或划分为持有待售类别：</w:t>
      </w:r>
      <w:r>
        <w:rPr>
          <w:rFonts w:ascii="Times New Roman" w:hAnsi="Times New Roman" w:cs="Times New Roman" w:eastAsia="Times New Roman" w:hint="default"/>
        </w:rPr>
        <w:t>1</w:t>
      </w:r>
      <w:r>
        <w:rPr/>
        <w:t>） 该组成部分代表一项独立的主要业务或一个单独的主要经营地区；</w:t>
      </w:r>
      <w:r>
        <w:rPr>
          <w:spacing w:val="-35"/>
        </w:rPr>
        <w:t> </w:t>
      </w:r>
      <w:r>
        <w:rPr>
          <w:rFonts w:ascii="Times New Roman" w:hAnsi="Times New Roman" w:cs="Times New Roman" w:eastAsia="Times New Roman" w:hint="default"/>
          <w:spacing w:val="-2"/>
        </w:rPr>
        <w:t>2</w:t>
      </w:r>
      <w:r>
        <w:rPr>
          <w:spacing w:val="-2"/>
        </w:rPr>
        <w:t>）该组成部分是拟对一项独立的主要业务或一个单独的</w:t>
      </w:r>
      <w:r>
        <w:rPr>
          <w:spacing w:val="-88"/>
        </w:rPr>
        <w:t> </w:t>
      </w:r>
      <w:r>
        <w:rPr>
          <w:spacing w:val="-88"/>
        </w:rPr>
      </w:r>
      <w:r>
        <w:rPr/>
        <w:t>主要经营地区进行处置的一项相关联计划的一部分；</w:t>
      </w:r>
      <w:r>
        <w:rPr>
          <w:spacing w:val="-18"/>
        </w:rPr>
        <w:t> </w:t>
      </w:r>
      <w:r>
        <w:rPr>
          <w:rFonts w:ascii="Times New Roman" w:hAnsi="Times New Roman" w:cs="Times New Roman" w:eastAsia="Times New Roman" w:hint="default"/>
        </w:rPr>
        <w:t>3</w:t>
      </w:r>
      <w:r>
        <w:rPr/>
        <w:t>）该组成部分是专为转售而取得的子公司。</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88" w:right="5660" w:hanging="362"/>
        <w:jc w:val="left"/>
      </w:pPr>
      <w:r>
        <w:rPr/>
        <w:t>终止经营的会计处理方法参见本附注</w:t>
      </w:r>
      <w:r>
        <w:rPr>
          <w:rFonts w:ascii="Times New Roman" w:hAnsi="Times New Roman" w:cs="Times New Roman" w:eastAsia="Times New Roman" w:hint="default"/>
        </w:rPr>
        <w:t>“</w:t>
      </w:r>
      <w:r>
        <w:rPr/>
        <w:t>持有待售资产</w:t>
      </w:r>
      <w:r>
        <w:rPr>
          <w:rFonts w:ascii="Times New Roman" w:hAnsi="Times New Roman" w:cs="Times New Roman" w:eastAsia="Times New Roman" w:hint="default"/>
        </w:rPr>
        <w:t>”</w:t>
      </w:r>
      <w:r>
        <w:rPr/>
        <w:t>相关描述。 重大会计判断和估计</w:t>
      </w:r>
    </w:p>
    <w:p>
      <w:pPr>
        <w:pStyle w:val="BodyText"/>
        <w:spacing w:line="319" w:lineRule="auto" w:before="31"/>
        <w:ind w:right="1032" w:firstLine="290"/>
        <w:jc w:val="left"/>
      </w:pPr>
      <w:r>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7"/>
        <w:ind w:right="1133" w:firstLine="480"/>
        <w:jc w:val="both"/>
      </w:pPr>
      <w:r>
        <w:rPr>
          <w:spacing w:val="-1"/>
        </w:rPr>
        <w:t>本公司对前述判断、估计和假设在持续经营的基础上进行定期复核，会计估计的变更仅影响变更当期的，其影响数在</w:t>
      </w:r>
      <w:r>
        <w:rPr/>
        <w:t> 变更当期予以确认；既影响变更当期又影响未来期间的，其影响数在变更当期和未来期间予以确认。</w:t>
      </w:r>
    </w:p>
    <w:p>
      <w:pPr>
        <w:pStyle w:val="BodyText"/>
        <w:spacing w:line="240" w:lineRule="auto" w:before="19"/>
        <w:ind w:left="634" w:right="0"/>
        <w:jc w:val="left"/>
      </w:pPr>
      <w:r>
        <w:rPr/>
        <w:t>于资产负债表日，本公司需对财务报表项目金额进行判断、估计和假设的重要领域如下：</w:t>
      </w:r>
    </w:p>
    <w:p>
      <w:pPr>
        <w:pStyle w:val="BodyText"/>
        <w:spacing w:line="300" w:lineRule="auto" w:before="76"/>
        <w:ind w:left="634" w:right="0"/>
        <w:jc w:val="left"/>
      </w:pPr>
      <w:r>
        <w:rPr/>
        <w:t>（</w:t>
      </w:r>
      <w:r>
        <w:rPr>
          <w:rFonts w:ascii="Times New Roman" w:hAnsi="Times New Roman" w:cs="Times New Roman" w:eastAsia="Times New Roman" w:hint="default"/>
        </w:rPr>
        <w:t>1</w:t>
      </w:r>
      <w:r>
        <w:rPr/>
        <w:t>）租赁的归类 </w:t>
      </w:r>
      <w:r>
        <w:rPr>
          <w:spacing w:val="-1"/>
        </w:rPr>
        <w:t>本公司根据《企业会计准则第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租赁》的规定，将租赁归类为经营租赁和融资租赁，在进行归类时，管理层需</w:t>
      </w:r>
    </w:p>
    <w:p>
      <w:pPr>
        <w:pStyle w:val="BodyText"/>
        <w:spacing w:line="316" w:lineRule="auto" w:before="13"/>
        <w:ind w:right="1131"/>
        <w:jc w:val="both"/>
      </w:pPr>
      <w:r>
        <w:rPr>
          <w:spacing w:val="-2"/>
        </w:rPr>
        <w:t>要对是否已将与租出资产所有权有关的全部风险和报酬实质上转移给承租人，或者本公司是否已经实质上承担与租入资产所</w:t>
      </w:r>
      <w:r>
        <w:rPr>
          <w:spacing w:val="-64"/>
        </w:rPr>
        <w:t> </w:t>
      </w:r>
      <w:r>
        <w:rPr>
          <w:spacing w:val="-64"/>
        </w:rPr>
      </w:r>
      <w:r>
        <w:rPr/>
        <w:t>有权有关的全部风险和报酬，作出分析和判断。</w:t>
      </w:r>
    </w:p>
    <w:p>
      <w:pPr>
        <w:pStyle w:val="BodyText"/>
        <w:spacing w:line="300" w:lineRule="auto" w:before="19"/>
        <w:ind w:left="634" w:right="0"/>
        <w:jc w:val="left"/>
      </w:pPr>
      <w:r>
        <w:rPr/>
        <w:t>（</w:t>
      </w:r>
      <w:r>
        <w:rPr>
          <w:rFonts w:ascii="Times New Roman" w:hAnsi="Times New Roman" w:cs="Times New Roman" w:eastAsia="Times New Roman" w:hint="default"/>
        </w:rPr>
        <w:t>2</w:t>
      </w:r>
      <w:r>
        <w:rPr/>
        <w:t>）坏账准备计提 </w:t>
      </w:r>
      <w:r>
        <w:rPr>
          <w:spacing w:val="-1"/>
        </w:rPr>
        <w:t>本公司根据应收款项的会计政策，采用备抵法核算坏账损失。应收款项减值是基于评估应收款项的可收回性。鉴定应</w:t>
      </w:r>
    </w:p>
    <w:p>
      <w:pPr>
        <w:pStyle w:val="BodyText"/>
        <w:spacing w:line="316" w:lineRule="auto" w:before="31"/>
        <w:ind w:right="1131"/>
        <w:jc w:val="both"/>
      </w:pPr>
      <w:r>
        <w:rPr>
          <w:spacing w:val="-2"/>
        </w:rPr>
        <w:t>收款项减值要求管理层的判断和估计。实际的结果与原先估计的差异将在估计被改变的期间影响应收款项的账面价值及应收</w:t>
      </w:r>
      <w:r>
        <w:rPr>
          <w:spacing w:val="-64"/>
        </w:rPr>
        <w:t> </w:t>
      </w:r>
      <w:r>
        <w:rPr>
          <w:spacing w:val="-64"/>
        </w:rPr>
      </w:r>
      <w:r>
        <w:rPr/>
        <w:t>款项坏账准备的计提或转回。</w:t>
      </w:r>
    </w:p>
    <w:p>
      <w:pPr>
        <w:pStyle w:val="BodyText"/>
        <w:spacing w:line="300" w:lineRule="auto" w:before="19"/>
        <w:ind w:left="634" w:right="0"/>
        <w:jc w:val="left"/>
      </w:pPr>
      <w:r>
        <w:rPr/>
        <w:t>（</w:t>
      </w:r>
      <w:r>
        <w:rPr>
          <w:rFonts w:ascii="Times New Roman" w:hAnsi="Times New Roman" w:cs="Times New Roman" w:eastAsia="Times New Roman" w:hint="default"/>
        </w:rPr>
        <w:t>3</w:t>
      </w:r>
      <w:r>
        <w:rPr/>
        <w:t>）存货跌价准备 </w:t>
      </w:r>
      <w:r>
        <w:rPr>
          <w:spacing w:val="-1"/>
        </w:rPr>
        <w:t>本公司根据存货会计政策，按照成本与可变现净值孰低计量，对成本高于可变现净值及陈旧和滞销的存货，计提存货</w:t>
      </w:r>
    </w:p>
    <w:p>
      <w:pPr>
        <w:pStyle w:val="BodyText"/>
        <w:spacing w:line="319" w:lineRule="auto" w:before="31"/>
        <w:ind w:right="1130"/>
        <w:jc w:val="both"/>
      </w:pPr>
      <w:r>
        <w:rPr>
          <w:spacing w:val="-2"/>
        </w:rPr>
        <w:t>跌价准备。存货减值至可变现净值是基于评估存货的可售性及其可变现净值。鉴定存货减值要求管理层在取得确凿证据，并</w:t>
      </w:r>
      <w:r>
        <w:rPr>
          <w:spacing w:val="-66"/>
        </w:rPr>
        <w:t> </w:t>
      </w:r>
      <w:r>
        <w:rPr>
          <w:spacing w:val="-66"/>
        </w:rPr>
      </w:r>
      <w:r>
        <w:rPr>
          <w:spacing w:val="-2"/>
        </w:rPr>
        <w:t>且考虑持有存货的目的、资产负债表日后事项的影响等因素的基础上作出判断和估计。实际的结果与原先估计的差异将在估</w:t>
      </w:r>
      <w:r>
        <w:rPr>
          <w:spacing w:val="-63"/>
        </w:rPr>
        <w:t> </w:t>
      </w:r>
      <w:r>
        <w:rPr>
          <w:spacing w:val="-63"/>
        </w:rPr>
      </w:r>
      <w:r>
        <w:rPr/>
        <w:t>计被改变的期间影响存货的账面价值及存货跌价准备的计提或转回。</w:t>
      </w:r>
    </w:p>
    <w:p>
      <w:pPr>
        <w:pStyle w:val="BodyText"/>
        <w:spacing w:line="300" w:lineRule="auto" w:before="17"/>
        <w:ind w:left="634" w:right="0"/>
        <w:jc w:val="left"/>
      </w:pPr>
      <w:r>
        <w:rPr/>
        <w:t>（</w:t>
      </w:r>
      <w:r>
        <w:rPr>
          <w:rFonts w:ascii="Times New Roman" w:hAnsi="Times New Roman" w:cs="Times New Roman" w:eastAsia="Times New Roman" w:hint="default"/>
        </w:rPr>
        <w:t>4</w:t>
      </w:r>
      <w:r>
        <w:rPr/>
        <w:t>）金融工具公允价值 </w:t>
      </w:r>
      <w:r>
        <w:rPr>
          <w:spacing w:val="-1"/>
        </w:rPr>
        <w:t>对不存在活跃交易市场的金融工具，本公司通过各种估值方法确定其公允价值。这些估值方法包括贴现现金流模型分</w:t>
      </w:r>
    </w:p>
    <w:p>
      <w:pPr>
        <w:pStyle w:val="BodyText"/>
        <w:spacing w:line="316" w:lineRule="auto" w:before="31"/>
        <w:ind w:right="1133"/>
        <w:jc w:val="both"/>
      </w:pPr>
      <w:r>
        <w:rPr>
          <w:spacing w:val="-2"/>
        </w:rPr>
        <w:t>析等。估值时本公司需对未来现金流量、信用风险、市场波动率和相关性等方面进行估计，并选择适当的折现率。这些相关</w:t>
      </w:r>
      <w:r>
        <w:rPr>
          <w:spacing w:val="-66"/>
        </w:rPr>
        <w:t> </w:t>
      </w:r>
      <w:r>
        <w:rPr>
          <w:spacing w:val="-66"/>
        </w:rPr>
      </w:r>
      <w:r>
        <w:rPr/>
        <w:t>假设具有不确定性，其变化会对金融工具的公允价值产生影响。</w:t>
      </w:r>
    </w:p>
    <w:p>
      <w:pPr>
        <w:pStyle w:val="BodyText"/>
        <w:spacing w:line="300" w:lineRule="auto" w:before="19"/>
        <w:ind w:left="634" w:right="0"/>
        <w:jc w:val="left"/>
      </w:pPr>
      <w:r>
        <w:rPr/>
        <w:t>（</w:t>
      </w:r>
      <w:r>
        <w:rPr>
          <w:rFonts w:ascii="Times New Roman" w:hAnsi="Times New Roman" w:cs="Times New Roman" w:eastAsia="Times New Roman" w:hint="default"/>
        </w:rPr>
        <w:t>5</w:t>
      </w:r>
      <w:r>
        <w:rPr/>
        <w:t>）可供出售金融资产减值 </w:t>
      </w:r>
      <w:r>
        <w:rPr>
          <w:spacing w:val="-1"/>
        </w:rPr>
        <w:t>本公司确定可供出售金融资产是否减值在很大程度上依赖于管理层的判断和假设，以确定是否需要在利润表中确认其</w:t>
      </w:r>
    </w:p>
    <w:p>
      <w:pPr>
        <w:pStyle w:val="BodyText"/>
        <w:spacing w:line="316" w:lineRule="auto" w:before="31"/>
        <w:ind w:right="1132"/>
        <w:jc w:val="both"/>
      </w:pPr>
      <w:r>
        <w:rPr>
          <w:spacing w:val="-2"/>
        </w:rPr>
        <w:t>减值损失。在进行判断和作出假设的过程中，本公司需评估该项投资的公允价值低于成本的程度和持续期间，以及被投资对</w:t>
      </w:r>
      <w:r>
        <w:rPr>
          <w:spacing w:val="-66"/>
        </w:rPr>
        <w:t> </w:t>
      </w:r>
      <w:r>
        <w:rPr>
          <w:spacing w:val="-66"/>
        </w:rPr>
      </w:r>
      <w:r>
        <w:rPr/>
        <w:t>象的财务状况和短期业务展望，包括行业状况、技术变革、信用评级、违约率和对手方的风险。</w:t>
      </w:r>
    </w:p>
    <w:p>
      <w:pPr>
        <w:pStyle w:val="BodyText"/>
        <w:spacing w:line="300" w:lineRule="auto" w:before="19"/>
        <w:ind w:left="634" w:right="0"/>
        <w:jc w:val="left"/>
      </w:pPr>
      <w:r>
        <w:rPr/>
        <w:t>（</w:t>
      </w:r>
      <w:r>
        <w:rPr>
          <w:rFonts w:ascii="Times New Roman" w:hAnsi="Times New Roman" w:cs="Times New Roman" w:eastAsia="Times New Roman" w:hint="default"/>
        </w:rPr>
        <w:t>6</w:t>
      </w:r>
      <w:r>
        <w:rPr/>
        <w:t>）长期资产减值准备 </w:t>
      </w:r>
      <w:r>
        <w:rPr>
          <w:spacing w:val="-1"/>
        </w:rPr>
        <w:t>本公司于资产负债表日对除金融资产之外的非流动资产判断是否存在可能发生减值的迹象。对使用寿命不确定的无形</w:t>
      </w:r>
    </w:p>
    <w:p>
      <w:pPr>
        <w:pStyle w:val="BodyText"/>
        <w:spacing w:line="316" w:lineRule="auto" w:before="31"/>
        <w:ind w:right="1133"/>
        <w:jc w:val="both"/>
      </w:pPr>
      <w:r>
        <w:rPr>
          <w:spacing w:val="-2"/>
        </w:rPr>
        <w:t>资产，除每年进行的减值测试外，当其存在减值迹象时，也进行减值测试。其他除金融资产之外的非流动资产，当存在迹象</w:t>
      </w:r>
      <w:r>
        <w:rPr>
          <w:spacing w:val="-66"/>
        </w:rPr>
        <w:t> </w:t>
      </w:r>
      <w:r>
        <w:rPr>
          <w:spacing w:val="-66"/>
        </w:rPr>
      </w:r>
      <w:r>
        <w:rPr/>
        <w:t>表明其账面金额不可收回时，进行减值测试。</w:t>
      </w:r>
    </w:p>
    <w:p>
      <w:pPr>
        <w:pStyle w:val="BodyText"/>
        <w:spacing w:line="316" w:lineRule="auto" w:before="19"/>
        <w:ind w:right="1131" w:firstLine="480"/>
        <w:jc w:val="both"/>
      </w:pPr>
      <w:r>
        <w:rPr>
          <w:spacing w:val="-1"/>
        </w:rPr>
        <w:t>当资产或资产组的账面价值高于可收回金额，即公允价值减去处置费用后的净额和预计未来现金流量的现值中的较高</w:t>
      </w:r>
      <w:r>
        <w:rPr/>
        <w:t> 者，表明发生了减值。</w:t>
      </w:r>
    </w:p>
    <w:p>
      <w:pPr>
        <w:pStyle w:val="BodyText"/>
        <w:spacing w:line="316" w:lineRule="auto" w:before="19"/>
        <w:ind w:right="1133" w:firstLine="480"/>
        <w:jc w:val="both"/>
      </w:pPr>
      <w:r>
        <w:rPr>
          <w:spacing w:val="-1"/>
        </w:rPr>
        <w:t>公允价值减去处置费用后的净额，参考公平交易中类似资产的销售协议价格或可观察到的市场价格，减去可直接归属</w:t>
      </w:r>
      <w:r>
        <w:rPr/>
        <w:t> 于该资产处置的增量成本确定。</w:t>
      </w:r>
    </w:p>
    <w:p>
      <w:pPr>
        <w:pStyle w:val="BodyText"/>
        <w:spacing w:line="319" w:lineRule="auto" w:before="19"/>
        <w:ind w:right="1132" w:firstLine="480"/>
        <w:jc w:val="both"/>
      </w:pPr>
      <w:r>
        <w:rPr>
          <w:spacing w:val="-1"/>
        </w:rPr>
        <w:t>在预计未来现金流量现值时，需要对该资产（或资产组）的产量、售价、相关经营成本以及计算现值时使用的折现率</w:t>
      </w:r>
      <w:r>
        <w:rPr/>
        <w:t> </w:t>
      </w:r>
      <w:r>
        <w:rPr>
          <w:spacing w:val="-2"/>
        </w:rPr>
        <w:t>等作出重大判断。本公司在估计可收回金额时会采用所有能够获得的相关资料，包括根据合理和可支持的假设所作出有关产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7"/>
        <w:ind w:right="1130" w:firstLine="480"/>
        <w:jc w:val="both"/>
      </w:pPr>
      <w:r>
        <w:rPr>
          <w:spacing w:val="-1"/>
        </w:rPr>
        <w:t>本公司至少每年测试商誉是否发生减值。这要求对分配了商誉的资产组或者资产组组合的未来现金流量的现值进行预</w:t>
      </w:r>
      <w:r>
        <w:rPr/>
        <w:t> </w:t>
      </w:r>
      <w:r>
        <w:rPr>
          <w:spacing w:val="-2"/>
        </w:rPr>
        <w:t>计。对未来现金流量的现值进行预计时，本公司需要预计未来资产组或者资产组组合产生的现金流量，同时选择恰当的折现</w:t>
      </w:r>
    </w:p>
    <w:p>
      <w:pPr>
        <w:spacing w:after="0" w:line="316"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率确定未来现金流量的现值。</w:t>
      </w:r>
    </w:p>
    <w:p>
      <w:pPr>
        <w:pStyle w:val="BodyText"/>
        <w:spacing w:line="300" w:lineRule="auto" w:before="76"/>
        <w:ind w:left="634" w:right="0"/>
        <w:jc w:val="left"/>
      </w:pPr>
      <w:r>
        <w:rPr/>
        <w:t>（</w:t>
      </w:r>
      <w:r>
        <w:rPr>
          <w:rFonts w:ascii="Times New Roman" w:hAnsi="Times New Roman" w:cs="Times New Roman" w:eastAsia="Times New Roman" w:hint="default"/>
        </w:rPr>
        <w:t>7</w:t>
      </w:r>
      <w:r>
        <w:rPr/>
        <w:t>）折旧和摊销 </w:t>
      </w:r>
      <w:r>
        <w:rPr>
          <w:spacing w:val="-1"/>
        </w:rPr>
        <w:t>本公司对投资性房地产、固定资产和无形资产在考虑其残值后，在使用寿命内按直线法计提折旧和摊销。本公司定期</w:t>
      </w:r>
    </w:p>
    <w:p>
      <w:pPr>
        <w:pStyle w:val="BodyText"/>
        <w:spacing w:line="319" w:lineRule="auto" w:before="31"/>
        <w:ind w:right="0"/>
        <w:jc w:val="left"/>
      </w:pPr>
      <w:r>
        <w:rPr>
          <w:spacing w:val="-2"/>
        </w:rPr>
        <w:t>复核使用寿命，以决定将计入每个报告期的折旧和摊销费用数额。使用寿命是本公司根据对同类资产的以往经验并结合预期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7"/>
        <w:ind w:left="634" w:right="0"/>
        <w:jc w:val="left"/>
      </w:pPr>
      <w:r>
        <w:rPr/>
        <w:t>（</w:t>
      </w:r>
      <w:r>
        <w:rPr>
          <w:rFonts w:ascii="Times New Roman" w:hAnsi="Times New Roman" w:cs="Times New Roman" w:eastAsia="Times New Roman" w:hint="default"/>
        </w:rPr>
        <w:t>8</w:t>
      </w:r>
      <w:r>
        <w:rPr/>
        <w:t>）开发支出 </w:t>
      </w:r>
      <w:r>
        <w:rPr>
          <w:spacing w:val="-3"/>
        </w:rPr>
        <w:t>确定资本化的金额时，本公司管理层需要作出有关资产的预计未来现金流量、适用的折现率以及预计受益期间的假设。</w:t>
      </w:r>
    </w:p>
    <w:p>
      <w:pPr>
        <w:pStyle w:val="BodyText"/>
        <w:spacing w:line="300" w:lineRule="auto" w:before="31"/>
        <w:ind w:left="634" w:right="0"/>
        <w:jc w:val="left"/>
      </w:pPr>
      <w:r>
        <w:rPr/>
        <w:t>（</w:t>
      </w:r>
      <w:r>
        <w:rPr>
          <w:rFonts w:ascii="Times New Roman" w:hAnsi="Times New Roman" w:cs="Times New Roman" w:eastAsia="Times New Roman" w:hint="default"/>
        </w:rPr>
        <w:t>9</w:t>
      </w:r>
      <w:r>
        <w:rPr/>
        <w:t>）递延所得税资产 </w:t>
      </w:r>
      <w:r>
        <w:rPr>
          <w:spacing w:val="-1"/>
        </w:rPr>
        <w:t>在很有可能有足够的应纳税利润来抵扣亏损的限度内，本公司就所有未利用的税务亏损确认递延所得税资产。这需要</w:t>
      </w:r>
    </w:p>
    <w:p>
      <w:pPr>
        <w:pStyle w:val="BodyText"/>
        <w:spacing w:line="316" w:lineRule="auto" w:before="31"/>
        <w:ind w:right="1118"/>
        <w:jc w:val="left"/>
      </w:pPr>
      <w:r>
        <w:rPr>
          <w:spacing w:val="-2"/>
        </w:rPr>
        <w:t>本公司管理层运用大量的判断来估计未来应纳税利润发生的时间和金额，结合纳税筹划策略，以决定应确认的递延所得税资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00" w:lineRule="auto" w:before="19"/>
        <w:ind w:left="634" w:right="1118"/>
        <w:jc w:val="left"/>
      </w:pPr>
      <w:r>
        <w:rPr/>
        <w:t>（</w:t>
      </w:r>
      <w:r>
        <w:rPr>
          <w:rFonts w:ascii="Times New Roman" w:hAnsi="Times New Roman" w:cs="Times New Roman" w:eastAsia="Times New Roman" w:hint="default"/>
        </w:rPr>
        <w:t>10</w:t>
      </w:r>
      <w:r>
        <w:rPr/>
        <w:t>）所得税 </w:t>
      </w:r>
      <w:r>
        <w:rPr>
          <w:spacing w:val="-1"/>
        </w:rPr>
        <w:t>本公司在正常的经营活动中，有部分交易其最终的税务处理和计算存在一定的不确定性。部分项目是否能够在税前列</w:t>
      </w:r>
    </w:p>
    <w:p>
      <w:pPr>
        <w:pStyle w:val="BodyText"/>
        <w:spacing w:line="316" w:lineRule="auto" w:before="31"/>
        <w:ind w:right="0"/>
        <w:jc w:val="left"/>
      </w:pPr>
      <w:r>
        <w:rPr>
          <w:spacing w:val="-2"/>
        </w:rPr>
        <w:t>支需要税收主管机关的审批。如果这些税务事项的最终认定结果同最初估计的金额存在差异，则该差异将对其最终认定期间</w:t>
      </w:r>
      <w:r>
        <w:rPr>
          <w:spacing w:val="-64"/>
        </w:rPr>
        <w:t> </w:t>
      </w:r>
      <w:r>
        <w:rPr>
          <w:spacing w:val="-64"/>
        </w:rPr>
      </w:r>
      <w:r>
        <w:rPr/>
        <w:t>的当期所得税和递延所得税产生影响。</w:t>
      </w:r>
    </w:p>
    <w:p>
      <w:pPr>
        <w:pStyle w:val="BodyText"/>
        <w:spacing w:line="300" w:lineRule="auto" w:before="19"/>
        <w:ind w:left="634" w:right="0"/>
        <w:jc w:val="left"/>
      </w:pPr>
      <w:r>
        <w:rPr/>
        <w:t>（</w:t>
      </w:r>
      <w:r>
        <w:rPr>
          <w:rFonts w:ascii="Times New Roman" w:hAnsi="Times New Roman" w:cs="Times New Roman" w:eastAsia="Times New Roman" w:hint="default"/>
        </w:rPr>
        <w:t>11</w:t>
      </w:r>
      <w:r>
        <w:rPr/>
        <w:t>）公允价值计量 </w:t>
      </w:r>
      <w:r>
        <w:rPr>
          <w:spacing w:val="-1"/>
        </w:rPr>
        <w:t>本公司的某些资产和负债在财务报表中按公允价值计量。本公司的董事会已成立估价委员会（该估价委员会由本公司</w:t>
      </w:r>
    </w:p>
    <w:p>
      <w:pPr>
        <w:pStyle w:val="BodyText"/>
        <w:spacing w:line="316" w:lineRule="auto" w:before="31"/>
        <w:ind w:right="1130"/>
        <w:jc w:val="both"/>
      </w:pPr>
      <w:r>
        <w:rPr>
          <w:spacing w:val="-2"/>
        </w:rPr>
        <w:t>的首席财务官领导），以便为公允价值计量确定适当的估值技术和输入值。在对某项资产或负债的公允价值作出估计时，本</w:t>
      </w:r>
      <w:r>
        <w:rPr>
          <w:spacing w:val="-66"/>
        </w:rPr>
        <w:t> </w:t>
      </w:r>
      <w:r>
        <w:rPr>
          <w:spacing w:val="-66"/>
        </w:rPr>
      </w:r>
      <w:r>
        <w:rPr>
          <w:spacing w:val="-2"/>
        </w:rPr>
        <w:t>公司采用可获得的可观察市场数据。如果无法获得第一层次输入值，本公司会聘用第三方有资质的评估师来执行估价。估价</w:t>
      </w:r>
      <w:r>
        <w:rPr>
          <w:spacing w:val="-66"/>
        </w:rPr>
        <w:t> </w:t>
      </w:r>
      <w:r>
        <w:rPr>
          <w:spacing w:val="-66"/>
        </w:rPr>
      </w:r>
      <w:r>
        <w:rPr>
          <w:spacing w:val="-2"/>
        </w:rPr>
        <w:t>委员会与有资质的外部估价师紧密合作，以确定适当的估值技术和相关模型的输入值。首席财务官每季度向本公司董事会呈</w:t>
      </w:r>
      <w:r>
        <w:rPr>
          <w:spacing w:val="-63"/>
        </w:rPr>
        <w:t> </w:t>
      </w:r>
      <w:r>
        <w:rPr>
          <w:spacing w:val="-63"/>
        </w:rPr>
      </w:r>
      <w:r>
        <w:rPr/>
        <w:t>报估价委员会的发现，以说明导致相关资产和负债的公允价值发生波动的原因。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bookmarkStart w:name="31、重要会计政策和会计估计变更" w:id="217"/>
      <w:bookmarkEnd w:id="217"/>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38"/>
        <w:jc w:val="right"/>
      </w:pPr>
      <w:r>
        <w:rPr/>
        <w:pict>
          <v:shape style="position:absolute;margin-left:56.459999pt;margin-top:-163.578293pt;width:479.25pt;height:243.55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6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日，财政部发布了《关</w:t>
                        </w:r>
                        <w:r>
                          <w:rPr>
                            <w:rFonts w:ascii="宋体" w:hAnsi="宋体" w:cs="宋体" w:eastAsia="宋体" w:hint="default"/>
                            <w:sz w:val="18"/>
                            <w:szCs w:val="18"/>
                          </w:rPr>
                          <w:t> </w:t>
                        </w:r>
                        <w:r>
                          <w:rPr>
                            <w:rFonts w:ascii="宋体" w:hAnsi="宋体" w:cs="宋体" w:eastAsia="宋体" w:hint="default"/>
                            <w:spacing w:val="-6"/>
                            <w:sz w:val="18"/>
                            <w:szCs w:val="18"/>
                          </w:rPr>
                          <w:t>于印发的通知》（财会</w:t>
                        </w:r>
                        <w:r>
                          <w:rPr>
                            <w:rFonts w:ascii="Times New Roman" w:hAnsi="Times New Roman" w:cs="Times New Roman" w:eastAsia="Times New Roman" w:hint="default"/>
                            <w:spacing w:val="-6"/>
                            <w:sz w:val="18"/>
                            <w:szCs w:val="18"/>
                          </w:rPr>
                          <w:t>[2017]13</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号）（以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第 </w:t>
                        </w:r>
                        <w:r>
                          <w:rPr>
                            <w:rFonts w:ascii="Times New Roman" w:hAnsi="Times New Roman" w:cs="Times New Roman" w:eastAsia="Times New Roman" w:hint="default"/>
                            <w:sz w:val="18"/>
                            <w:szCs w:val="18"/>
                          </w:rPr>
                          <w:t>42  </w:t>
                        </w:r>
                        <w:r>
                          <w:rPr>
                            <w:rFonts w:ascii="宋体" w:hAnsi="宋体" w:cs="宋体" w:eastAsia="宋体" w:hint="default"/>
                            <w:spacing w:val="-6"/>
                            <w:sz w:val="18"/>
                            <w:szCs w:val="18"/>
                          </w:rPr>
                          <w:t>号准则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5</w:t>
                        </w:r>
                      </w:p>
                      <w:p>
                        <w:pPr>
                          <w:pStyle w:val="TableParagraph"/>
                          <w:spacing w:line="304"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日起施行。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日，财政部发布了《关于印发修订的通 </w:t>
                        </w:r>
                        <w:r>
                          <w:rPr>
                            <w:rFonts w:ascii="宋体" w:hAnsi="宋体" w:cs="宋体" w:eastAsia="宋体" w:hint="default"/>
                            <w:spacing w:val="-12"/>
                            <w:sz w:val="18"/>
                            <w:szCs w:val="18"/>
                          </w:rPr>
                          <w:t>知》（财会</w:t>
                        </w:r>
                        <w:r>
                          <w:rPr>
                            <w:rFonts w:ascii="Times New Roman" w:hAnsi="Times New Roman" w:cs="Times New Roman" w:eastAsia="Times New Roman" w:hint="default"/>
                            <w:spacing w:val="-12"/>
                            <w:sz w:val="18"/>
                            <w:szCs w:val="18"/>
                          </w:rPr>
                          <w:t>[2017]15</w:t>
                        </w:r>
                        <w:r>
                          <w:rPr>
                            <w:rFonts w:ascii="Times New Roman" w:hAnsi="Times New Roman" w:cs="Times New Roman" w:eastAsia="Times New Roman" w:hint="default"/>
                            <w:sz w:val="18"/>
                            <w:szCs w:val="18"/>
                          </w:rPr>
                          <w:t> </w:t>
                        </w:r>
                        <w:r>
                          <w:rPr>
                            <w:rFonts w:ascii="宋体" w:hAnsi="宋体" w:cs="宋体" w:eastAsia="宋体" w:hint="default"/>
                            <w:spacing w:val="-18"/>
                            <w:w w:val="100"/>
                            <w:sz w:val="18"/>
                            <w:szCs w:val="18"/>
                          </w:rPr>
                          <w:t>号）（以下简称</w:t>
                        </w:r>
                        <w:r>
                          <w:rPr>
                            <w:rFonts w:ascii="Times New Roman" w:hAnsi="Times New Roman" w:cs="Times New Roman" w:eastAsia="Times New Roman" w:hint="default"/>
                            <w:spacing w:val="-18"/>
                            <w:w w:val="100"/>
                            <w:sz w:val="18"/>
                            <w:szCs w:val="18"/>
                          </w:rPr>
                          <w:t>“</w:t>
                        </w:r>
                        <w:r>
                          <w:rPr>
                            <w:rFonts w:ascii="宋体" w:hAnsi="宋体" w:cs="宋体" w:eastAsia="宋体" w:hint="default"/>
                            <w:spacing w:val="-18"/>
                            <w:w w:val="100"/>
                            <w:sz w:val="18"/>
                            <w:szCs w:val="18"/>
                          </w:rPr>
                          <w:t>第</w:t>
                        </w:r>
                        <w:r>
                          <w:rPr>
                            <w:rFonts w:ascii="宋体" w:hAnsi="宋体" w:cs="宋体" w:eastAsia="宋体" w:hint="default"/>
                            <w:spacing w:val="9"/>
                            <w:w w:val="100"/>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修订后 的第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号准则自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日起施行。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300" w:lineRule="auto" w:before="9"/>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日，财政部发布了《关于修订 印发一般企业财务报表格 式的通知》</w:t>
                        </w:r>
                      </w:p>
                      <w:p>
                        <w:pPr>
                          <w:pStyle w:val="TableParagraph"/>
                          <w:spacing w:line="307" w:lineRule="auto" w:before="31"/>
                          <w:ind w:left="22" w:right="6"/>
                          <w:jc w:val="left"/>
                          <w:rPr>
                            <w:rFonts w:ascii="宋体" w:hAnsi="宋体" w:cs="宋体" w:eastAsia="宋体" w:hint="default"/>
                            <w:sz w:val="18"/>
                            <w:szCs w:val="18"/>
                          </w:rPr>
                        </w:pP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[2017]30</w:t>
                        </w:r>
                        <w:r>
                          <w:rPr>
                            <w:rFonts w:ascii="Times New Roman" w:hAnsi="Times New Roman" w:cs="Times New Roman" w:eastAsia="Times New Roman" w:hint="default"/>
                            <w:sz w:val="18"/>
                            <w:szCs w:val="18"/>
                          </w:rPr>
                          <w:t> </w:t>
                        </w:r>
                        <w:r>
                          <w:rPr>
                            <w:rFonts w:ascii="宋体" w:hAnsi="宋体" w:cs="宋体" w:eastAsia="宋体" w:hint="default"/>
                            <w:spacing w:val="-9"/>
                            <w:w w:val="100"/>
                            <w:sz w:val="18"/>
                            <w:szCs w:val="18"/>
                          </w:rPr>
                          <w:t>号）（以下简称</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财务报</w:t>
                        </w:r>
                        <w:r>
                          <w:rPr>
                            <w:rFonts w:ascii="宋体" w:hAnsi="宋体" w:cs="宋体" w:eastAsia="宋体" w:hint="default"/>
                            <w:spacing w:val="-73"/>
                            <w:w w:val="100"/>
                            <w:sz w:val="18"/>
                            <w:szCs w:val="18"/>
                          </w:rPr>
                          <w:t> </w:t>
                        </w:r>
                        <w:r>
                          <w:rPr>
                            <w:rFonts w:ascii="宋体" w:hAnsi="宋体" w:cs="宋体" w:eastAsia="宋体" w:hint="default"/>
                            <w:spacing w:val="-9"/>
                            <w:w w:val="100"/>
                            <w:sz w:val="18"/>
                            <w:szCs w:val="18"/>
                          </w:rPr>
                          <w:t>表格式通知</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），要求执</w:t>
                        </w:r>
                        <w:r>
                          <w:rPr>
                            <w:rFonts w:ascii="宋体" w:hAnsi="宋体" w:cs="宋体" w:eastAsia="宋体" w:hint="default"/>
                            <w:spacing w:val="3"/>
                            <w:w w:val="100"/>
                            <w:sz w:val="18"/>
                            <w:szCs w:val="18"/>
                          </w:rPr>
                          <w:t> </w:t>
                        </w:r>
                        <w:r>
                          <w:rPr>
                            <w:rFonts w:ascii="宋体" w:hAnsi="宋体" w:cs="宋体" w:eastAsia="宋体" w:hint="default"/>
                            <w:sz w:val="18"/>
                            <w:szCs w:val="18"/>
                          </w:rPr>
                          <w:t>行企业会计准则</w:t>
                        </w:r>
                        <w:r>
                          <w:rPr>
                            <w:rFonts w:ascii="宋体" w:hAnsi="宋体" w:cs="宋体" w:eastAsia="宋体" w:hint="default"/>
                            <w:sz w:val="18"/>
                            <w:szCs w:val="18"/>
                          </w:rPr>
                          <w:t> 的企业应按照企业准则和该通知的要求 编制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年及以后期 间的财务报表。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00" w:lineRule="auto"/>
                          <w:ind w:left="22" w:right="50"/>
                          <w:jc w:val="left"/>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日第七届董事会第 四次会议审议通过。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3"/>
                          <w:ind w:left="22" w:right="20" w:firstLine="90"/>
                          <w:jc w:val="left"/>
                          <w:rPr>
                            <w:rFonts w:ascii="宋体" w:hAnsi="宋体" w:cs="宋体" w:eastAsia="宋体" w:hint="default"/>
                            <w:sz w:val="18"/>
                            <w:szCs w:val="18"/>
                          </w:rPr>
                        </w:pPr>
                        <w:r>
                          <w:rPr>
                            <w:rFonts w:ascii="宋体" w:hAnsi="宋体" w:cs="宋体" w:eastAsia="宋体" w:hint="default"/>
                            <w:sz w:val="18"/>
                            <w:szCs w:val="18"/>
                          </w:rPr>
                          <w:t>修订后的第 </w:t>
                        </w:r>
                        <w:r>
                          <w:rPr>
                            <w:rFonts w:ascii="Times New Roman" w:hAnsi="Times New Roman" w:cs="Times New Roman" w:eastAsia="Times New Roman" w:hint="default"/>
                            <w:sz w:val="18"/>
                            <w:szCs w:val="18"/>
                          </w:rPr>
                          <w:t>16 </w:t>
                        </w:r>
                        <w:r>
                          <w:rPr>
                            <w:rFonts w:ascii="宋体" w:hAnsi="宋体" w:cs="宋体" w:eastAsia="宋体" w:hint="default"/>
                            <w:sz w:val="18"/>
                            <w:szCs w:val="18"/>
                          </w:rPr>
                          <w:t>号准则变更仅涉及损 益科目间的调整，不影响当期损益，也 不涉及以前年度的追溯调整。</w:t>
                        </w:r>
                        <w:r>
                          <w:rPr>
                            <w:rFonts w:ascii="宋体" w:hAnsi="宋体" w:cs="宋体" w:eastAsia="宋体" w:hint="default"/>
                            <w:spacing w:val="-17"/>
                            <w:sz w:val="18"/>
                            <w:szCs w:val="18"/>
                          </w:rPr>
                          <w:t> </w:t>
                        </w:r>
                        <w:r>
                          <w:rPr>
                            <w:rFonts w:ascii="宋体" w:hAnsi="宋体" w:cs="宋体" w:eastAsia="宋体" w:hint="default"/>
                            <w:sz w:val="18"/>
                            <w:szCs w:val="18"/>
                          </w:rPr>
                          <w:t>除上述事</w:t>
                        </w:r>
                        <w:r>
                          <w:rPr>
                            <w:rFonts w:ascii="宋体" w:hAnsi="宋体" w:cs="宋体" w:eastAsia="宋体" w:hint="default"/>
                            <w:sz w:val="18"/>
                            <w:szCs w:val="18"/>
                          </w:rPr>
                          <w:t> 项外，其他由于新准则的实施而进行的 会计政策变更不会对公司财务报表项目 及金额产生影响，也无需进行追溯调整</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14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15 </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日，财政部发布了《关</w:t>
            </w:r>
          </w:p>
          <w:p>
            <w:pPr>
              <w:pStyle w:val="TableParagraph"/>
              <w:spacing w:line="300" w:lineRule="auto" w:before="63"/>
              <w:ind w:left="22" w:right="96"/>
              <w:jc w:val="both"/>
              <w:rPr>
                <w:rFonts w:ascii="宋体" w:hAnsi="宋体" w:cs="宋体" w:eastAsia="宋体" w:hint="default"/>
                <w:sz w:val="18"/>
                <w:szCs w:val="18"/>
              </w:rPr>
            </w:pPr>
            <w:r>
              <w:rPr>
                <w:rFonts w:ascii="宋体" w:hAnsi="宋体" w:cs="宋体" w:eastAsia="宋体" w:hint="default"/>
                <w:sz w:val="18"/>
                <w:szCs w:val="18"/>
              </w:rPr>
              <w:t>于修订印发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年度一般企业财务报 </w:t>
            </w:r>
            <w:r>
              <w:rPr>
                <w:rFonts w:ascii="宋体" w:hAnsi="宋体" w:cs="宋体" w:eastAsia="宋体" w:hint="default"/>
                <w:spacing w:val="-1"/>
                <w:sz w:val="18"/>
                <w:szCs w:val="18"/>
              </w:rPr>
              <w:t>表格式的通知》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财会</w:t>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pacing w:val="16"/>
                <w:sz w:val="18"/>
                <w:szCs w:val="18"/>
              </w:rPr>
              <w:t> </w:t>
            </w:r>
            <w:r>
              <w:rPr>
                <w:rFonts w:ascii="宋体" w:hAnsi="宋体" w:cs="宋体" w:eastAsia="宋体" w:hint="default"/>
                <w:spacing w:val="-23"/>
                <w:sz w:val="18"/>
                <w:szCs w:val="18"/>
              </w:rPr>
              <w:t>号），对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一般企业财务报表格式进行了修订。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19"/>
              <w:ind w:left="22" w:right="140"/>
              <w:jc w:val="left"/>
              <w:rPr>
                <w:rFonts w:ascii="宋体" w:hAnsi="宋体" w:cs="宋体" w:eastAsia="宋体" w:hint="default"/>
                <w:sz w:val="18"/>
                <w:szCs w:val="18"/>
              </w:rPr>
            </w:pPr>
            <w:r>
              <w:rPr>
                <w:rFonts w:ascii="宋体" w:hAnsi="宋体" w:cs="宋体" w:eastAsia="宋体" w:hint="default"/>
                <w:sz w:val="18"/>
                <w:szCs w:val="18"/>
              </w:rPr>
              <w:t>经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日第八届董事会 第二次临时会议审议通过。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 入新增的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原</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 </w:t>
            </w:r>
            <w:r>
              <w:rPr>
                <w:rFonts w:ascii="宋体" w:hAnsi="宋体" w:cs="宋体" w:eastAsia="宋体" w:hint="default"/>
                <w:spacing w:val="-1"/>
                <w:w w:val="100"/>
                <w:sz w:val="18"/>
                <w:szCs w:val="18"/>
              </w:rPr>
              <w:t>款</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项目合并计入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其他</w:t>
            </w:r>
            <w:r>
              <w:rPr>
                <w:rFonts w:ascii="宋体" w:hAnsi="宋体" w:cs="宋体" w:eastAsia="宋体" w:hint="default"/>
                <w:spacing w:val="11"/>
                <w:w w:val="100"/>
                <w:sz w:val="18"/>
                <w:szCs w:val="18"/>
              </w:rPr>
              <w:t> </w:t>
            </w:r>
            <w:r>
              <w:rPr>
                <w:rFonts w:ascii="宋体" w:hAnsi="宋体" w:cs="宋体" w:eastAsia="宋体" w:hint="default"/>
                <w:spacing w:val="-10"/>
                <w:w w:val="100"/>
                <w:sz w:val="18"/>
                <w:szCs w:val="18"/>
              </w:rPr>
              <w:t>应收款</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项目；原</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项目合并计入 新增的</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原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项目合并计入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项目；新增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研发费用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项目，原计入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管理费用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w:t>
            </w:r>
            <w:r>
              <w:rPr>
                <w:rFonts w:ascii="宋体" w:hAnsi="宋体" w:cs="宋体" w:eastAsia="宋体" w:hint="default"/>
                <w:spacing w:val="-79"/>
                <w:sz w:val="18"/>
                <w:szCs w:val="18"/>
              </w:rPr>
              <w:t> </w:t>
            </w:r>
            <w:r>
              <w:rPr>
                <w:rFonts w:ascii="宋体" w:hAnsi="宋体" w:cs="宋体" w:eastAsia="宋体" w:hint="default"/>
                <w:sz w:val="18"/>
                <w:szCs w:val="18"/>
              </w:rPr>
              <w:t>的研发费用单独列示 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r>
              <w:rPr>
                <w:rFonts w:ascii="宋体" w:hAnsi="宋体" w:cs="宋体" w:eastAsia="宋体" w:hint="default"/>
                <w:spacing w:val="-17"/>
                <w:sz w:val="18"/>
                <w:szCs w:val="18"/>
              </w:rPr>
              <w:t> </w:t>
            </w:r>
            <w:r>
              <w:rPr>
                <w:rFonts w:ascii="宋体" w:hAnsi="宋体" w:cs="宋体" w:eastAsia="宋体" w:hint="default"/>
                <w:sz w:val="18"/>
                <w:szCs w:val="18"/>
              </w:rPr>
              <w:t>除上述项目变动影响外，本次会计</w:t>
            </w:r>
            <w:r>
              <w:rPr>
                <w:rFonts w:ascii="宋体" w:hAnsi="宋体" w:cs="宋体" w:eastAsia="宋体" w:hint="default"/>
                <w:sz w:val="18"/>
                <w:szCs w:val="18"/>
              </w:rPr>
              <w:t> 政策变更仅对财务报表项目列示产生影 响，对当期损益及净资产无影响。</w:t>
            </w:r>
          </w:p>
        </w:tc>
      </w:tr>
    </w:tbl>
    <w:p>
      <w:pPr>
        <w:spacing w:line="240" w:lineRule="auto" w:before="13"/>
        <w:rPr>
          <w:rFonts w:ascii="宋体" w:hAnsi="宋体" w:cs="宋体" w:eastAsia="宋体" w:hint="default"/>
          <w:sz w:val="29"/>
          <w:szCs w:val="29"/>
        </w:rPr>
      </w:pPr>
    </w:p>
    <w:tbl>
      <w:tblPr>
        <w:tblW w:w="0" w:type="auto"/>
        <w:jc w:val="left"/>
        <w:tblInd w:w="146" w:type="dxa"/>
        <w:tblLayout w:type="fixed"/>
        <w:tblCellMar>
          <w:top w:w="0" w:type="dxa"/>
          <w:left w:w="0" w:type="dxa"/>
          <w:bottom w:w="0" w:type="dxa"/>
          <w:right w:w="0" w:type="dxa"/>
        </w:tblCellMar>
        <w:tblLook w:val="01E0"/>
      </w:tblPr>
      <w:tblGrid>
        <w:gridCol w:w="2265"/>
        <w:gridCol w:w="2264"/>
        <w:gridCol w:w="2262"/>
        <w:gridCol w:w="2264"/>
      </w:tblGrid>
      <w:tr>
        <w:trPr>
          <w:trHeight w:val="347" w:hRule="exact"/>
        </w:trPr>
        <w:tc>
          <w:tcPr>
            <w:tcW w:w="45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66"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5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64"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61"/>
              <w:ind w:left="1212" w:right="0"/>
              <w:jc w:val="left"/>
              <w:rPr>
                <w:rFonts w:ascii="Times New Roman" w:hAnsi="Times New Roman" w:cs="Times New Roman" w:eastAsia="Times New Roman" w:hint="default"/>
                <w:sz w:val="18"/>
                <w:szCs w:val="18"/>
              </w:rPr>
            </w:pPr>
            <w:r>
              <w:rPr>
                <w:rFonts w:ascii="Times New Roman"/>
                <w:sz w:val="18"/>
              </w:rPr>
              <w:t>36,585,564.22</w:t>
            </w: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36,585,564.22</w:t>
            </w:r>
          </w:p>
        </w:tc>
        <w:tc>
          <w:tcPr>
            <w:tcW w:w="2262" w:type="dxa"/>
            <w:vMerge/>
            <w:tcBorders>
              <w:left w:val="single" w:sz="6" w:space="0" w:color="000000"/>
              <w:bottom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r>
      <w:tr>
        <w:trPr>
          <w:trHeight w:val="348"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2" w:type="dxa"/>
            <w:vMerge w:val="restart"/>
            <w:tcBorders>
              <w:top w:val="single" w:sz="6" w:space="0" w:color="000000"/>
              <w:left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61"/>
              <w:ind w:left="1212" w:right="0"/>
              <w:jc w:val="left"/>
              <w:rPr>
                <w:rFonts w:ascii="Times New Roman" w:hAnsi="Times New Roman" w:cs="Times New Roman" w:eastAsia="Times New Roman" w:hint="default"/>
                <w:sz w:val="18"/>
                <w:szCs w:val="18"/>
              </w:rPr>
            </w:pPr>
            <w:r>
              <w:rPr>
                <w:rFonts w:ascii="Times New Roman"/>
                <w:sz w:val="18"/>
              </w:rPr>
              <w:t>41,001,886.41</w:t>
            </w: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2"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41,001,886.41</w:t>
            </w:r>
          </w:p>
        </w:tc>
        <w:tc>
          <w:tcPr>
            <w:tcW w:w="2262" w:type="dxa"/>
            <w:vMerge/>
            <w:tcBorders>
              <w:left w:val="single" w:sz="6" w:space="0" w:color="000000"/>
              <w:bottom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61"/>
              <w:ind w:left="1212" w:right="0"/>
              <w:jc w:val="left"/>
              <w:rPr>
                <w:rFonts w:ascii="Times New Roman" w:hAnsi="Times New Roman" w:cs="Times New Roman" w:eastAsia="Times New Roman" w:hint="default"/>
                <w:sz w:val="18"/>
                <w:szCs w:val="18"/>
              </w:rPr>
            </w:pPr>
            <w:r>
              <w:rPr>
                <w:rFonts w:ascii="Times New Roman"/>
                <w:sz w:val="18"/>
              </w:rPr>
              <w:t>58,156,717.86</w:t>
            </w: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58,156,717.86</w:t>
            </w:r>
          </w:p>
        </w:tc>
        <w:tc>
          <w:tcPr>
            <w:tcW w:w="2262" w:type="dxa"/>
            <w:vMerge/>
            <w:tcBorders>
              <w:left w:val="single" w:sz="6" w:space="0" w:color="000000"/>
              <w:bottom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5" w:right="0"/>
              <w:jc w:val="left"/>
              <w:rPr>
                <w:rFonts w:ascii="Times New Roman" w:hAnsi="Times New Roman" w:cs="Times New Roman" w:eastAsia="Times New Roman" w:hint="default"/>
                <w:sz w:val="18"/>
                <w:szCs w:val="18"/>
              </w:rPr>
            </w:pPr>
            <w:r>
              <w:rPr>
                <w:rFonts w:ascii="Times New Roman"/>
                <w:sz w:val="18"/>
              </w:rPr>
              <w:t>378,900.26</w:t>
            </w:r>
          </w:p>
        </w:tc>
        <w:tc>
          <w:tcPr>
            <w:tcW w:w="2262" w:type="dxa"/>
            <w:vMerge w:val="restart"/>
            <w:tcBorders>
              <w:top w:val="single" w:sz="6" w:space="0" w:color="000000"/>
              <w:left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61"/>
              <w:ind w:left="1122" w:right="0"/>
              <w:jc w:val="left"/>
              <w:rPr>
                <w:rFonts w:ascii="Times New Roman" w:hAnsi="Times New Roman" w:cs="Times New Roman" w:eastAsia="Times New Roman" w:hint="default"/>
                <w:sz w:val="18"/>
                <w:szCs w:val="18"/>
              </w:rPr>
            </w:pPr>
            <w:r>
              <w:rPr>
                <w:rFonts w:ascii="Times New Roman"/>
                <w:sz w:val="18"/>
              </w:rPr>
              <w:t>248,999,135.44</w:t>
            </w:r>
          </w:p>
        </w:tc>
      </w:tr>
      <w:tr>
        <w:trPr>
          <w:trHeight w:val="348"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4" w:type="dxa"/>
            <w:tcBorders>
              <w:top w:val="single" w:sz="6" w:space="0" w:color="000000"/>
              <w:left w:val="single" w:sz="6" w:space="0" w:color="000000"/>
              <w:bottom w:val="single" w:sz="6" w:space="0" w:color="000000"/>
              <w:right w:val="single" w:sz="6" w:space="0" w:color="000000"/>
            </w:tcBorders>
          </w:tcPr>
          <w:p>
            <w:pPr/>
          </w:p>
        </w:tc>
        <w:tc>
          <w:tcPr>
            <w:tcW w:w="2262" w:type="dxa"/>
            <w:vMerge/>
            <w:tcBorders>
              <w:left w:val="single" w:sz="6" w:space="0" w:color="000000"/>
              <w:right w:val="single" w:sz="6" w:space="0" w:color="000000"/>
            </w:tcBorders>
          </w:tcPr>
          <w:p>
            <w:pPr/>
          </w:p>
        </w:tc>
        <w:tc>
          <w:tcPr>
            <w:tcW w:w="2264" w:type="dxa"/>
            <w:vMerge/>
            <w:tcBorders>
              <w:left w:val="single" w:sz="6" w:space="0" w:color="000000"/>
              <w:right w:val="single" w:sz="6" w:space="0" w:color="000000"/>
            </w:tcBorders>
          </w:tcPr>
          <w:p>
            <w:pPr/>
          </w:p>
        </w:tc>
      </w:tr>
      <w:tr>
        <w:trPr>
          <w:trHeight w:val="347" w:hRule="exact"/>
        </w:trPr>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97" w:right="0"/>
              <w:jc w:val="left"/>
              <w:rPr>
                <w:rFonts w:ascii="Times New Roman" w:hAnsi="Times New Roman" w:cs="Times New Roman" w:eastAsia="Times New Roman" w:hint="default"/>
                <w:sz w:val="18"/>
                <w:szCs w:val="18"/>
              </w:rPr>
            </w:pPr>
            <w:r>
              <w:rPr>
                <w:rFonts w:ascii="Times New Roman"/>
                <w:sz w:val="18"/>
              </w:rPr>
              <w:t>248,620,235.18</w:t>
            </w:r>
          </w:p>
        </w:tc>
        <w:tc>
          <w:tcPr>
            <w:tcW w:w="2262" w:type="dxa"/>
            <w:vMerge/>
            <w:tcBorders>
              <w:left w:val="single" w:sz="6" w:space="0" w:color="000000"/>
              <w:bottom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r>
      <w:tr>
        <w:trPr>
          <w:trHeight w:val="347" w:hRule="exact"/>
        </w:trPr>
        <w:tc>
          <w:tcPr>
            <w:tcW w:w="2265" w:type="dxa"/>
            <w:vMerge w:val="restart"/>
            <w:tcBorders>
              <w:top w:val="single" w:sz="6" w:space="0" w:color="000000"/>
              <w:left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4" w:type="dxa"/>
            <w:vMerge w:val="restart"/>
            <w:tcBorders>
              <w:top w:val="single" w:sz="6" w:space="0" w:color="000000"/>
              <w:left w:val="single" w:sz="6" w:space="0" w:color="000000"/>
              <w:right w:val="single" w:sz="6" w:space="0" w:color="000000"/>
            </w:tcBorders>
          </w:tcPr>
          <w:p>
            <w:pPr>
              <w:pStyle w:val="TableParagraph"/>
              <w:spacing w:line="240" w:lineRule="auto" w:before="61"/>
              <w:ind w:left="760" w:right="0"/>
              <w:jc w:val="left"/>
              <w:rPr>
                <w:rFonts w:ascii="Times New Roman" w:hAnsi="Times New Roman" w:cs="Times New Roman" w:eastAsia="Times New Roman" w:hint="default"/>
                <w:sz w:val="18"/>
                <w:szCs w:val="18"/>
              </w:rPr>
            </w:pPr>
            <w:r>
              <w:rPr>
                <w:rFonts w:ascii="Times New Roman"/>
                <w:sz w:val="18"/>
              </w:rPr>
              <w:t>172,525,688.60</w:t>
            </w: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156,878,925.39</w:t>
            </w:r>
          </w:p>
        </w:tc>
      </w:tr>
      <w:tr>
        <w:trPr>
          <w:trHeight w:val="348" w:hRule="exact"/>
        </w:trPr>
        <w:tc>
          <w:tcPr>
            <w:tcW w:w="2265" w:type="dxa"/>
            <w:vMerge/>
            <w:tcBorders>
              <w:left w:val="single" w:sz="6" w:space="0" w:color="000000"/>
              <w:bottom w:val="single" w:sz="6" w:space="0" w:color="000000"/>
              <w:right w:val="single" w:sz="6" w:space="0" w:color="000000"/>
            </w:tcBorders>
          </w:tcPr>
          <w:p>
            <w:pPr/>
          </w:p>
        </w:tc>
        <w:tc>
          <w:tcPr>
            <w:tcW w:w="2264" w:type="dxa"/>
            <w:vMerge/>
            <w:tcBorders>
              <w:left w:val="single" w:sz="6" w:space="0" w:color="000000"/>
              <w:bottom w:val="single" w:sz="6" w:space="0" w:color="000000"/>
              <w:right w:val="single" w:sz="6" w:space="0" w:color="000000"/>
            </w:tcBorders>
          </w:tcPr>
          <w:p>
            <w:pPr/>
          </w:p>
        </w:tc>
        <w:tc>
          <w:tcPr>
            <w:tcW w:w="2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15,646,763.21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5"/>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2、其他" w:id="220"/>
      <w:bookmarkEnd w:id="220"/>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42"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300" w:lineRule="auto" w:before="52"/>
              <w:ind w:left="10" w:right="23"/>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 计算销项税，并按扣除当期允许抵扣的</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13"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40"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进项税额后的差额计缴增值税。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免计缴</w:t>
            </w:r>
            <w:r>
              <w:rPr>
                <w:rFonts w:ascii="Times New Roman" w:hAnsi="Times New Roman" w:cs="Times New Roman" w:eastAsia="Times New Roman" w:hint="default"/>
                <w:sz w:val="18"/>
                <w:szCs w:val="18"/>
              </w:rPr>
              <w:t>/</w:t>
            </w:r>
            <w:r>
              <w:rPr>
                <w:rFonts w:ascii="宋体" w:hAnsi="宋体" w:cs="宋体" w:eastAsia="宋体" w:hint="default"/>
                <w:sz w:val="18"/>
                <w:szCs w:val="18"/>
              </w:rPr>
              <w:t>详 见下表。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5"/>
              <w:jc w:val="righ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8"/>
              <w:jc w:val="right"/>
              <w:rPr>
                <w:rFonts w:ascii="宋体" w:hAnsi="宋体" w:cs="宋体" w:eastAsia="宋体" w:hint="default"/>
                <w:sz w:val="18"/>
                <w:szCs w:val="18"/>
              </w:rPr>
            </w:pPr>
            <w:r>
              <w:rPr>
                <w:rFonts w:ascii="宋体" w:hAnsi="宋体" w:cs="宋体" w:eastAsia="宋体" w:hint="default"/>
                <w:sz w:val="18"/>
                <w:szCs w:val="18"/>
              </w:rPr>
              <w:t>神州易桥（北京）财税科技有限公司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8"/>
              <w:jc w:val="right"/>
              <w:rPr>
                <w:rFonts w:ascii="宋体" w:hAnsi="宋体" w:cs="宋体" w:eastAsia="宋体" w:hint="default"/>
                <w:sz w:val="18"/>
                <w:szCs w:val="18"/>
              </w:rPr>
            </w:pPr>
            <w:r>
              <w:rPr>
                <w:rFonts w:ascii="宋体" w:hAnsi="宋体" w:cs="宋体" w:eastAsia="宋体" w:hint="default"/>
                <w:sz w:val="18"/>
                <w:szCs w:val="18"/>
              </w:rPr>
              <w:t>霍尔果斯快马财税管理服务有限公司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计缴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1" w:firstLine="480"/>
        <w:jc w:val="both"/>
      </w:pPr>
      <w:r>
        <w:rPr>
          <w:rFonts w:ascii="Times New Roman" w:hAnsi="Times New Roman" w:cs="Times New Roman" w:eastAsia="Times New Roman" w:hint="default"/>
          <w:spacing w:val="-1"/>
        </w:rPr>
        <w:t>1</w:t>
      </w:r>
      <w:r>
        <w:rPr>
          <w:spacing w:val="-1"/>
        </w:rPr>
        <w:t>）本公司之子公司神州易桥（北京）财税科技有限公司根据国税函【</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203</w:t>
      </w:r>
      <w:r>
        <w:rPr>
          <w:spacing w:val="-1"/>
        </w:rPr>
        <w:t>号通知：认定（复审）合格的高新技</w:t>
      </w:r>
      <w:r>
        <w:rPr/>
        <w:t> </w:t>
      </w:r>
      <w:r>
        <w:rPr>
          <w:spacing w:val="-2"/>
        </w:rPr>
        <w:t>术企业，自认定（复审）批准的有效期当年开始，可申请享受企业所得税优惠。企业取得省、自治区、直辖市、计划单列市</w:t>
      </w:r>
      <w:r>
        <w:rPr>
          <w:spacing w:val="-67"/>
        </w:rPr>
        <w:t> </w:t>
      </w:r>
      <w:r>
        <w:rPr>
          <w:spacing w:val="-67"/>
        </w:rPr>
      </w:r>
      <w:r>
        <w:rPr>
          <w:spacing w:val="-2"/>
        </w:rPr>
        <w:t>高新技术企业认定管理机构颁发的高新技术企业证书后，可持</w:t>
      </w:r>
      <w:r>
        <w:rPr>
          <w:rFonts w:ascii="Times New Roman" w:hAnsi="Times New Roman" w:cs="Times New Roman" w:eastAsia="Times New Roman" w:hint="default"/>
          <w:spacing w:val="-2"/>
        </w:rPr>
        <w:t>“</w:t>
      </w:r>
      <w:r>
        <w:rPr>
          <w:spacing w:val="-2"/>
        </w:rPr>
        <w:t>高新技术企业证书</w:t>
      </w:r>
      <w:r>
        <w:rPr>
          <w:rFonts w:ascii="Times New Roman" w:hAnsi="Times New Roman" w:cs="Times New Roman" w:eastAsia="Times New Roman" w:hint="default"/>
          <w:spacing w:val="-2"/>
        </w:rPr>
        <w:t>”</w:t>
      </w:r>
      <w:r>
        <w:rPr>
          <w:spacing w:val="-2"/>
        </w:rPr>
        <w:t>及其复印件和有关资料，向主管税务机关</w:t>
      </w:r>
      <w:r>
        <w:rPr>
          <w:spacing w:val="-44"/>
        </w:rPr>
        <w:t> </w:t>
      </w:r>
      <w:r>
        <w:rPr>
          <w:spacing w:val="-44"/>
        </w:rPr>
      </w:r>
      <w:r>
        <w:rPr/>
        <w:t>申请办理减免税手续。手续办理完毕后，高新技术企业可按</w:t>
      </w:r>
      <w:r>
        <w:rPr>
          <w:rFonts w:ascii="Times New Roman" w:hAnsi="Times New Roman" w:cs="Times New Roman" w:eastAsia="Times New Roman" w:hint="default"/>
        </w:rPr>
        <w:t>15%</w:t>
      </w:r>
      <w:r>
        <w:rPr/>
        <w:t>的税率进行所得税预缴申报或享受过渡性税收优惠。</w:t>
      </w:r>
    </w:p>
    <w:p>
      <w:pPr>
        <w:pStyle w:val="BodyText"/>
        <w:spacing w:line="300" w:lineRule="auto" w:before="7"/>
        <w:ind w:right="1132" w:firstLine="480"/>
        <w:jc w:val="both"/>
      </w:pPr>
      <w:r>
        <w:rPr>
          <w:spacing w:val="-1"/>
        </w:rPr>
        <w:t>（</w:t>
      </w:r>
      <w:r>
        <w:rPr>
          <w:rFonts w:ascii="Times New Roman" w:hAnsi="Times New Roman" w:cs="Times New Roman" w:eastAsia="Times New Roman" w:hint="default"/>
          <w:spacing w:val="-1"/>
        </w:rPr>
        <w:t>2</w:t>
      </w:r>
      <w:r>
        <w:rPr>
          <w:spacing w:val="-1"/>
        </w:rPr>
        <w:t>）根据霍尔果斯经济技术开发区国家税务局《税务事项通知书》霍经国税通（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7241</w:t>
      </w:r>
      <w:r>
        <w:rPr>
          <w:spacing w:val="-1"/>
        </w:rPr>
        <w:t>号，</w:t>
      </w:r>
      <w:r>
        <w:rPr>
          <w:rFonts w:ascii="Times New Roman" w:hAnsi="Times New Roman" w:cs="Times New Roman" w:eastAsia="Times New Roman" w:hint="default"/>
          <w:spacing w:val="-1"/>
        </w:rPr>
        <w:t>“</w:t>
      </w:r>
      <w:r>
        <w:rPr>
          <w:spacing w:val="-1"/>
        </w:rPr>
        <w:t>自取得第一笔生产</w:t>
      </w:r>
      <w:r>
        <w:rPr/>
        <w:t> 经营收入所属纳税年度起，五年内免征企业所得税</w:t>
      </w:r>
      <w:r>
        <w:rPr>
          <w:rFonts w:ascii="Times New Roman" w:hAnsi="Times New Roman" w:cs="Times New Roman" w:eastAsia="Times New Roman" w:hint="default"/>
        </w:rPr>
        <w:t>”</w:t>
      </w:r>
      <w:r>
        <w:rPr/>
        <w:t>本公司之子公司霍尔果斯快马财税管理服务有限公司本年度享受企业所</w:t>
      </w:r>
      <w:r>
        <w:rPr>
          <w:spacing w:val="-76"/>
        </w:rPr>
        <w:t> </w:t>
      </w:r>
      <w:r>
        <w:rPr>
          <w:spacing w:val="-76"/>
        </w:rPr>
      </w:r>
      <w:r>
        <w:rPr/>
        <w:t>得税免征优惠。</w:t>
      </w:r>
    </w:p>
    <w:p>
      <w:pPr>
        <w:pStyle w:val="BodyText"/>
        <w:spacing w:line="300" w:lineRule="auto" w:before="31"/>
        <w:ind w:right="1131" w:firstLine="480"/>
        <w:jc w:val="both"/>
      </w:pPr>
      <w:r>
        <w:rPr>
          <w:spacing w:val="-1"/>
        </w:rPr>
        <w:t>根据国家税务总局</w:t>
      </w:r>
      <w:r>
        <w:rPr>
          <w:rFonts w:ascii="Times New Roman" w:hAnsi="Times New Roman" w:cs="Times New Roman" w:eastAsia="Times New Roman" w:hint="default"/>
          <w:spacing w:val="-1"/>
        </w:rPr>
        <w:t>2012</w:t>
      </w:r>
      <w:r>
        <w:rPr>
          <w:spacing w:val="-1"/>
        </w:rPr>
        <w:t>年第</w:t>
      </w:r>
      <w:r>
        <w:rPr>
          <w:rFonts w:ascii="Times New Roman" w:hAnsi="Times New Roman" w:cs="Times New Roman" w:eastAsia="Times New Roman" w:hint="default"/>
          <w:spacing w:val="-1"/>
        </w:rPr>
        <w:t>57</w:t>
      </w:r>
      <w:r>
        <w:rPr>
          <w:spacing w:val="-1"/>
        </w:rPr>
        <w:t>号《跨地区经营汇总纳税企业所得税征收管理办法》的公告相关规定本公司之子公司霍</w:t>
      </w:r>
      <w:r>
        <w:rPr/>
        <w:t> 尔果斯快马财税管理服务有限公司下属各分公司自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日企业所得税减半征收。</w:t>
      </w:r>
    </w:p>
    <w:p>
      <w:pPr>
        <w:pStyle w:val="BodyText"/>
        <w:spacing w:line="307" w:lineRule="auto" w:before="13"/>
        <w:ind w:right="1127" w:firstLine="480"/>
        <w:jc w:val="both"/>
      </w:pPr>
      <w:r>
        <w:rPr>
          <w:spacing w:val="-4"/>
        </w:rPr>
        <w:t>根据《关于深入实施西部大开发战略有关税收政策问題的通知》（财税</w:t>
      </w:r>
      <w:r>
        <w:rPr>
          <w:rFonts w:ascii="Times New Roman" w:hAnsi="Times New Roman" w:cs="Times New Roman" w:eastAsia="Times New Roman" w:hint="default"/>
          <w:spacing w:val="-4"/>
        </w:rPr>
        <w:t>[2011]58</w:t>
      </w:r>
      <w:r>
        <w:rPr>
          <w:spacing w:val="-4"/>
        </w:rPr>
        <w:t>号）第二条规定</w:t>
      </w:r>
      <w:r>
        <w:rPr>
          <w:rFonts w:ascii="Times New Roman" w:hAnsi="Times New Roman" w:cs="Times New Roman" w:eastAsia="Times New Roman" w:hint="default"/>
          <w:spacing w:val="-4"/>
        </w:rPr>
        <w:t>“</w:t>
      </w:r>
      <w:r>
        <w:rPr>
          <w:spacing w:val="-4"/>
        </w:rPr>
        <w:t>自</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日至</w:t>
      </w:r>
      <w:r>
        <w:rPr>
          <w:rFonts w:ascii="Times New Roman" w:hAnsi="Times New Roman" w:cs="Times New Roman" w:eastAsia="Times New Roman" w:hint="default"/>
          <w:spacing w:val="-4"/>
        </w:rPr>
        <w:t>2020</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日，对设在西部地区的鼓励类产业企业减按</w:t>
      </w:r>
      <w:r>
        <w:rPr>
          <w:rFonts w:ascii="Times New Roman" w:hAnsi="Times New Roman" w:cs="Times New Roman" w:eastAsia="Times New Roman" w:hint="default"/>
        </w:rPr>
        <w:t>15%</w:t>
      </w:r>
      <w:r>
        <w:rPr/>
        <w:t>的税率征收企业所得税；根据国家税务总局第</w:t>
      </w:r>
      <w:r>
        <w:rPr>
          <w:rFonts w:ascii="Times New Roman" w:hAnsi="Times New Roman" w:cs="Times New Roman" w:eastAsia="Times New Roman" w:hint="default"/>
        </w:rPr>
        <w:t>2012112</w:t>
      </w:r>
      <w:r>
        <w:rPr/>
        <w:t>号《国家税</w:t>
      </w:r>
      <w:r>
        <w:rPr>
          <w:spacing w:val="-53"/>
        </w:rPr>
        <w:t> </w:t>
      </w:r>
      <w:r>
        <w:rPr/>
        <w:t>务总局关于深入实施西部大开发战略有关税收政策问题的公告》中第五条定</w:t>
      </w:r>
      <w:r>
        <w:rPr>
          <w:rFonts w:ascii="Times New Roman" w:hAnsi="Times New Roman" w:cs="Times New Roman" w:eastAsia="Times New Roman" w:hint="default"/>
        </w:rPr>
        <w:t>“</w:t>
      </w:r>
      <w:r>
        <w:rPr/>
        <w:t>企业既符合西部大开发</w:t>
      </w:r>
      <w:r>
        <w:rPr>
          <w:rFonts w:ascii="Times New Roman" w:hAnsi="Times New Roman" w:cs="Times New Roman" w:eastAsia="Times New Roman" w:hint="default"/>
        </w:rPr>
        <w:t>15%</w:t>
      </w:r>
      <w:r>
        <w:rPr/>
        <w:t>优惠税率条件</w:t>
      </w:r>
      <w:r>
        <w:rPr>
          <w:rFonts w:ascii="Times New Roman" w:hAnsi="Times New Roman" w:cs="Times New Roman" w:eastAsia="Times New Roman" w:hint="default"/>
        </w:rPr>
        <w:t>,</w:t>
      </w:r>
      <w:r>
        <w:rPr/>
        <w:t>又符</w:t>
      </w:r>
      <w:r>
        <w:rPr>
          <w:spacing w:val="-88"/>
        </w:rPr>
        <w:t> </w:t>
      </w:r>
      <w:r>
        <w:rPr/>
        <w:t>合《企业所得税法》及其实施条例和国务院规定的各项税收优惠条件的</w:t>
      </w:r>
      <w:r>
        <w:rPr>
          <w:rFonts w:ascii="Times New Roman" w:hAnsi="Times New Roman" w:cs="Times New Roman" w:eastAsia="Times New Roman" w:hint="default"/>
        </w:rPr>
        <w:t>,</w:t>
      </w:r>
      <w:r>
        <w:rPr/>
        <w:t>可以同时享受。该通知所称西部地区包括重庆市、</w:t>
      </w:r>
      <w:r>
        <w:rPr>
          <w:spacing w:val="-43"/>
        </w:rPr>
        <w:t> </w:t>
      </w:r>
      <w:r>
        <w:rPr>
          <w:spacing w:val="-43"/>
        </w:rPr>
      </w:r>
      <w:r>
        <w:rPr>
          <w:spacing w:val="-2"/>
        </w:rPr>
        <w:t>四川省、贵州省、云南省、西藏自治区、陕西省、甘肃省、宁夏回族自治区、青海省、新疆维吾尔自治区、新疆生产建设兵</w:t>
      </w:r>
      <w:r>
        <w:rPr>
          <w:spacing w:val="-69"/>
        </w:rPr>
        <w:t> </w:t>
      </w:r>
      <w:r>
        <w:rPr>
          <w:spacing w:val="-69"/>
        </w:rPr>
      </w:r>
      <w:r>
        <w:rPr>
          <w:spacing w:val="-2"/>
        </w:rPr>
        <w:t>团、内蒙古自治区和广西壮族自治区。湖南省湘西土家族苗族自治州、湖北省恩施土家族苗族自治州、吉林省延边朝鲜族自</w:t>
      </w:r>
      <w:r>
        <w:rPr>
          <w:spacing w:val="-66"/>
        </w:rPr>
        <w:t> </w:t>
      </w:r>
      <w:r>
        <w:rPr>
          <w:spacing w:val="-66"/>
        </w:rPr>
      </w:r>
      <w:r>
        <w:rPr>
          <w:spacing w:val="-2"/>
        </w:rPr>
        <w:t>治州，可以比照西部地区的税收政策执行。本公司之子公司霍尔果斯快马财税管理服务有限公司之子公司易鸿达（成都）财</w:t>
      </w:r>
      <w:r>
        <w:rPr>
          <w:spacing w:val="-66"/>
        </w:rPr>
        <w:t> </w:t>
      </w:r>
      <w:r>
        <w:rPr>
          <w:spacing w:val="-66"/>
        </w:rPr>
      </w:r>
      <w:r>
        <w:rPr/>
        <w:t>税服务有限公司、易德升（成都）财税服务有限公司享受上述所得税优惠。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480"/>
        <w:jc w:val="both"/>
      </w:pPr>
      <w:r>
        <w:rPr/>
        <w:t>本公司发生增值税应税销售行为，原适用</w:t>
      </w:r>
      <w:r>
        <w:rPr>
          <w:rFonts w:ascii="Times New Roman" w:hAnsi="Times New Roman" w:cs="Times New Roman" w:eastAsia="Times New Roman" w:hint="default"/>
        </w:rPr>
        <w:t>17%</w:t>
      </w:r>
      <w:r>
        <w:rPr/>
        <w:t>税率。根据《财政部、国家税务总局关于调整增值税税率的通知》（财 税</w:t>
      </w:r>
      <w:r>
        <w:rPr>
          <w:rFonts w:ascii="Times New Roman" w:hAnsi="Times New Roman" w:cs="Times New Roman" w:eastAsia="Times New Roman" w:hint="default"/>
        </w:rPr>
        <w:t>[2018]32</w:t>
      </w:r>
      <w:r>
        <w:rPr/>
        <w:t>号）规定，自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日起，适用税率调整为</w:t>
      </w:r>
      <w:r>
        <w:rPr>
          <w:rFonts w:ascii="Times New Roman" w:hAnsi="Times New Roman" w:cs="Times New Roman" w:eastAsia="Times New Roman" w:hint="default"/>
        </w:rPr>
        <w:t>16%</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1,445,750.31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808,455.23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347,286,718.69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959,620,982.63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348,732,469.00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bl>
    <w:p>
      <w:pPr>
        <w:pStyle w:val="BodyText"/>
        <w:spacing w:line="240" w:lineRule="auto" w:before="51"/>
        <w:ind w:right="0"/>
        <w:jc w:val="left"/>
      </w:pPr>
      <w:r>
        <w:rPr/>
        <w:t>其他说明</w:t>
      </w:r>
    </w:p>
    <w:p>
      <w:pPr>
        <w:pStyle w:val="BodyText"/>
        <w:spacing w:line="300" w:lineRule="auto" w:before="116"/>
        <w:ind w:right="1132" w:firstLine="480"/>
        <w:jc w:val="both"/>
      </w:pPr>
      <w:r>
        <w:rPr/>
        <w:t>注</w:t>
      </w:r>
      <w:r>
        <w:rPr>
          <w:rFonts w:ascii="Times New Roman" w:hAnsi="Times New Roman" w:cs="Times New Roman" w:eastAsia="Times New Roman" w:hint="default"/>
        </w:rPr>
        <w:t>1</w:t>
      </w:r>
      <w:r>
        <w:rPr/>
        <w:t>：本公司之孙公司霍尔果斯易桥快马企业管理咨询有限公司被霍尔果斯市人民法院出具（</w:t>
      </w:r>
      <w:r>
        <w:rPr>
          <w:rFonts w:ascii="Times New Roman" w:hAnsi="Times New Roman" w:cs="Times New Roman" w:eastAsia="Times New Roman" w:hint="default"/>
        </w:rPr>
        <w:t>2018</w:t>
      </w:r>
      <w:r>
        <w:rPr/>
        <w:t>）新</w:t>
      </w:r>
      <w:r>
        <w:rPr>
          <w:rFonts w:ascii="Times New Roman" w:hAnsi="Times New Roman" w:cs="Times New Roman" w:eastAsia="Times New Roman" w:hint="default"/>
        </w:rPr>
        <w:t>4004</w:t>
      </w:r>
      <w:r>
        <w:rPr/>
        <w:t>财保</w:t>
      </w:r>
      <w:r>
        <w:rPr>
          <w:rFonts w:ascii="Times New Roman" w:hAnsi="Times New Roman" w:cs="Times New Roman" w:eastAsia="Times New Roman" w:hint="default"/>
        </w:rPr>
        <w:t>21</w:t>
      </w:r>
      <w:r>
        <w:rPr/>
        <w:t>、 </w:t>
      </w:r>
      <w:r>
        <w:rPr>
          <w:rFonts w:ascii="Times New Roman" w:hAnsi="Times New Roman" w:cs="Times New Roman" w:eastAsia="Times New Roman" w:hint="default"/>
        </w:rPr>
        <w:t>22</w:t>
      </w:r>
      <w:r>
        <w:rPr/>
        <w:t>、</w:t>
      </w:r>
      <w:r>
        <w:rPr>
          <w:rFonts w:ascii="Times New Roman" w:hAnsi="Times New Roman" w:cs="Times New Roman" w:eastAsia="Times New Roman" w:hint="default"/>
        </w:rPr>
        <w:t>23</w:t>
      </w:r>
      <w:r>
        <w:rPr/>
        <w:t>号《民事裁定书》冻结该子公司</w:t>
      </w:r>
      <w:r>
        <w:rPr>
          <w:rFonts w:ascii="Times New Roman" w:hAnsi="Times New Roman" w:cs="Times New Roman" w:eastAsia="Times New Roman" w:hint="default"/>
        </w:rPr>
        <w:t>750</w:t>
      </w:r>
      <w:r>
        <w:rPr/>
        <w:t>万元资产，实际冻结该子公司在中国建设银行霍尔果斯亚欧北路支行开立的账户</w:t>
      </w:r>
      <w:r>
        <w:rPr>
          <w:spacing w:val="-83"/>
        </w:rPr>
        <w:t> </w:t>
      </w:r>
      <w:r>
        <w:rPr>
          <w:spacing w:val="-83"/>
        </w:rPr>
      </w:r>
      <w:r>
        <w:rPr/>
        <w:t>人民存款</w:t>
      </w:r>
      <w:r>
        <w:rPr>
          <w:rFonts w:ascii="Times New Roman" w:hAnsi="Times New Roman" w:cs="Times New Roman" w:eastAsia="Times New Roman" w:hint="default"/>
        </w:rPr>
        <w:t>2,015,609.08</w:t>
      </w:r>
      <w:r>
        <w:rPr/>
        <w:t>元。</w:t>
      </w:r>
    </w:p>
    <w:p>
      <w:pPr>
        <w:pStyle w:val="BodyText"/>
        <w:spacing w:line="300" w:lineRule="auto" w:before="13"/>
        <w:ind w:right="1131" w:firstLine="480"/>
        <w:jc w:val="both"/>
      </w:pPr>
      <w:r>
        <w:rPr/>
        <w:t>注</w:t>
      </w:r>
      <w:r>
        <w:rPr>
          <w:rFonts w:ascii="Times New Roman" w:hAnsi="Times New Roman" w:cs="Times New Roman" w:eastAsia="Times New Roman" w:hint="default"/>
        </w:rPr>
        <w:t>2</w:t>
      </w:r>
      <w:r>
        <w:rPr/>
        <w:t>：本公司之子公司霍尔果斯快马财税管理服务有限公司涉及与终端合作人霍尔果斯琴晓股权投资管理合伙企业、 </w:t>
      </w:r>
      <w:r>
        <w:rPr>
          <w:spacing w:val="-1"/>
        </w:rPr>
        <w:t>王志铭、陈煌琴及李艺苹的法律诉讼事项，本公司货币资金中</w:t>
      </w:r>
      <w:r>
        <w:rPr>
          <w:rFonts w:ascii="Times New Roman" w:hAnsi="Times New Roman" w:cs="Times New Roman" w:eastAsia="Times New Roman" w:hint="default"/>
          <w:spacing w:val="-1"/>
        </w:rPr>
        <w:t>11,534,162.49</w:t>
      </w:r>
      <w:r>
        <w:rPr>
          <w:spacing w:val="-1"/>
        </w:rPr>
        <w:t>元银行存款被霍尔果斯中级法院冻结，作为财产</w:t>
      </w:r>
      <w:r>
        <w:rPr>
          <w:spacing w:val="-72"/>
        </w:rPr>
        <w:t> </w:t>
      </w:r>
      <w:r>
        <w:rPr>
          <w:spacing w:val="-72"/>
        </w:rPr>
      </w:r>
      <w:r>
        <w:rPr/>
        <w:t>保全依据。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29"/>
      <w:bookmarkEnd w:id="229"/>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102,484,792.97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36,585,564.22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102,484,792.97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36,585,564.22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107,562,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098.35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5,077,30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102,484,7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37,166,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279.16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580,714.9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36,585,564.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107,762,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098.35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5,277,30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4.90%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102,484,7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92.97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37,166,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279.16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580,714.9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36,585,564.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91,356,347.21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15,164,083.12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4,549,224.93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1,041,668.02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520,834.01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107,562,098.35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5,077,305.38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3"/>
        <w:jc w:val="left"/>
      </w:pPr>
      <w:r>
        <w:rPr/>
        <w:t>本期计提坏账准备金额</w:t>
      </w:r>
      <w:r>
        <w:rPr>
          <w:spacing w:val="-47"/>
        </w:rPr>
        <w:t> </w:t>
      </w:r>
      <w:r>
        <w:rPr>
          <w:rFonts w:ascii="Times New Roman" w:hAnsi="Times New Roman" w:cs="Times New Roman" w:eastAsia="Times New Roman" w:hint="default"/>
        </w:rPr>
        <w:t>5,004,088.43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343" w:lineRule="auto" w:before="117"/>
        <w:ind w:left="444" w:right="1154" w:hanging="291"/>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本公司本年按欠款方归集的年末余额前五名应收账款汇总金额为</w:t>
      </w:r>
      <w:r>
        <w:rPr>
          <w:rFonts w:ascii="Times New Roman" w:hAnsi="Times New Roman" w:cs="Times New Roman" w:eastAsia="Times New Roman" w:hint="default"/>
          <w:sz w:val="21"/>
          <w:szCs w:val="21"/>
        </w:rPr>
        <w:t>26,956,398.90</w:t>
      </w:r>
      <w:r>
        <w:rPr/>
        <w:t>元，占应收账款年末余额合计数的比例</w:t>
      </w:r>
    </w:p>
    <w:p>
      <w:pPr>
        <w:spacing w:line="212"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25.01%</w:t>
      </w:r>
      <w:r>
        <w:rPr>
          <w:rFonts w:ascii="宋体" w:hAnsi="宋体" w:cs="宋体" w:eastAsia="宋体" w:hint="default"/>
          <w:sz w:val="18"/>
          <w:szCs w:val="18"/>
        </w:rPr>
        <w:t>，相应计提的坏账准备年末余额汇总金额为</w:t>
      </w:r>
      <w:r>
        <w:rPr>
          <w:rFonts w:ascii="Times New Roman" w:hAnsi="Times New Roman" w:cs="Times New Roman" w:eastAsia="Times New Roman" w:hint="default"/>
          <w:sz w:val="21"/>
          <w:szCs w:val="21"/>
        </w:rPr>
        <w:t>2,826,162.67</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4"/>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预付款项" w:id="232"/>
      <w:bookmarkEnd w:id="232"/>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30,389,024.99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26,560,449.01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8,395,791.76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42,037.47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42,037.47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38,826,854.22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26,602,486.48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本公司按预付对象归集的年末余额前五名预付账款汇总金额为</w:t>
      </w:r>
      <w:r>
        <w:rPr>
          <w:rFonts w:ascii="Times New Roman" w:hAnsi="Times New Roman" w:cs="Times New Roman" w:eastAsia="Times New Roman" w:hint="default"/>
          <w:sz w:val="21"/>
          <w:szCs w:val="21"/>
        </w:rPr>
        <w:t>19,017,084.00</w:t>
      </w:r>
      <w:r>
        <w:rPr>
          <w:rFonts w:ascii="宋体" w:hAnsi="宋体" w:cs="宋体" w:eastAsia="宋体" w:hint="default"/>
          <w:sz w:val="18"/>
          <w:szCs w:val="18"/>
        </w:rPr>
        <w:t>元，占预付账款年末余额合计数的比例为</w:t>
      </w:r>
    </w:p>
    <w:p>
      <w:pPr>
        <w:pStyle w:val="BodyText"/>
        <w:spacing w:line="240" w:lineRule="auto" w:before="49"/>
        <w:ind w:right="0"/>
        <w:jc w:val="left"/>
      </w:pPr>
      <w:r>
        <w:rPr>
          <w:rFonts w:ascii="Times New Roman" w:hAnsi="Times New Roman" w:cs="Times New Roman" w:eastAsia="Times New Roman" w:hint="default"/>
        </w:rPr>
        <w:t>48.98%</w:t>
      </w:r>
      <w:r>
        <w:rPr/>
        <w:t>。</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应收款" w:id="235"/>
      <w:bookmarkEnd w:id="23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21,295,208.04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106,826,487.45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41,001,886.41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128,121,695.49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41,001,886.41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20,045,208.04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21,295,208.04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11,199,2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11,199,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11,199,29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114,606,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819.92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7,780,33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106,826,4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87.45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50,416,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430.32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9,414,543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41,001,886.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544,575.0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126,350,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689.03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19,524,2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01.58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106,826,4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87.45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62,160,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299.43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21,158,41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34.04%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41,001,886.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0" w:firstLine="90"/>
              <w:jc w:val="left"/>
              <w:rPr>
                <w:rFonts w:ascii="宋体" w:hAnsi="宋体" w:cs="宋体" w:eastAsia="宋体" w:hint="default"/>
                <w:sz w:val="18"/>
                <w:szCs w:val="18"/>
              </w:rPr>
            </w:pPr>
            <w:r>
              <w:rPr>
                <w:rFonts w:ascii="宋体" w:hAnsi="宋体" w:cs="宋体" w:eastAsia="宋体" w:hint="default"/>
                <w:sz w:val="18"/>
                <w:szCs w:val="18"/>
              </w:rPr>
              <w:t>可收回性存在明显风 险</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11,199,294.07</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11,199,294.07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5"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94,859,442.24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660,611.72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3,710,333.48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459,099.52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12.37%</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2,274,029.41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1,137,014.72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13,763,014.79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5,523,606.51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40.13%</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114,606,819.92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7,780,332.47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6.79%</w:t>
            </w: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79" w:top="1100" w:bottom="1160" w:left="980" w:right="0"/>
        </w:sectPr>
      </w:pPr>
    </w:p>
    <w:p>
      <w:pPr>
        <w:pStyle w:val="BodyText"/>
        <w:spacing w:line="240" w:lineRule="auto" w:before="44"/>
        <w:ind w:right="-14"/>
        <w:jc w:val="left"/>
      </w:pPr>
      <w:r>
        <w:rPr/>
        <w:t>组合中，采用余额百分比法计提坏账准备的其他应收款：</w:t>
      </w:r>
    </w:p>
    <w:p>
      <w:pPr>
        <w:pStyle w:val="BodyText"/>
        <w:spacing w:line="340" w:lineRule="auto" w:before="116"/>
        <w:ind w:right="2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spacing w:val="-47"/>
        </w:rPr>
        <w:t> </w:t>
      </w:r>
      <w:r>
        <w:rPr>
          <w:rFonts w:ascii="Times New Roman" w:hAnsi="Times New Roman" w:cs="Times New Roman" w:eastAsia="Times New Roman" w:hint="default"/>
        </w:rPr>
        <w:t>1,289,882.35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2,919,573.71</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left="153" w:right="0"/>
        <w:jc w:val="left"/>
      </w:pPr>
      <w:r>
        <w:rPr/>
        <w:t>单位： 元</w:t>
      </w:r>
    </w:p>
    <w:p>
      <w:pPr>
        <w:spacing w:after="0" w:line="240" w:lineRule="auto"/>
        <w:jc w:val="left"/>
        <w:sectPr>
          <w:type w:val="continuous"/>
          <w:pgSz w:w="11910" w:h="16840"/>
          <w:pgMar w:top="1060" w:bottom="1160" w:left="980" w:right="0"/>
          <w:cols w:num="2" w:equalWidth="0">
            <w:col w:w="7084" w:space="174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9,731,912.38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顶账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9,731,912.38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89,748,494.15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26,612,602.86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3,999,598.70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3,822,335.81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811,883.60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1,869,502.22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7,765,232.19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7,527,451.60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15,897,079.83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14,106.49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126,350,689.03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62,160,299.43</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48,818,174.40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14,172,800.00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股权价款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86,860,268.47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16,267,294.07</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7、存货" w:id="239"/>
      <w:bookmarkEnd w:id="239"/>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457,054.99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105,354.13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1,310,028.42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958,327.56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457,054.99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105,354.13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1,310,028.42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958,327.56</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351,700.86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351,700.86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351,700.86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一年内到期的非流动资产" w:id="244"/>
      <w:bookmarkEnd w:id="244"/>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9、其他流动资产" w:id="245"/>
      <w:bookmarkEnd w:id="24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48,816,200.00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预缴的税金及留抵税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3,158,417.36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388,788.64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7,437,628.83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51,974,617.36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192,726,417.47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可供出售金融资产" w:id="246"/>
      <w:bookmarkEnd w:id="246"/>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51,841,543.20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51,841,543.20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11,641,543.20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11,641,543.20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40,263,140.39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51,841,543.20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51,841,543.20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8"/>
      <w:bookmarkEnd w:id="24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9"/>
      <w:bookmarkEnd w:id="24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青海小西 牛生物乳 业股份有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青海弘川 新源实业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大象恒丰</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（青岛）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云南神州 易桥企业 管理有限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63,140.39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63,140.39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63,140.39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40,263,140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50"/>
      <w:bookmarkEnd w:id="25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2"/>
        <w:ind w:right="0"/>
        <w:jc w:val="left"/>
      </w:pPr>
      <w:r>
        <w:rPr/>
        <w:t>其他说明</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bookmarkStart w:name="11、长期股权投资" w:id="252"/>
      <w:bookmarkEnd w:id="25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-1,230,43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32,624,71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-292,353.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广西海东 科技创业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20,942,59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-1,408,06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霍尔果斯 神州易桥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29,565,53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6,761,736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36,327,27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51,000,28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1,963,824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51,714,10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洛阳蓝宝 氟业有限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30,330,00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-491,663.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29,838,33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霍尔果斯 中企易桥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131,347.7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4,131,347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神州易桥</w:t>
            </w:r>
          </w:p>
          <w:p>
            <w:pPr>
              <w:pStyle w:val="TableParagraph"/>
              <w:spacing w:line="316" w:lineRule="auto" w:before="75"/>
              <w:ind w:left="22" w:right="41"/>
              <w:jc w:val="left"/>
              <w:rPr>
                <w:rFonts w:ascii="宋体" w:hAnsi="宋体" w:cs="宋体" w:eastAsia="宋体" w:hint="default"/>
                <w:sz w:val="18"/>
                <w:szCs w:val="18"/>
              </w:rPr>
            </w:pPr>
            <w:r>
              <w:rPr>
                <w:rFonts w:ascii="宋体" w:hAnsi="宋体" w:cs="宋体" w:eastAsia="宋体" w:hint="default"/>
                <w:sz w:val="18"/>
                <w:szCs w:val="18"/>
              </w:rPr>
              <w:t>（北京） 财税科技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4,181,896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4,897,213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653,627.8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-5,615,58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2,809,896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29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有限公司 所属联营 企业（注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霍尔果斯 快马财税 管理有限 公司所属 联营企业</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89,266,50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52,467,00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6,703,603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42,866,10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霍尔果斯 快马财税 管理有限 公司（注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139,482,0</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03.99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36,994,33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-476,476,</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334.52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企业管家</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科技服务 有限公司 所属联营 企业（注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325,028,2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215,075,6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25.88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18,692,84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128,645,4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76.39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641,091,9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398,163,7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268,196,2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62,209,58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-476,476,</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334.52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641,091,9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398,163,7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268,196,2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62,209,58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-476,476,</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334.52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354,905,6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79.69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634"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本公司之全资子公司易桥财税科技及其子公司易桥信息服务有限公司投资联营企业，年初共计</w:t>
      </w:r>
      <w:r>
        <w:rPr>
          <w:rFonts w:ascii="Times New Roman" w:hAnsi="Times New Roman" w:cs="Times New Roman" w:eastAsia="Times New Roman" w:hint="default"/>
        </w:rPr>
        <w:t>16</w:t>
      </w:r>
      <w:r>
        <w:rPr/>
        <w:t>家，本年度处置</w:t>
      </w:r>
      <w:r>
        <w:rPr>
          <w:rFonts w:ascii="Times New Roman" w:hAnsi="Times New Roman" w:cs="Times New Roman" w:eastAsia="Times New Roman" w:hint="default"/>
        </w:rPr>
        <w:t>8</w:t>
      </w:r>
    </w:p>
    <w:p>
      <w:pPr>
        <w:pStyle w:val="BodyText"/>
        <w:spacing w:line="240" w:lineRule="auto" w:before="63"/>
        <w:ind w:right="0"/>
        <w:jc w:val="left"/>
      </w:pPr>
      <w:r>
        <w:rPr/>
        <w:t>家。</w:t>
      </w:r>
    </w:p>
    <w:p>
      <w:pPr>
        <w:pStyle w:val="BodyText"/>
        <w:spacing w:line="240" w:lineRule="auto" w:before="76"/>
        <w:ind w:left="634" w:right="0"/>
        <w:jc w:val="left"/>
      </w:pPr>
      <w:r>
        <w:rPr/>
        <w:t>注</w:t>
      </w:r>
      <w:r>
        <w:rPr>
          <w:rFonts w:ascii="Times New Roman" w:hAnsi="Times New Roman" w:cs="Times New Roman" w:eastAsia="Times New Roman" w:hint="default"/>
        </w:rPr>
        <w:t>2</w:t>
      </w:r>
      <w:r>
        <w:rPr/>
        <w:t>本年度公司以现金方式购买快马财税公司</w:t>
      </w:r>
      <w:r>
        <w:rPr>
          <w:rFonts w:ascii="Times New Roman" w:hAnsi="Times New Roman" w:cs="Times New Roman" w:eastAsia="Times New Roman" w:hint="default"/>
        </w:rPr>
        <w:t>60%</w:t>
      </w:r>
      <w:r>
        <w:rPr/>
        <w:t>股权，购买日其有联营企业共计</w:t>
      </w:r>
      <w:r>
        <w:rPr>
          <w:rFonts w:ascii="Times New Roman" w:hAnsi="Times New Roman" w:cs="Times New Roman" w:eastAsia="Times New Roman" w:hint="default"/>
        </w:rPr>
        <w:t>11</w:t>
      </w:r>
      <w:r>
        <w:rPr/>
        <w:t>家。报告期末，根据快马财税、霍</w:t>
      </w:r>
    </w:p>
    <w:p>
      <w:pPr>
        <w:pStyle w:val="BodyText"/>
        <w:spacing w:line="300" w:lineRule="auto" w:before="63"/>
        <w:ind w:left="634" w:right="0" w:hanging="480"/>
        <w:jc w:val="left"/>
      </w:pPr>
      <w:r>
        <w:rPr/>
        <w:t>尔果斯神州易桥股权投资合伙企业（有限合伙）与终端资产原股东签署的《终止合作协议》处置</w:t>
      </w:r>
      <w:r>
        <w:rPr>
          <w:rFonts w:ascii="Times New Roman" w:hAnsi="Times New Roman" w:cs="Times New Roman" w:eastAsia="Times New Roman" w:hint="default"/>
        </w:rPr>
        <w:t>6</w:t>
      </w:r>
      <w:r>
        <w:rPr/>
        <w:t>家联营企业。 注</w:t>
      </w:r>
      <w:r>
        <w:rPr>
          <w:rFonts w:ascii="Times New Roman" w:hAnsi="Times New Roman" w:cs="Times New Roman" w:eastAsia="Times New Roman" w:hint="default"/>
        </w:rPr>
        <w:t>3</w:t>
      </w:r>
      <w:r>
        <w:rPr/>
        <w:t>本年度公司全资子公司易桥财税科技增资快马财税后持股比例变为</w:t>
      </w:r>
      <w:r>
        <w:rPr>
          <w:rFonts w:ascii="Times New Roman" w:hAnsi="Times New Roman" w:cs="Times New Roman" w:eastAsia="Times New Roman" w:hint="default"/>
        </w:rPr>
        <w:t>40%</w:t>
      </w:r>
      <w:r>
        <w:rPr/>
        <w:t>，与公司共同持有快马财税</w:t>
      </w:r>
      <w:r>
        <w:rPr>
          <w:rFonts w:ascii="Times New Roman" w:hAnsi="Times New Roman" w:cs="Times New Roman" w:eastAsia="Times New Roman" w:hint="default"/>
        </w:rPr>
        <w:t>100%</w:t>
      </w:r>
      <w:r>
        <w:rPr/>
        <w:t>股权，上</w:t>
      </w:r>
    </w:p>
    <w:p>
      <w:pPr>
        <w:pStyle w:val="BodyText"/>
        <w:spacing w:line="300" w:lineRule="auto" w:before="13"/>
        <w:ind w:left="634" w:right="0" w:hanging="480"/>
        <w:jc w:val="left"/>
      </w:pPr>
      <w:r>
        <w:rPr/>
        <w:t>述</w:t>
      </w:r>
      <w:r>
        <w:rPr>
          <w:rFonts w:ascii="Times New Roman" w:hAnsi="Times New Roman" w:cs="Times New Roman" w:eastAsia="Times New Roman" w:hint="default"/>
        </w:rPr>
        <w:t>40%</w:t>
      </w:r>
      <w:r>
        <w:rPr/>
        <w:t>股权的影响在合并层面转回。 注</w:t>
      </w:r>
      <w:r>
        <w:rPr>
          <w:rFonts w:ascii="Times New Roman" w:hAnsi="Times New Roman" w:cs="Times New Roman" w:eastAsia="Times New Roman" w:hint="default"/>
        </w:rPr>
        <w:t>4</w:t>
      </w:r>
      <w:r>
        <w:rPr/>
        <w:t>公司之孙公司易桥快马、霍尔果斯神州易桥股权投资合伙企业（有限合伙）与终端资产原股东签署《终止合作协</w:t>
      </w:r>
    </w:p>
    <w:p>
      <w:pPr>
        <w:pStyle w:val="BodyText"/>
        <w:spacing w:line="240" w:lineRule="auto" w:before="13"/>
        <w:ind w:right="0"/>
        <w:jc w:val="left"/>
      </w:pPr>
      <w:r>
        <w:rPr/>
        <w:t>议》，本年度处置</w:t>
      </w:r>
      <w:r>
        <w:rPr>
          <w:rFonts w:ascii="Times New Roman" w:hAnsi="Times New Roman" w:cs="Times New Roman" w:eastAsia="Times New Roman" w:hint="default"/>
        </w:rPr>
        <w:t>32</w:t>
      </w:r>
      <w:r>
        <w:rPr/>
        <w:t>家联营企业，期末剩余</w:t>
      </w:r>
      <w:r>
        <w:rPr>
          <w:rFonts w:ascii="Times New Roman" w:hAnsi="Times New Roman" w:cs="Times New Roman" w:eastAsia="Times New Roman" w:hint="default"/>
        </w:rPr>
        <w:t>21</w:t>
      </w:r>
      <w:r>
        <w:rPr/>
        <w:t>家联营企业。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12、投资性房地产" w:id="253"/>
      <w:bookmarkEnd w:id="253"/>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4"/>
      <w:bookmarkEnd w:id="25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49,465,464.38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4,627,903.64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4,627,903.64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4,627,903.64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4,627,903.64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54,093,368.02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54,093,368.02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1,511,047.22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1,511,047.22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1,511,047.22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1,511,047.22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1,511,047.22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1,511,047.22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52,582,320.80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52,582,320.80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49,465,464.38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49,465,464.38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5"/>
      <w:bookmarkEnd w:id="25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56"/>
      <w:bookmarkEnd w:id="25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固定资产" w:id="257"/>
      <w:bookmarkEnd w:id="257"/>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40,458,413.53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43,148,456.35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40,458,413.53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43,148,456.35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25,836,600.41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19,473,286.51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16,306,959.70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61,616,846.62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1,703,529.18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1,323,157.69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10,326,305.23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13,352,992.10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1,703,529.18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1,130,095.12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1,661,865.58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4,495,489.88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193,062.57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8,664,439.65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8,857,502.22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3,271,562.38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6,301,761.65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9,573,324.03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3,271,562.38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141,575.76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3,413,138.14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6,160,185.89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6,160,185.89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27,540,129.59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17,524,881.82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20,331,503.28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65,396,514.69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1,368,153.32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9,119,378.58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7,980,858.37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18,468,390.27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1,359,353.81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3,020,340.59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6,493,155.34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10,872,849.74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1,359,353.81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2,992,048.97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3,499,004.38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7,850,407.16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2,994,150.96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3,022,442.58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2,374,579.50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2,028,559.35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4,403,138.85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2,374,579.50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2,413,425.01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1,989,713.84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1,989,713.84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2,727,507.13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9,765,139.67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12,445,454.36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24,938,101.16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24,812,622.46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7,759,742.15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7,886,048.92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40,458,413.53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24,468,447.09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10,353,907.93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8,326,101.33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43,148,456.35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59"/>
      <w:bookmarkEnd w:id="25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60"/>
      <w:bookmarkEnd w:id="26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1"/>
      <w:bookmarkEnd w:id="26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32" w:hRule="exact"/>
        </w:trPr>
        <w:tc>
          <w:tcPr>
            <w:tcW w:w="4780" w:type="dxa"/>
            <w:tcBorders>
              <w:top w:val="nil" w:sz="6" w:space="0" w:color="auto"/>
              <w:left w:val="nil" w:sz="6" w:space="0" w:color="auto"/>
              <w:bottom w:val="single" w:sz="4" w:space="0" w:color="000000"/>
              <w:right w:val="nil" w:sz="6" w:space="0" w:color="auto"/>
            </w:tcBorders>
          </w:tcPr>
          <w:p>
            <w:pPr/>
          </w:p>
        </w:tc>
        <w:tc>
          <w:tcPr>
            <w:tcW w:w="4788"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55.200001pt;margin-top:-49.526318pt;width:485pt;height:.1pt;mso-position-horizontal-relative:page;mso-position-vertical-relative:paragraph;z-index:-1038280"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5）未办妥产权证书的固定资产情况" w:id="262"/>
      <w:bookmarkEnd w:id="26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固定资产清理" w:id="263"/>
      <w:bookmarkEnd w:id="26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无形资产" w:id="264"/>
      <w:bookmarkEnd w:id="264"/>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5"/>
      <w:bookmarkEnd w:id="26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115,384,837.48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117,384,837.48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12,492,710.75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12,492,710.75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209,336.64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209,336.64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12,095,374.11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12,095,374.11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1,773,925.00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1,773,925.00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1,744,925.00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1,744,925.00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合并减少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126,103,623.23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128,103,623.23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15,039,346.25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15,039,346.25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12,639,433.95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12,639,433.95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12,537,569.41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12,537,569.41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101,864.54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101,864.54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1,884,075.72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1,884,075.72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1,864,339.54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1,864,339.54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19,736.18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25,794,704.48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25,794,704.48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100,308,918.75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102,308,918.75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100,345,491.23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102,345,491.23</w:t>
            </w:r>
          </w:p>
        </w:tc>
      </w:tr>
    </w:tbl>
    <w:p>
      <w:pPr>
        <w:pStyle w:val="BodyText"/>
        <w:spacing w:line="240" w:lineRule="auto" w:before="51"/>
        <w:ind w:right="0"/>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11.82%</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66"/>
      <w:bookmarkEnd w:id="26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开发支出" w:id="267"/>
      <w:bookmarkEnd w:id="267"/>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一站通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272,985.24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107,291.12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380,276.36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财务管家独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115,148.00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2,191,239.72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2,306,387.72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立平台项目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智慧企业孵 化云平台小 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32,020,356.5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27,697,190.1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10,510,984.6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49,206,562.0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专家问诊平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1,204,113.10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1,204,113.10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32,408,489.7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31,199,834.0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12,095,374.1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51,512,949.7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357" w:lineRule="auto" w:before="51"/>
        <w:ind w:right="1572"/>
        <w:jc w:val="left"/>
      </w:pPr>
      <w:r>
        <w:rPr/>
        <w:t>其他说明 公司通过技术可行性及经济可行性研究，形成项目立项后，且预计带来稳定的经济利用流入或使用，进入开发阶段。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6、商誉" w:id="268"/>
      <w:bookmarkEnd w:id="268"/>
      <w:r>
        <w:rPr>
          <w:b w:val="0"/>
          <w:bCs w:val="0"/>
        </w:rPr>
      </w: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9"/>
      <w:bookmarkEnd w:id="26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57"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神州易桥</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财税科技有限公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896,902,084.81</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4"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896,902,084.81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无锡易真企业管 理有限公司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22,771,074.80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22,771,074.80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无锡易广企业管 理有限公司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21,103,741.25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7" w:right="0"/>
              <w:jc w:val="center"/>
              <w:rPr>
                <w:rFonts w:ascii="Times New Roman" w:hAnsi="Times New Roman" w:cs="Times New Roman" w:eastAsia="Times New Roman" w:hint="default"/>
                <w:sz w:val="18"/>
                <w:szCs w:val="18"/>
              </w:rPr>
            </w:pPr>
            <w:r>
              <w:rPr>
                <w:rFonts w:ascii="Times New Roman"/>
                <w:sz w:val="18"/>
              </w:rPr>
              <w:t>21,103,741.25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宁波神州开元会 计服务有限公司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252,462,141.81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252,462,141.81</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霍尔果斯易桥快 马企业管理咨询 有限公司所属单 位：注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459,054,134.43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130,142,895.49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328,911,238.94</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Times New Roman" w:hAnsi="Times New Roman" w:cs="Times New Roman" w:eastAsia="Times New Roman" w:hint="default"/>
                <w:sz w:val="18"/>
                <w:szCs w:val="18"/>
              </w:rPr>
            </w:pPr>
            <w:r>
              <w:rPr>
                <w:rFonts w:ascii="宋体" w:hAnsi="宋体" w:cs="宋体" w:eastAsia="宋体" w:hint="default"/>
                <w:sz w:val="18"/>
                <w:szCs w:val="18"/>
              </w:rPr>
              <w:t>霍尔果斯快马财 税管理服务有限 公司所属单位：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2,448,915,139.16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1,121,571,919.94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1,327,343,219.22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1,652,293,177.10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2,448,915,139.16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1,251,714,815.43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2,849,493,500.83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70"/>
      <w:bookmarkEnd w:id="27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634" w:right="0" w:hanging="480"/>
        <w:jc w:val="left"/>
      </w:pPr>
      <w:r>
        <w:rPr/>
        <w:t>商誉所在资产组或资产组组合的相关信息 注</w:t>
      </w:r>
      <w:r>
        <w:rPr>
          <w:rFonts w:ascii="Times New Roman" w:hAnsi="Times New Roman" w:cs="Times New Roman" w:eastAsia="Times New Roman" w:hint="default"/>
        </w:rPr>
        <w:t>1</w:t>
      </w:r>
      <w:r>
        <w:rPr/>
        <w:t>：本年度根据霍尔果斯易桥快马企业管理咨询有限公司、霍尔果斯神州易桥股权投资合伙企业（有限合伙）与终</w:t>
      </w:r>
    </w:p>
    <w:p>
      <w:pPr>
        <w:pStyle w:val="BodyText"/>
        <w:spacing w:line="214" w:lineRule="exact"/>
        <w:ind w:right="0"/>
        <w:jc w:val="left"/>
      </w:pPr>
      <w:r>
        <w:rPr/>
        <w:t>端资产原股东签署的《终止合作协议》，本年度处置子公司</w:t>
      </w:r>
      <w:r>
        <w:rPr>
          <w:rFonts w:ascii="Times New Roman" w:hAnsi="Times New Roman" w:cs="Times New Roman" w:eastAsia="Times New Roman" w:hint="default"/>
        </w:rPr>
        <w:t>9</w:t>
      </w:r>
      <w:r>
        <w:rPr/>
        <w:t>家，其中</w:t>
      </w:r>
      <w:r>
        <w:rPr>
          <w:rFonts w:ascii="Times New Roman" w:hAnsi="Times New Roman" w:cs="Times New Roman" w:eastAsia="Times New Roman" w:hint="default"/>
        </w:rPr>
        <w:t>2</w:t>
      </w:r>
      <w:r>
        <w:rPr/>
        <w:t>家由于诉讼丧失控制权。期末剩余商誉为</w:t>
      </w:r>
      <w:r>
        <w:rPr>
          <w:rFonts w:ascii="Times New Roman" w:hAnsi="Times New Roman" w:cs="Times New Roman" w:eastAsia="Times New Roman" w:hint="default"/>
        </w:rPr>
        <w:t>25</w:t>
      </w:r>
      <w:r>
        <w:rPr/>
        <w:t>家子公司</w:t>
      </w:r>
    </w:p>
    <w:p>
      <w:pPr>
        <w:pStyle w:val="BodyText"/>
        <w:spacing w:line="240" w:lineRule="auto" w:before="63"/>
        <w:ind w:right="0"/>
        <w:jc w:val="left"/>
      </w:pPr>
      <w:r>
        <w:rPr/>
        <w:t>商誉。</w:t>
      </w:r>
    </w:p>
    <w:p>
      <w:pPr>
        <w:pStyle w:val="BodyText"/>
        <w:spacing w:line="309" w:lineRule="auto" w:before="76"/>
        <w:ind w:right="1128" w:firstLine="480"/>
        <w:jc w:val="both"/>
      </w:pPr>
      <w:r>
        <w:rPr/>
        <w:t>注</w:t>
      </w:r>
      <w:r>
        <w:rPr>
          <w:rFonts w:ascii="Times New Roman" w:hAnsi="Times New Roman" w:cs="Times New Roman" w:eastAsia="Times New Roman" w:hint="default"/>
        </w:rPr>
        <w:t>2</w:t>
      </w:r>
      <w:r>
        <w:rPr/>
        <w:t>：本年度本公司因合并霍尔果斯快马财税管理服务有限公司形成商誉</w:t>
      </w:r>
      <w:r>
        <w:rPr>
          <w:rFonts w:ascii="Times New Roman" w:hAnsi="Times New Roman" w:cs="Times New Roman" w:eastAsia="Times New Roman" w:hint="default"/>
        </w:rPr>
        <w:t>24.49</w:t>
      </w:r>
      <w:r>
        <w:rPr/>
        <w:t>亿元。本报告期末，根据霍尔果斯快马 </w:t>
      </w:r>
      <w:r>
        <w:rPr>
          <w:spacing w:val="-2"/>
        </w:rPr>
        <w:t>财税管理服务有限公司、霍尔果斯神州易桥股权投资合伙企业（有限合伙）与终端资产原股东签署的《终止合作协议》，本</w:t>
      </w:r>
      <w:r>
        <w:rPr>
          <w:spacing w:val="-66"/>
        </w:rPr>
        <w:t> </w:t>
      </w:r>
      <w:r>
        <w:rPr>
          <w:spacing w:val="-66"/>
        </w:rPr>
      </w:r>
      <w:r>
        <w:rPr/>
        <w:t>年度处置</w:t>
      </w:r>
      <w:r>
        <w:rPr>
          <w:rFonts w:ascii="Times New Roman" w:hAnsi="Times New Roman" w:cs="Times New Roman" w:eastAsia="Times New Roman" w:hint="default"/>
        </w:rPr>
        <w:t>50</w:t>
      </w:r>
      <w:r>
        <w:rPr/>
        <w:t>家，其中</w:t>
      </w:r>
      <w:r>
        <w:rPr>
          <w:rFonts w:ascii="Times New Roman" w:hAnsi="Times New Roman" w:cs="Times New Roman" w:eastAsia="Times New Roman" w:hint="default"/>
        </w:rPr>
        <w:t>3</w:t>
      </w:r>
      <w:r>
        <w:rPr/>
        <w:t>家因涉诉等原因丧失控制权。</w:t>
      </w:r>
    </w:p>
    <w:p>
      <w:pPr>
        <w:spacing w:line="240" w:lineRule="auto" w:before="0"/>
        <w:rPr>
          <w:rFonts w:ascii="宋体" w:hAnsi="宋体" w:cs="宋体" w:eastAsia="宋体" w:hint="default"/>
          <w:sz w:val="18"/>
          <w:szCs w:val="18"/>
        </w:rPr>
      </w:pPr>
    </w:p>
    <w:p>
      <w:pPr>
        <w:pStyle w:val="BodyText"/>
        <w:spacing w:line="316" w:lineRule="auto" w:before="122"/>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spacing w:line="240" w:lineRule="auto" w:before="0"/>
        <w:rPr>
          <w:rFonts w:ascii="宋体" w:hAnsi="宋体" w:cs="宋体" w:eastAsia="宋体" w:hint="default"/>
          <w:sz w:val="18"/>
          <w:szCs w:val="18"/>
        </w:rPr>
      </w:pPr>
    </w:p>
    <w:p>
      <w:pPr>
        <w:pStyle w:val="BodyText"/>
        <w:spacing w:line="304" w:lineRule="auto" w:before="135"/>
        <w:ind w:right="1131" w:firstLine="480"/>
        <w:jc w:val="both"/>
      </w:pPr>
      <w:r>
        <w:rPr>
          <w:spacing w:val="-1"/>
        </w:rPr>
        <w:t>①截止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日，依据沪众评报（</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0184</w:t>
      </w:r>
      <w:r>
        <w:rPr>
          <w:spacing w:val="-1"/>
        </w:rPr>
        <w:t>号《拟进行商誉减值测试涉及的无锡易真企业管理有限公司商</w:t>
      </w:r>
      <w:r>
        <w:rPr/>
        <w:t> </w:t>
      </w:r>
      <w:r>
        <w:rPr>
          <w:spacing w:val="-2"/>
        </w:rPr>
        <w:t>誉相关资产组可回收价值资产评估报告》，无锡真企业管理有限公司的可收回金额按照预计未来现金流量的现值确定，未来</w:t>
      </w:r>
      <w:r>
        <w:rPr>
          <w:spacing w:val="-66"/>
        </w:rPr>
        <w:t> </w:t>
      </w:r>
      <w:r>
        <w:rPr>
          <w:spacing w:val="-66"/>
        </w:rPr>
      </w:r>
      <w:r>
        <w:rPr>
          <w:spacing w:val="-2"/>
        </w:rPr>
        <w:t>现金流量基于管理层所做出的未来盈利预测确定，并采用</w:t>
      </w:r>
      <w:r>
        <w:rPr>
          <w:rFonts w:ascii="Times New Roman" w:hAnsi="Times New Roman" w:cs="Times New Roman" w:eastAsia="Times New Roman" w:hint="default"/>
          <w:spacing w:val="-2"/>
        </w:rPr>
        <w:t>16.19%</w:t>
      </w:r>
      <w:r>
        <w:rPr>
          <w:spacing w:val="-2"/>
        </w:rPr>
        <w:t>的折现率。收益期的确定采用永续年期，其中</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rFonts w:ascii="Times New Roman" w:hAnsi="Times New Roman" w:cs="Times New Roman" w:eastAsia="Times New Roman" w:hint="default"/>
          <w:spacing w:val="-24"/>
        </w:rPr>
        <w:t> </w:t>
      </w:r>
      <w:r>
        <w:rPr>
          <w:spacing w:val="-2"/>
        </w:rPr>
        <w:t>年根据资产组的经营情况及经营计划，收益状况处于变化中，</w:t>
      </w:r>
      <w:r>
        <w:rPr>
          <w:rFonts w:ascii="Times New Roman" w:hAnsi="Times New Roman" w:cs="Times New Roman" w:eastAsia="Times New Roman" w:hint="default"/>
          <w:spacing w:val="-2"/>
        </w:rPr>
        <w:t>2024</w:t>
      </w:r>
      <w:r>
        <w:rPr>
          <w:spacing w:val="-2"/>
        </w:rPr>
        <w:t>年起为永续经营，假设资产组将保持稳定的盈利水平。经</w:t>
      </w:r>
      <w:r>
        <w:rPr>
          <w:spacing w:val="-61"/>
        </w:rPr>
        <w:t> </w:t>
      </w:r>
      <w:r>
        <w:rPr>
          <w:spacing w:val="-61"/>
        </w:rPr>
      </w:r>
      <w:r>
        <w:rPr/>
        <w:t>上海众华评估事务所有限公司以商誉减值测试为目的评估后，认定截至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日商誉未发生减值。</w:t>
      </w:r>
    </w:p>
    <w:p>
      <w:pPr>
        <w:pStyle w:val="BodyText"/>
        <w:spacing w:line="304" w:lineRule="auto" w:before="9"/>
        <w:ind w:right="1029" w:firstLine="480"/>
        <w:jc w:val="left"/>
      </w:pPr>
      <w:r>
        <w:rPr/>
        <w:t>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日，依据沪众评报（</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0183</w:t>
      </w:r>
      <w:r>
        <w:rPr/>
        <w:t>号《拟进行商誉减值测试涉及的无锡易广企业管理有限公司商 </w:t>
      </w:r>
      <w:r>
        <w:rPr>
          <w:spacing w:val="-3"/>
        </w:rPr>
        <w:t>誉相关资产组可回收价值资产评估报告》，无锡易广企业管理有限公司的可收回金额按照预计未来现金流量的现值确定，未</w:t>
      </w:r>
      <w:r>
        <w:rPr>
          <w:spacing w:val="-39"/>
        </w:rPr>
        <w:t> </w:t>
      </w:r>
      <w:r>
        <w:rPr>
          <w:spacing w:val="-39"/>
        </w:rPr>
      </w:r>
      <w:r>
        <w:rPr/>
        <w:t>来现金流量基于管理层所做出的未来盈利预测确定，并采用</w:t>
      </w:r>
      <w:r>
        <w:rPr>
          <w:rFonts w:ascii="Times New Roman" w:hAnsi="Times New Roman" w:cs="Times New Roman" w:eastAsia="Times New Roman" w:hint="default"/>
        </w:rPr>
        <w:t>16.19%</w:t>
      </w:r>
      <w:r>
        <w:rPr/>
        <w:t>的折现率。收益期的确定采用永续年期，其中</w:t>
      </w:r>
      <w:r>
        <w:rPr>
          <w:rFonts w:ascii="Times New Roman" w:hAnsi="Times New Roman" w:cs="Times New Roman" w:eastAsia="Times New Roman" w:hint="default"/>
        </w:rPr>
        <w:t>2019</w:t>
      </w:r>
      <w:r>
        <w:rPr/>
        <w:t>年至</w:t>
      </w:r>
      <w:r>
        <w:rPr>
          <w:spacing w:val="-15"/>
        </w:rPr>
        <w:t> </w:t>
      </w:r>
      <w:r>
        <w:rPr>
          <w:rFonts w:ascii="Times New Roman" w:hAnsi="Times New Roman" w:cs="Times New Roman" w:eastAsia="Times New Roman" w:hint="default"/>
          <w:spacing w:val="-3"/>
        </w:rPr>
        <w:t>2023</w:t>
      </w:r>
      <w:r>
        <w:rPr>
          <w:spacing w:val="-3"/>
        </w:rPr>
        <w:t>年根据资产组的经营情况及经营计划，收益状况处于变化中，</w:t>
      </w:r>
      <w:r>
        <w:rPr>
          <w:rFonts w:ascii="Times New Roman" w:hAnsi="Times New Roman" w:cs="Times New Roman" w:eastAsia="Times New Roman" w:hint="default"/>
          <w:spacing w:val="-3"/>
        </w:rPr>
        <w:t>2024</w:t>
      </w:r>
      <w:r>
        <w:rPr>
          <w:spacing w:val="-3"/>
        </w:rPr>
        <w:t>年起为永续经营，假设资产组将保持稳定的盈利水平。</w:t>
      </w:r>
      <w:r>
        <w:rPr>
          <w:spacing w:val="-86"/>
        </w:rPr>
        <w:t> </w:t>
      </w:r>
      <w:r>
        <w:rPr>
          <w:spacing w:val="-86"/>
        </w:rPr>
      </w:r>
      <w:r>
        <w:rPr/>
        <w:t>经上海众华评估事务所有限公司以商誉减值测试为目的评估后，认定截至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日商誉未发生减值。</w:t>
      </w:r>
    </w:p>
    <w:p>
      <w:pPr>
        <w:pStyle w:val="BodyText"/>
        <w:spacing w:line="304" w:lineRule="auto" w:before="9"/>
        <w:ind w:right="1131" w:firstLine="480"/>
        <w:jc w:val="both"/>
      </w:pPr>
      <w:r>
        <w:rPr>
          <w:spacing w:val="-1"/>
        </w:rPr>
        <w:t>③截止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日，依据沪众评报（</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0182</w:t>
      </w:r>
      <w:r>
        <w:rPr>
          <w:spacing w:val="-1"/>
        </w:rPr>
        <w:t>号《拟进行商誉减值测试涉及的宁波神州开元会计服务有限公</w:t>
      </w:r>
      <w:r>
        <w:rPr/>
        <w:t> </w:t>
      </w:r>
      <w:r>
        <w:rPr>
          <w:spacing w:val="-2"/>
        </w:rPr>
        <w:t>司商誉相关资产组可回收价值资产评估报告》，宁波神州开元会计服务有限公司的可收回金额按照预计未来现金流量的现值</w:t>
      </w:r>
      <w:r>
        <w:rPr>
          <w:spacing w:val="-64"/>
        </w:rPr>
        <w:t> </w:t>
      </w:r>
      <w:r>
        <w:rPr>
          <w:spacing w:val="-64"/>
        </w:rPr>
      </w:r>
      <w:r>
        <w:rPr/>
        <w:t>确定，未来现金流量基于管理层所做出的未来盈利预测确定，并采用</w:t>
      </w:r>
      <w:r>
        <w:rPr>
          <w:rFonts w:ascii="Times New Roman" w:hAnsi="Times New Roman" w:cs="Times New Roman" w:eastAsia="Times New Roman" w:hint="default"/>
        </w:rPr>
        <w:t>15.96%</w:t>
      </w:r>
      <w:r>
        <w:rPr/>
        <w:t>的折现率。收益期的确定采用永续年期，其中</w:t>
      </w:r>
      <w:r>
        <w:rPr>
          <w:spacing w:val="-19"/>
        </w:rPr>
        <w:t> </w:t>
      </w:r>
      <w:r>
        <w:rPr>
          <w:spacing w:val="-19"/>
        </w:rPr>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年根据资产组的经营情况及经营计划，收益状况处于变化中，</w:t>
      </w:r>
      <w:r>
        <w:rPr>
          <w:rFonts w:ascii="Times New Roman" w:hAnsi="Times New Roman" w:cs="Times New Roman" w:eastAsia="Times New Roman" w:hint="default"/>
          <w:spacing w:val="-2"/>
        </w:rPr>
        <w:t>2024</w:t>
      </w:r>
      <w:r>
        <w:rPr>
          <w:spacing w:val="-2"/>
        </w:rPr>
        <w:t>年起为永续经营，假设资产组将保持稳定的</w:t>
      </w:r>
      <w:r>
        <w:rPr>
          <w:spacing w:val="-54"/>
        </w:rPr>
        <w:t> </w:t>
      </w:r>
      <w:r>
        <w:rPr>
          <w:spacing w:val="-54"/>
        </w:rPr>
      </w:r>
      <w:r>
        <w:rPr/>
        <w:t>盈利水平。经上海众华评估事务所有限公司以商誉减值测试为目的评估后，认定截至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日商誉未发生减值。</w:t>
      </w:r>
    </w:p>
    <w:p>
      <w:pPr>
        <w:pStyle w:val="BodyText"/>
        <w:spacing w:line="300" w:lineRule="auto" w:before="9"/>
        <w:ind w:right="1032" w:firstLine="480"/>
        <w:jc w:val="left"/>
      </w:pPr>
      <w:r>
        <w:rPr/>
        <w:t>④截止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日，根据沪众评报（</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0187</w:t>
      </w:r>
      <w:r>
        <w:rPr/>
        <w:t>号《拟进行商誉减值测试涉及的霍尔果斯易桥快马企业管理咨 </w:t>
      </w:r>
      <w:r>
        <w:rPr>
          <w:spacing w:val="-2"/>
        </w:rPr>
        <w:t>询有限公司商誉相关资产组可回收价值资产评估报告》。收购终端资产业务所涉及的资产组为</w:t>
      </w:r>
      <w:r>
        <w:rPr>
          <w:rFonts w:ascii="Times New Roman" w:hAnsi="Times New Roman" w:cs="Times New Roman" w:eastAsia="Times New Roman" w:hint="default"/>
          <w:spacing w:val="-2"/>
        </w:rPr>
        <w:t>25</w:t>
      </w:r>
      <w:r>
        <w:rPr>
          <w:spacing w:val="-2"/>
        </w:rPr>
        <w:t>家子公司，可收回金额按照</w:t>
      </w:r>
      <w:r>
        <w:rPr>
          <w:spacing w:val="-63"/>
        </w:rPr>
        <w:t> </w:t>
      </w:r>
      <w:r>
        <w:rPr>
          <w:spacing w:val="-63"/>
        </w:rPr>
      </w:r>
      <w:r>
        <w:rPr/>
        <w:t>预计未来现金流量的现值确定，未来现金流量基于管理层所做出的未来盈利预测确定，并采用</w:t>
      </w:r>
      <w:r>
        <w:rPr>
          <w:rFonts w:ascii="Times New Roman" w:hAnsi="Times New Roman" w:cs="Times New Roman" w:eastAsia="Times New Roman" w:hint="default"/>
        </w:rPr>
        <w:t>16.19%</w:t>
      </w:r>
      <w:r>
        <w:rPr/>
        <w:t>的折现率。收益期的</w:t>
      </w:r>
      <w:r>
        <w:rPr>
          <w:spacing w:val="-17"/>
        </w:rPr>
        <w:t> </w:t>
      </w:r>
      <w:r>
        <w:rPr>
          <w:spacing w:val="-17"/>
        </w:rPr>
      </w:r>
      <w:r>
        <w:rPr/>
        <w:t>确定采用永续年期，其中</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2023</w:t>
      </w:r>
      <w:r>
        <w:rPr/>
        <w:t>年根据资产组的经营情况及经营计划，收益状况处于变化中，</w:t>
      </w:r>
      <w:r>
        <w:rPr>
          <w:rFonts w:ascii="Times New Roman" w:hAnsi="Times New Roman" w:cs="Times New Roman" w:eastAsia="Times New Roman" w:hint="default"/>
        </w:rPr>
        <w:t>2024</w:t>
      </w:r>
      <w:r>
        <w:rPr/>
        <w:t>年起为永续经营， </w:t>
      </w:r>
      <w:r>
        <w:rPr>
          <w:spacing w:val="-2"/>
        </w:rPr>
        <w:t>假设资产组将保持稳定的盈利水平。经上海众华评估事务所有限公司以商誉减值测试为目的评估后，认定截至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10"/>
        </w:rPr>
        <w:t> </w:t>
      </w:r>
      <w:r>
        <w:rPr/>
        <w:t>日商誉未发生减值。</w:t>
      </w:r>
    </w:p>
    <w:p>
      <w:pPr>
        <w:pStyle w:val="BodyText"/>
        <w:spacing w:line="300" w:lineRule="auto" w:before="31"/>
        <w:ind w:right="1131" w:firstLine="480"/>
        <w:jc w:val="both"/>
      </w:pPr>
      <w:r>
        <w:rPr>
          <w:spacing w:val="-1"/>
        </w:rPr>
        <w:t>⑤截止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日，依据沪众评报（</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0169</w:t>
      </w:r>
      <w:r>
        <w:rPr>
          <w:spacing w:val="-1"/>
        </w:rPr>
        <w:t>号《涉及的神州易桥（北京）财税科技有限公司商誉相关资产</w:t>
      </w:r>
      <w:r>
        <w:rPr/>
        <w:t> </w:t>
      </w:r>
      <w:r>
        <w:rPr>
          <w:spacing w:val="-2"/>
        </w:rPr>
        <w:t>组可回收价值资产评估报告》，收购终端资产业务所涉及的资产组为</w:t>
      </w:r>
      <w:r>
        <w:rPr>
          <w:rFonts w:ascii="Times New Roman" w:hAnsi="Times New Roman" w:cs="Times New Roman" w:eastAsia="Times New Roman" w:hint="default"/>
          <w:spacing w:val="-2"/>
        </w:rPr>
        <w:t>11</w:t>
      </w:r>
      <w:r>
        <w:rPr>
          <w:spacing w:val="-2"/>
        </w:rPr>
        <w:t>家子公司，可收回金额按照预计未来现金流量的现值</w:t>
      </w:r>
      <w:r>
        <w:rPr>
          <w:spacing w:val="-64"/>
        </w:rPr>
        <w:t> </w:t>
      </w:r>
      <w:r>
        <w:rPr>
          <w:spacing w:val="-64"/>
        </w:rPr>
      </w:r>
      <w:r>
        <w:rPr/>
        <w:t>确定，未来现金流量基于管理层所做出的未来盈利预测确定，并采用</w:t>
      </w:r>
      <w:r>
        <w:rPr>
          <w:rFonts w:ascii="Times New Roman" w:hAnsi="Times New Roman" w:cs="Times New Roman" w:eastAsia="Times New Roman" w:hint="default"/>
        </w:rPr>
        <w:t>14.28%</w:t>
      </w:r>
      <w:r>
        <w:rPr/>
        <w:t>的折现率。收益期的确定采用永续年期，其中</w:t>
      </w:r>
      <w:r>
        <w:rPr>
          <w:spacing w:val="-19"/>
        </w:rPr>
        <w:t> </w:t>
      </w:r>
      <w:r>
        <w:rPr>
          <w:spacing w:val="-19"/>
        </w:rPr>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年根据资产组的经营情况及经营计划，收益状况处于变化中，</w:t>
      </w:r>
      <w:r>
        <w:rPr>
          <w:rFonts w:ascii="Times New Roman" w:hAnsi="Times New Roman" w:cs="Times New Roman" w:eastAsia="Times New Roman" w:hint="default"/>
          <w:spacing w:val="-2"/>
        </w:rPr>
        <w:t>2024</w:t>
      </w:r>
      <w:r>
        <w:rPr>
          <w:spacing w:val="-2"/>
        </w:rPr>
        <w:t>年起为永续经营，假设资产组将保持稳定的</w:t>
      </w:r>
      <w:r>
        <w:rPr>
          <w:spacing w:val="-54"/>
        </w:rPr>
        <w:t> </w:t>
      </w:r>
      <w:r>
        <w:rPr>
          <w:spacing w:val="-54"/>
        </w:rPr>
      </w:r>
      <w:r>
        <w:rPr/>
        <w:t>盈利水平。经上海众华评估事务所有限公司以商誉减值测试为目的评估后，认定截至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日商誉未发生减值。</w:t>
      </w:r>
    </w:p>
    <w:p>
      <w:pPr>
        <w:pStyle w:val="BodyText"/>
        <w:spacing w:line="300" w:lineRule="auto" w:before="13"/>
        <w:ind w:right="1130" w:firstLine="480"/>
        <w:jc w:val="both"/>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6</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日，根据沪众评报（</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0188</w:t>
      </w:r>
      <w:r>
        <w:rPr>
          <w:spacing w:val="-1"/>
        </w:rPr>
        <w:t>号《拟进行商誉减值测试涉及的霍尔果斯快马财税管理服务有</w:t>
      </w:r>
      <w:r>
        <w:rPr>
          <w:w w:val="99"/>
        </w:rPr>
        <w:t> </w:t>
      </w:r>
      <w:r>
        <w:rPr>
          <w:spacing w:val="-2"/>
        </w:rPr>
        <w:t>限公司商誉相关资产组可回收价值资产评估报告》，收购终端资产业务所涉及的资产组为</w:t>
      </w:r>
      <w:r>
        <w:rPr>
          <w:rFonts w:ascii="Times New Roman" w:hAnsi="Times New Roman" w:cs="Times New Roman" w:eastAsia="Times New Roman" w:hint="default"/>
          <w:spacing w:val="-2"/>
        </w:rPr>
        <w:t>56</w:t>
      </w:r>
      <w:r>
        <w:rPr>
          <w:spacing w:val="-2"/>
        </w:rPr>
        <w:t>家子公司，可收回金额按照预计</w:t>
      </w:r>
      <w:r>
        <w:rPr>
          <w:spacing w:val="-65"/>
        </w:rPr>
        <w:t> </w:t>
      </w:r>
      <w:r>
        <w:rPr>
          <w:spacing w:val="-65"/>
        </w:rPr>
      </w:r>
      <w:r>
        <w:rPr/>
        <w:t>未来现金流量的现值确定，未来现金流量基于管理层所做出的未来盈利预测确定，并采用</w:t>
      </w:r>
      <w:r>
        <w:rPr>
          <w:rFonts w:ascii="Times New Roman" w:hAnsi="Times New Roman" w:cs="Times New Roman" w:eastAsia="Times New Roman" w:hint="default"/>
        </w:rPr>
        <w:t>14.20%</w:t>
      </w:r>
      <w:r>
        <w:rPr/>
        <w:t>的折现率。收益期的确定</w:t>
      </w:r>
      <w:r>
        <w:rPr>
          <w:spacing w:val="-17"/>
        </w:rPr>
        <w:t> </w:t>
      </w:r>
      <w:r>
        <w:rPr>
          <w:spacing w:val="-17"/>
        </w:rPr>
      </w:r>
      <w:r>
        <w:rPr>
          <w:spacing w:val="-2"/>
        </w:rPr>
        <w:t>采用永续年期，其中</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2023</w:t>
      </w:r>
      <w:r>
        <w:rPr>
          <w:spacing w:val="-2"/>
        </w:rPr>
        <w:t>年根据资产组的经营情况及经营计划，收益状况处于变化中，</w:t>
      </w:r>
      <w:r>
        <w:rPr>
          <w:rFonts w:ascii="Times New Roman" w:hAnsi="Times New Roman" w:cs="Times New Roman" w:eastAsia="Times New Roman" w:hint="default"/>
          <w:spacing w:val="-2"/>
        </w:rPr>
        <w:t>2024</w:t>
      </w:r>
      <w:r>
        <w:rPr>
          <w:spacing w:val="-2"/>
        </w:rPr>
        <w:t>年起为永续经营，假设</w:t>
      </w:r>
    </w:p>
    <w:p>
      <w:pPr>
        <w:spacing w:after="0" w:line="300"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2"/>
        </w:rPr>
        <w:t>资产组将保持稳定的盈利水平。经上海众华评估事务所有限公司以商誉减值测试为目的评估后，认定截至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日商</w:t>
      </w:r>
      <w:r>
        <w:rPr>
          <w:spacing w:val="-56"/>
        </w:rPr>
        <w:t> </w:t>
      </w:r>
      <w:r>
        <w:rPr/>
        <w:t>誉未发生减值。</w:t>
      </w:r>
    </w:p>
    <w:p>
      <w:pPr>
        <w:spacing w:line="240" w:lineRule="auto" w:before="0"/>
        <w:rPr>
          <w:rFonts w:ascii="宋体" w:hAnsi="宋体" w:cs="宋体" w:eastAsia="宋体" w:hint="default"/>
          <w:sz w:val="18"/>
          <w:szCs w:val="18"/>
        </w:rPr>
      </w:pPr>
    </w:p>
    <w:p>
      <w:pPr>
        <w:pStyle w:val="BodyText"/>
        <w:spacing w:line="360" w:lineRule="auto" w:before="148"/>
        <w:ind w:right="8592"/>
        <w:jc w:val="left"/>
      </w:pPr>
      <w:r>
        <w:rPr/>
        <w:t>商誉减值测试的影响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7、长期待摊费用" w:id="271"/>
      <w:bookmarkEnd w:id="271"/>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5,428,071.44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1,863,284.57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3,764,618.77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1,249,208.84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2,277,528.40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平台运维费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1,852,574.78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426,468.51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622,868.97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922,153.95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363,456.62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291,986.69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140,919.93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187,216.62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83,615.00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10,272.00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5,803,654.71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4,173,202.97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4,566,688.97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2,012,997.74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3,397,170.97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8、递延所得税资产/递延所得税负债" w:id="272"/>
      <w:bookmarkEnd w:id="272"/>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3"/>
      <w:bookmarkEnd w:id="27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16,296,250.43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1,207,412.32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6,994,322.98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1,341,285.81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16,296,250.43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1,207,412.32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6,994,322.98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1,341,285.81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4"/>
      <w:bookmarkEnd w:id="27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3,472,103.73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520,815.56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5,328,782.13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799,317.32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9,975,698.52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2,493,924.63</w:t>
            </w: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66"/>
              <w:jc w:val="both"/>
              <w:rPr>
                <w:rFonts w:ascii="宋体" w:hAnsi="宋体" w:cs="宋体" w:eastAsia="宋体" w:hint="default"/>
                <w:sz w:val="18"/>
                <w:szCs w:val="18"/>
              </w:rPr>
            </w:pPr>
            <w:r>
              <w:rPr>
                <w:rFonts w:ascii="宋体" w:hAnsi="宋体" w:cs="宋体" w:eastAsia="宋体" w:hint="default"/>
                <w:sz w:val="18"/>
                <w:szCs w:val="18"/>
              </w:rPr>
              <w:t>确认联营企业税前利润 投资收益形成的递延税 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18,863,789.46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2,842,703.19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12,400,919.87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1,860,137.98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22,335,893.19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3,363,518.75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27,705,400.52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5,153,379.93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75"/>
      <w:bookmarkEnd w:id="27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1,207,412.32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1,341,285.81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3,363,518.75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5,153,379.93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76"/>
      <w:bookmarkEnd w:id="27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8,856,957.39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15,096,505.84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176,548,676.95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272,149,887.80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185,405,634.34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287,246,393.64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77"/>
      <w:bookmarkEnd w:id="27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632,056.64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418,357.67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7,335,915.61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250,492.41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33,703,495.36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2,568,337.06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40,257,074.45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97,282,577.74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190,221,345.74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76,028,912.07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176,548,676.95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272,149,887.80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其他非流动资产" w:id="278"/>
      <w:bookmarkEnd w:id="278"/>
      <w:r>
        <w:rPr>
          <w:b w:val="0"/>
          <w:bCs w:val="0"/>
        </w:rPr>
      </w:r>
      <w:r>
        <w:rPr>
          <w:rFonts w:ascii="Times New Roman" w:hAnsi="Times New Roman" w:cs="Times New Roman" w:eastAsia="Times New Roman" w:hint="default"/>
        </w:rPr>
        <w:t>19</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0、短期借款" w:id="279"/>
      <w:bookmarkEnd w:id="279"/>
      <w:r>
        <w:rPr>
          <w:b w:val="0"/>
          <w:bCs w:val="0"/>
        </w:rPr>
      </w: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0"/>
      <w:bookmarkEnd w:id="28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短期借款分类的说明：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81"/>
      <w:bookmarkEnd w:id="28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以公允价值计量且其变动计入当期损益的金融负债" w:id="282"/>
      <w:bookmarkEnd w:id="282"/>
      <w:r>
        <w:rPr>
          <w:b w:val="0"/>
          <w:bCs w:val="0"/>
        </w:rPr>
      </w:r>
      <w:r>
        <w:rPr>
          <w:rFonts w:ascii="Times New Roman" w:hAnsi="Times New Roman" w:cs="Times New Roman" w:eastAsia="Times New Roman" w:hint="default"/>
        </w:rPr>
        <w:t>21</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应付票据及应付账款" w:id="283"/>
      <w:bookmarkEnd w:id="283"/>
      <w:r>
        <w:rPr>
          <w:b w:val="0"/>
          <w:bCs w:val="0"/>
        </w:rPr>
      </w:r>
      <w:r>
        <w:rPr>
          <w:rFonts w:ascii="Times New Roman" w:hAnsi="Times New Roman" w:cs="Times New Roman" w:eastAsia="Times New Roman" w:hint="default"/>
        </w:rPr>
        <w:t>22</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14,792,638.52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58,156,717.86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14,792,638.52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58,156,717.86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84"/>
      <w:bookmarkEnd w:id="28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285"/>
      <w:bookmarkEnd w:id="28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12,056,885.45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56,127,905.09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2,735,753.07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2,028,812.77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14,792,638.52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58,156,717.86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86"/>
      <w:bookmarkEnd w:id="28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2,334,900.99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2,334,900.99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预收款项" w:id="287"/>
      <w:bookmarkEnd w:id="287"/>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8"/>
      <w:bookmarkEnd w:id="28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105,196,405.53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86,880,546.79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4,243,008.14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1,460,711.94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109,439,413.67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88,341,258.73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服务尚未提供完毕</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184,540.00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90"/>
      <w:bookmarkEnd w:id="29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应付职工薪酬" w:id="291"/>
      <w:bookmarkEnd w:id="291"/>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2"/>
      <w:bookmarkEnd w:id="29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12,308,933.97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420,163,867.52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414,820,682.58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17,652,118.91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656,347.31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12,086,940.39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11,795,408.84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947,878.86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7,603,827.22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7,531,327.22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12,965,281.28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439,854,635.13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434,147,418.64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18,672,497.77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3"/>
      <w:bookmarkEnd w:id="29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12,232,895.99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399,377,809.76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394,302,443.55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17,308,262.20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7,761,625.85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7,677,622.64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87,663.21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45,480.59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8,419,641.47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8,262,866.96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202,255.10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35,779.58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7,255,873.26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7,116,046.48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175,606.36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615,814.47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613,551.52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8,954.95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547,953.74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533,268.96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17,693.79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4,394,672.40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4,384,754.50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9,398.49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27,416.80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210,118.04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192,994.93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44,539.91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12,308,933.97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420,163,867.52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414,820,682.58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17,652,118.91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4"/>
      <w:bookmarkEnd w:id="29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66,866.57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11,530,056.79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11,247,266.42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349,656.94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589,480.74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553,493.24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544,752.06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598,221.92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3,390.36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3,390.36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656,347.31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12,086,940.39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11,795,408.84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947,878.86</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bookmarkStart w:name="25、应交税费" w:id="295"/>
      <w:bookmarkEnd w:id="295"/>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11,138,678.96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8,004,002.53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17,785,719.54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5,190,144.03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2,871,833.11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593,304.75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774,811.52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628,868.01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542,668.29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391,021.83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1,106,971.12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323,198.69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948,625.34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56,279.15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1,965,405.91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房产税及土地使用税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172,985.26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34,449,946.95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18,047,302.51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其他应付款" w:id="296"/>
      <w:bookmarkEnd w:id="296"/>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378,900.26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91,104,282.55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248,620,235.18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91,483,182.66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248,999,135.44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97"/>
      <w:bookmarkEnd w:id="29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378,900.26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378,900.11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378,900.26</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298"/>
      <w:bookmarkEnd w:id="29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其他应付款" w:id="299"/>
      <w:bookmarkEnd w:id="29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26,274,685.36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247,577,805.18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64,829,597.19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91,104,282.55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248,620,235.18</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42,361,469.76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按协议付款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12,511,552.69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按协议付款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应付社保金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210,022.85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清收费用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178,326.16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55,301,371.46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持有待售负债" w:id="300"/>
      <w:bookmarkEnd w:id="300"/>
      <w:r>
        <w:rPr>
          <w:b w:val="0"/>
          <w:bCs w:val="0"/>
        </w:rPr>
      </w:r>
      <w:r>
        <w:rPr>
          <w:rFonts w:ascii="Times New Roman" w:hAnsi="Times New Roman" w:cs="Times New Roman" w:eastAsia="Times New Roman" w:hint="default"/>
        </w:rPr>
        <w:t>27</w:t>
      </w:r>
      <w:r>
        <w:rPr/>
        <w:t>、持有待售负债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一年内到期的非流动负债" w:id="301"/>
      <w:bookmarkEnd w:id="301"/>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16,517,289.83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13,117,289.83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年以内到期的股权支付价款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376,655,603.81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169,788,754.75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393,172,893.64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182,906,044.58</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left="634" w:right="0"/>
        <w:jc w:val="left"/>
      </w:pPr>
      <w:r>
        <w:rPr/>
        <w:t>（</w:t>
      </w:r>
      <w:r>
        <w:rPr>
          <w:rFonts w:ascii="Times New Roman" w:hAnsi="Times New Roman" w:cs="Times New Roman" w:eastAsia="Times New Roman" w:hint="default"/>
        </w:rPr>
        <w:t>1</w:t>
      </w:r>
      <w:r>
        <w:rPr/>
        <w:t>）本公司一年内到期的非流动负债为向西宁市财政局取得的信用借款，划分为一年内到期的长期借款。</w:t>
      </w:r>
    </w:p>
    <w:p>
      <w:pPr>
        <w:pStyle w:val="BodyText"/>
        <w:spacing w:line="300" w:lineRule="auto" w:before="63"/>
        <w:ind w:right="1130" w:firstLine="480"/>
        <w:jc w:val="both"/>
      </w:pPr>
      <w:r>
        <w:rPr/>
        <w:t>（</w:t>
      </w:r>
      <w:r>
        <w:rPr>
          <w:rFonts w:ascii="Times New Roman" w:hAnsi="Times New Roman" w:cs="Times New Roman" w:eastAsia="Times New Roman" w:hint="default"/>
        </w:rPr>
        <w:t>2</w:t>
      </w:r>
      <w:r>
        <w:rPr/>
        <w:t>）根据与陈颖、陈勇、谢鹏签订的《股权转让协议》，约定广州网融信息技术有限公司</w:t>
      </w:r>
      <w:r>
        <w:rPr>
          <w:rFonts w:ascii="Times New Roman" w:hAnsi="Times New Roman" w:cs="Times New Roman" w:eastAsia="Times New Roman" w:hint="default"/>
        </w:rPr>
        <w:t>2018</w:t>
      </w:r>
      <w:r>
        <w:rPr/>
        <w:t>年度审计报告出具并 </w:t>
      </w:r>
      <w:r>
        <w:rPr>
          <w:spacing w:val="-1"/>
        </w:rPr>
        <w:t>确认</w:t>
      </w:r>
      <w:r>
        <w:rPr>
          <w:rFonts w:ascii="Times New Roman" w:hAnsi="Times New Roman" w:cs="Times New Roman" w:eastAsia="Times New Roman" w:hint="default"/>
          <w:spacing w:val="-1"/>
        </w:rPr>
        <w:t>2018</w:t>
      </w:r>
      <w:r>
        <w:rPr>
          <w:spacing w:val="-1"/>
        </w:rPr>
        <w:t>年度承诺扣非归母净利润完成后，向上述股权转让人支付股权转让价款</w:t>
      </w:r>
      <w:r>
        <w:rPr>
          <w:rFonts w:ascii="Times New Roman" w:hAnsi="Times New Roman" w:cs="Times New Roman" w:eastAsia="Times New Roman" w:hint="default"/>
          <w:spacing w:val="-1"/>
        </w:rPr>
        <w:t>14,616,000.00</w:t>
      </w:r>
      <w:r>
        <w:rPr>
          <w:spacing w:val="-1"/>
        </w:rPr>
        <w:t>元，故将其调整至一年内到期</w:t>
      </w:r>
      <w:r>
        <w:rPr>
          <w:spacing w:val="-66"/>
        </w:rPr>
        <w:t> </w:t>
      </w:r>
      <w:r>
        <w:rPr>
          <w:spacing w:val="-66"/>
        </w:rPr>
      </w:r>
      <w:r>
        <w:rPr/>
        <w:t>的非流动负债。</w:t>
      </w:r>
    </w:p>
    <w:p>
      <w:pPr>
        <w:spacing w:after="0" w:line="300"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480"/>
        <w:jc w:val="both"/>
      </w:pPr>
      <w:r>
        <w:rPr/>
        <w:t>（</w:t>
      </w:r>
      <w:r>
        <w:rPr>
          <w:rFonts w:ascii="Times New Roman" w:hAnsi="Times New Roman" w:cs="Times New Roman" w:eastAsia="Times New Roman" w:hint="default"/>
        </w:rPr>
        <w:t>3</w:t>
      </w:r>
      <w:r>
        <w:rPr/>
        <w:t>）根据与隆化县优创企业管理咨询中心（有限合伙）签订的《股权转让协议》，约定在宁波神州开元会计服务有 限公司</w:t>
      </w:r>
      <w:r>
        <w:rPr>
          <w:rFonts w:ascii="Times New Roman" w:hAnsi="Times New Roman" w:cs="Times New Roman" w:eastAsia="Times New Roman" w:hint="default"/>
        </w:rPr>
        <w:t>2018</w:t>
      </w:r>
      <w:r>
        <w:rPr/>
        <w:t>年度审计报告出具，并确认</w:t>
      </w:r>
      <w:r>
        <w:rPr>
          <w:rFonts w:ascii="Times New Roman" w:hAnsi="Times New Roman" w:cs="Times New Roman" w:eastAsia="Times New Roman" w:hint="default"/>
        </w:rPr>
        <w:t>2018</w:t>
      </w:r>
      <w:r>
        <w:rPr/>
        <w:t>年度承诺扣非净利润完成后，支付股权转让价款</w:t>
      </w:r>
      <w:r>
        <w:rPr>
          <w:rFonts w:ascii="Times New Roman" w:hAnsi="Times New Roman" w:cs="Times New Roman" w:eastAsia="Times New Roman" w:hint="default"/>
        </w:rPr>
        <w:t>8,827,377.17</w:t>
      </w:r>
      <w:r>
        <w:rPr/>
        <w:t>元，故将其调整至</w:t>
      </w:r>
      <w:r>
        <w:rPr>
          <w:spacing w:val="-47"/>
        </w:rPr>
        <w:t> </w:t>
      </w:r>
      <w:r>
        <w:rPr>
          <w:spacing w:val="-47"/>
        </w:rPr>
      </w:r>
      <w:r>
        <w:rPr/>
        <w:t>一年内到期的非流动负债。</w:t>
      </w:r>
    </w:p>
    <w:p>
      <w:pPr>
        <w:pStyle w:val="BodyText"/>
        <w:spacing w:line="300" w:lineRule="auto" w:before="31"/>
        <w:ind w:right="1132" w:firstLine="480"/>
        <w:jc w:val="both"/>
      </w:pPr>
      <w:r>
        <w:rPr/>
        <w:t>（</w:t>
      </w:r>
      <w:r>
        <w:rPr>
          <w:rFonts w:ascii="Times New Roman" w:hAnsi="Times New Roman" w:cs="Times New Roman" w:eastAsia="Times New Roman" w:hint="default"/>
        </w:rPr>
        <w:t>4</w:t>
      </w:r>
      <w:r>
        <w:rPr/>
        <w:t>）根据与聂静签订的《股权转让协议》，约定在无锡易广企业管理有限公司</w:t>
      </w:r>
      <w:r>
        <w:rPr>
          <w:rFonts w:ascii="Times New Roman" w:hAnsi="Times New Roman" w:cs="Times New Roman" w:eastAsia="Times New Roman" w:hint="default"/>
        </w:rPr>
        <w:t>2018</w:t>
      </w:r>
      <w:r>
        <w:rPr/>
        <w:t>年度审定报表出具，并确认</w:t>
      </w:r>
      <w:r>
        <w:rPr>
          <w:rFonts w:ascii="Times New Roman" w:hAnsi="Times New Roman" w:cs="Times New Roman" w:eastAsia="Times New Roman" w:hint="default"/>
        </w:rPr>
        <w:t>2018 </w:t>
      </w:r>
      <w:r>
        <w:rPr/>
        <w:t>年度承诺扣非净利润完成后，支付股权转让价款</w:t>
      </w:r>
      <w:r>
        <w:rPr>
          <w:rFonts w:ascii="Times New Roman" w:hAnsi="Times New Roman" w:cs="Times New Roman" w:eastAsia="Times New Roman" w:hint="default"/>
        </w:rPr>
        <w:t>4,264,000.00</w:t>
      </w:r>
      <w:r>
        <w:rPr/>
        <w:t>元，故将其调整至一年内到期的非流动负债。</w:t>
      </w:r>
    </w:p>
    <w:p>
      <w:pPr>
        <w:pStyle w:val="BodyText"/>
        <w:spacing w:line="300" w:lineRule="auto" w:before="13"/>
        <w:ind w:right="1132" w:firstLine="480"/>
        <w:jc w:val="both"/>
      </w:pPr>
      <w:r>
        <w:rPr/>
        <w:t>（</w:t>
      </w:r>
      <w:r>
        <w:rPr>
          <w:rFonts w:ascii="Times New Roman" w:hAnsi="Times New Roman" w:cs="Times New Roman" w:eastAsia="Times New Roman" w:hint="default"/>
        </w:rPr>
        <w:t>5</w:t>
      </w:r>
      <w:r>
        <w:rPr/>
        <w:t>）根据与杨佩剑、聂静签订的《股权转让协议》，约定在无锡易真企业管理有限公司</w:t>
      </w:r>
      <w:r>
        <w:rPr>
          <w:rFonts w:ascii="Times New Roman" w:hAnsi="Times New Roman" w:cs="Times New Roman" w:eastAsia="Times New Roman" w:hint="default"/>
        </w:rPr>
        <w:t>2018</w:t>
      </w:r>
      <w:r>
        <w:rPr/>
        <w:t>年度审定报表出具，并 确认</w:t>
      </w:r>
      <w:r>
        <w:rPr>
          <w:rFonts w:ascii="Times New Roman" w:hAnsi="Times New Roman" w:cs="Times New Roman" w:eastAsia="Times New Roman" w:hint="default"/>
        </w:rPr>
        <w:t>2018</w:t>
      </w:r>
      <w:r>
        <w:rPr/>
        <w:t>年度承诺扣非净利润完成后，支付股权转让价款</w:t>
      </w:r>
      <w:r>
        <w:rPr>
          <w:rFonts w:ascii="Times New Roman" w:hAnsi="Times New Roman" w:cs="Times New Roman" w:eastAsia="Times New Roman" w:hint="default"/>
        </w:rPr>
        <w:t>4,120,000.00</w:t>
      </w:r>
      <w:r>
        <w:rPr/>
        <w:t>元，故将其调整至一年内到期的非流动负债。</w:t>
      </w:r>
    </w:p>
    <w:p>
      <w:pPr>
        <w:pStyle w:val="BodyText"/>
        <w:spacing w:line="300" w:lineRule="auto" w:before="13"/>
        <w:ind w:right="1138" w:firstLine="480"/>
        <w:jc w:val="both"/>
      </w:pPr>
      <w:r>
        <w:rPr/>
        <w:t>（</w:t>
      </w:r>
      <w:r>
        <w:rPr>
          <w:rFonts w:ascii="Times New Roman" w:hAnsi="Times New Roman" w:cs="Times New Roman" w:eastAsia="Times New Roman" w:hint="default"/>
        </w:rPr>
        <w:t>6</w:t>
      </w:r>
      <w:r>
        <w:rPr/>
        <w:t>）根据本公司之孙公司易桥快马公司与所属合资公司签订的《股权转让协议》，约定在上述公司完成承诺的扣非 净利润后，支付股权转让价款</w:t>
      </w:r>
      <w:r>
        <w:rPr>
          <w:rFonts w:ascii="宋体" w:hAnsi="宋体" w:cs="宋体" w:eastAsia="宋体" w:hint="default"/>
        </w:rPr>
        <w:t>82,390,450.00</w:t>
      </w:r>
      <w:r>
        <w:rPr/>
        <w:t>元，故将其调整至一年内到期的非流动负债。</w:t>
      </w:r>
    </w:p>
    <w:p>
      <w:pPr>
        <w:pStyle w:val="BodyText"/>
        <w:spacing w:line="300" w:lineRule="auto" w:before="31"/>
        <w:ind w:right="1138" w:firstLine="480"/>
        <w:jc w:val="both"/>
      </w:pPr>
      <w:r>
        <w:rPr/>
        <w:t>（</w:t>
      </w:r>
      <w:r>
        <w:rPr>
          <w:rFonts w:ascii="Times New Roman" w:hAnsi="Times New Roman" w:cs="Times New Roman" w:eastAsia="Times New Roman" w:hint="default"/>
        </w:rPr>
        <w:t>7</w:t>
      </w:r>
      <w:r>
        <w:rPr/>
        <w:t>）根据本公司之子公司快马财税公司与所属合资公司签订的《股权转让协议》，约定在上述公司完成承诺的扣非 净利润后，支付股权转让价款</w:t>
      </w:r>
      <w:r>
        <w:rPr>
          <w:rFonts w:ascii="宋体" w:hAnsi="宋体" w:cs="宋体" w:eastAsia="宋体" w:hint="default"/>
        </w:rPr>
        <w:t>262,437,776.64</w:t>
      </w:r>
      <w:r>
        <w:rPr/>
        <w:t>元，故将其调整至一年内到期的非流动负债。</w:t>
      </w:r>
    </w:p>
    <w:p>
      <w:pPr>
        <w:pStyle w:val="BodyText"/>
        <w:spacing w:line="300" w:lineRule="auto" w:before="31"/>
        <w:ind w:right="1132" w:firstLine="480"/>
        <w:jc w:val="both"/>
      </w:pPr>
      <w:r>
        <w:rPr>
          <w:spacing w:val="-2"/>
        </w:rPr>
        <w:t>（</w:t>
      </w:r>
      <w:r>
        <w:rPr>
          <w:rFonts w:ascii="Times New Roman" w:hAnsi="Times New Roman" w:cs="Times New Roman" w:eastAsia="Times New Roman" w:hint="default"/>
          <w:spacing w:val="-2"/>
        </w:rPr>
        <w:t>8</w:t>
      </w:r>
      <w:r>
        <w:rPr>
          <w:spacing w:val="-2"/>
        </w:rPr>
        <w:t>）公司本年度向中国银行股份有限公司西宁市城西支行取得</w:t>
      </w:r>
      <w:r>
        <w:rPr>
          <w:rFonts w:ascii="Times New Roman" w:hAnsi="Times New Roman" w:cs="Times New Roman" w:eastAsia="Times New Roman" w:hint="default"/>
          <w:spacing w:val="-2"/>
        </w:rPr>
        <w:t>10</w:t>
      </w:r>
      <w:r>
        <w:rPr>
          <w:spacing w:val="-2"/>
        </w:rPr>
        <w:t>年期抵押借款</w:t>
      </w:r>
      <w:r>
        <w:rPr>
          <w:rFonts w:ascii="Times New Roman" w:hAnsi="Times New Roman" w:cs="Times New Roman" w:eastAsia="Times New Roman" w:hint="default"/>
          <w:spacing w:val="-2"/>
        </w:rPr>
        <w:t>34,000,000.00</w:t>
      </w:r>
      <w:r>
        <w:rPr>
          <w:spacing w:val="-2"/>
        </w:rPr>
        <w:t>元，还款方式为按月等额</w:t>
      </w:r>
      <w:r>
        <w:rPr/>
        <w:t> 本息还款，故将于</w:t>
      </w:r>
      <w:r>
        <w:rPr>
          <w:rFonts w:ascii="Times New Roman" w:hAnsi="Times New Roman" w:cs="Times New Roman" w:eastAsia="Times New Roman" w:hint="default"/>
        </w:rPr>
        <w:t>2019</w:t>
      </w:r>
      <w:r>
        <w:rPr/>
        <w:t>年到期的</w:t>
      </w:r>
      <w:r>
        <w:rPr>
          <w:rFonts w:ascii="Times New Roman" w:hAnsi="Times New Roman" w:cs="Times New Roman" w:eastAsia="Times New Roman" w:hint="default"/>
        </w:rPr>
        <w:t>3,400,000.00</w:t>
      </w:r>
      <w:r>
        <w:rPr/>
        <w:t>元调整至一年内到期的非流动负债。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0"/>
        <w:jc w:val="left"/>
        <w:rPr>
          <w:b w:val="0"/>
          <w:bCs w:val="0"/>
        </w:rPr>
      </w:pPr>
      <w:bookmarkStart w:name="29、其他流动负债" w:id="302"/>
      <w:bookmarkEnd w:id="302"/>
      <w:r>
        <w:rPr>
          <w:b w:val="0"/>
          <w:bCs w:val="0"/>
        </w:rPr>
      </w:r>
      <w:r>
        <w:rPr>
          <w:rFonts w:ascii="Times New Roman" w:hAnsi="Times New Roman" w:cs="Times New Roman" w:eastAsia="Times New Roman" w:hint="default"/>
        </w:rPr>
        <w:t>29</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长期借款" w:id="303"/>
      <w:bookmarkEnd w:id="303"/>
      <w:r>
        <w:rPr>
          <w:b w:val="0"/>
          <w:bCs w:val="0"/>
        </w:rPr>
      </w:r>
      <w:r>
        <w:rPr>
          <w:rFonts w:ascii="Times New Roman" w:hAnsi="Times New Roman" w:cs="Times New Roman" w:eastAsia="Times New Roman" w:hint="default"/>
        </w:rPr>
        <w:t>30</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04"/>
      <w:bookmarkEnd w:id="30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32,380,225.14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28,980,225.14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8592"/>
        <w:jc w:val="left"/>
      </w:pPr>
      <w:r>
        <w:rPr/>
        <w:t>长期借款分类的说明： 其他说明，包括利率区间：</w:t>
      </w:r>
    </w:p>
    <w:p>
      <w:pPr>
        <w:spacing w:after="0" w:line="36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1、应付债券" w:id="305"/>
      <w:bookmarkEnd w:id="305"/>
      <w:r>
        <w:rPr>
          <w:b w:val="0"/>
          <w:bCs w:val="0"/>
        </w:rPr>
      </w:r>
      <w:r>
        <w:rPr>
          <w:rFonts w:ascii="Times New Roman" w:hAnsi="Times New Roman" w:cs="Times New Roman" w:eastAsia="Times New Roman" w:hint="default"/>
        </w:rPr>
        <w:t>31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306"/>
      <w:bookmarkEnd w:id="30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不包括划分为金融负债的优先股、永续债等其他金融工具）" w:id="307"/>
      <w:bookmarkEnd w:id="30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08"/>
      <w:bookmarkEnd w:id="30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09"/>
      <w:bookmarkEnd w:id="30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357"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2、长期应付款" w:id="310"/>
      <w:bookmarkEnd w:id="310"/>
      <w:r>
        <w:rPr>
          <w:b w:val="0"/>
          <w:bCs w:val="0"/>
        </w:rPr>
      </w:r>
      <w:r>
        <w:rPr>
          <w:rFonts w:ascii="Times New Roman" w:hAnsi="Times New Roman" w:cs="Times New Roman" w:eastAsia="Times New Roman" w:hint="default"/>
        </w:rPr>
        <w:t>32</w:t>
      </w:r>
      <w:r>
        <w:rPr/>
        <w:t>、长期应付款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按款项性质列示长期应付款" w:id="311"/>
      <w:bookmarkEnd w:id="31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专项应付款" w:id="312"/>
      <w:bookmarkEnd w:id="31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3、长期应付职工薪酬" w:id="313"/>
      <w:bookmarkEnd w:id="313"/>
      <w:r>
        <w:rPr>
          <w:b w:val="0"/>
          <w:bCs w:val="0"/>
        </w:rPr>
      </w:r>
      <w:r>
        <w:rPr>
          <w:rFonts w:ascii="Times New Roman" w:hAnsi="Times New Roman" w:cs="Times New Roman" w:eastAsia="Times New Roman" w:hint="default"/>
        </w:rPr>
        <w:t>33</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14"/>
      <w:bookmarkEnd w:id="31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15"/>
      <w:bookmarkEnd w:id="31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2"/>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预计负债" w:id="316"/>
      <w:bookmarkEnd w:id="316"/>
      <w:r>
        <w:rPr>
          <w:b w:val="0"/>
          <w:bCs w:val="0"/>
        </w:rPr>
      </w:r>
      <w:r>
        <w:rPr>
          <w:rFonts w:ascii="Times New Roman" w:hAnsi="Times New Roman" w:cs="Times New Roman" w:eastAsia="Times New Roman" w:hint="default"/>
        </w:rPr>
        <w:t>34</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递延收益" w:id="317"/>
      <w:bookmarkEnd w:id="317"/>
      <w:r>
        <w:rPr>
          <w:b w:val="0"/>
          <w:bCs w:val="0"/>
        </w:rPr>
      </w:r>
      <w:r>
        <w:rPr>
          <w:rFonts w:ascii="Times New Roman" w:hAnsi="Times New Roman" w:cs="Times New Roman" w:eastAsia="Times New Roman" w:hint="default"/>
        </w:rPr>
        <w:t>35</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6、其他非流动负债" w:id="318"/>
      <w:bookmarkEnd w:id="318"/>
      <w:r>
        <w:rPr>
          <w:b w:val="0"/>
          <w:bCs w:val="0"/>
        </w:rPr>
      </w:r>
      <w:r>
        <w:rPr>
          <w:rFonts w:ascii="Times New Roman" w:hAnsi="Times New Roman" w:cs="Times New Roman" w:eastAsia="Times New Roman" w:hint="default"/>
        </w:rPr>
        <w:t>36</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应付股权价款注①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617,014,727.14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286,709,200.00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应付业绩奖励注②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16,933,771.48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8,064,024.77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633,948,498.62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294,773,224.77</w:t>
            </w:r>
          </w:p>
        </w:tc>
      </w:tr>
    </w:tbl>
    <w:p>
      <w:pPr>
        <w:pStyle w:val="BodyText"/>
        <w:spacing w:line="357" w:lineRule="auto" w:before="51"/>
        <w:ind w:right="4002"/>
        <w:jc w:val="left"/>
      </w:pPr>
      <w:r>
        <w:rPr/>
        <w:t>其他说明： 注</w:t>
      </w:r>
      <w:r>
        <w:rPr>
          <w:rFonts w:ascii="Times New Roman" w:hAnsi="Times New Roman" w:cs="Times New Roman" w:eastAsia="Times New Roman" w:hint="default"/>
        </w:rPr>
        <w:t>1</w:t>
      </w:r>
      <w:r>
        <w:rPr/>
        <w:t>、系根据与各方签订的《股权转让协议》约定将在以后期间支付的股权转让价款；</w:t>
      </w:r>
    </w:p>
    <w:p>
      <w:pPr>
        <w:pStyle w:val="BodyText"/>
        <w:spacing w:line="214" w:lineRule="exact"/>
        <w:ind w:right="0"/>
        <w:jc w:val="left"/>
      </w:pPr>
      <w:r>
        <w:rPr/>
        <w:t>注</w:t>
      </w:r>
      <w:r>
        <w:rPr>
          <w:rFonts w:ascii="Times New Roman" w:hAnsi="Times New Roman" w:cs="Times New Roman" w:eastAsia="Times New Roman" w:hint="default"/>
        </w:rPr>
        <w:t>2</w:t>
      </w:r>
      <w:r>
        <w:rPr/>
        <w:t>、系根据与各方签订的《盈利补偿协议》约定各单位完成承诺利润后计算的应付业绩奖励款。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7、股本" w:id="319"/>
      <w:bookmarkEnd w:id="319"/>
      <w:r>
        <w:rPr>
          <w:b w:val="0"/>
          <w:bCs w:val="0"/>
        </w:rPr>
      </w:r>
      <w:r>
        <w:rPr>
          <w:rFonts w:ascii="Times New Roman" w:hAnsi="Times New Roman" w:cs="Times New Roman" w:eastAsia="Times New Roman" w:hint="default"/>
        </w:rPr>
        <w:t>37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765,799,353.00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765,799,353.00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8、其他权益工具" w:id="320"/>
      <w:bookmarkEnd w:id="320"/>
      <w:r>
        <w:rPr>
          <w:b w:val="0"/>
          <w:bCs w:val="0"/>
        </w:rPr>
      </w:r>
      <w:r>
        <w:rPr>
          <w:rFonts w:ascii="Times New Roman" w:hAnsi="Times New Roman" w:cs="Times New Roman" w:eastAsia="Times New Roman" w:hint="default"/>
        </w:rPr>
        <w:t>38</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w:id="321"/>
      <w:bookmarkEnd w:id="32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w:id="322"/>
      <w:bookmarkEnd w:id="32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9、资本公积" w:id="323"/>
      <w:bookmarkEnd w:id="323"/>
      <w:r>
        <w:rPr>
          <w:b w:val="0"/>
          <w:bCs w:val="0"/>
        </w:rPr>
      </w:r>
      <w:r>
        <w:rPr>
          <w:rFonts w:ascii="Times New Roman" w:hAnsi="Times New Roman" w:cs="Times New Roman" w:eastAsia="Times New Roman" w:hint="default"/>
        </w:rPr>
        <w:t>39</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2,073,111,762.41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52,454,658.10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2,020,657,104.31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14,648,283.46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5,125,945.28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19,774,228.74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2,087,760,045.87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5,125,945.28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52,454,658.10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2,040,431,333.05</w:t>
            </w:r>
          </w:p>
        </w:tc>
      </w:tr>
    </w:tbl>
    <w:p>
      <w:pPr>
        <w:pStyle w:val="BodyText"/>
        <w:spacing w:line="240" w:lineRule="auto" w:before="51"/>
        <w:ind w:right="0"/>
        <w:jc w:val="left"/>
      </w:pPr>
      <w:r>
        <w:rPr/>
        <w:t>其他说明，包括本期增减变动情况、变动原因说明：</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00" w:lineRule="auto" w:before="44"/>
        <w:ind w:left="634" w:right="0"/>
        <w:jc w:val="left"/>
      </w:pPr>
      <w:r>
        <w:rPr/>
        <w:t>注</w:t>
      </w:r>
      <w:r>
        <w:rPr>
          <w:rFonts w:ascii="Times New Roman" w:hAnsi="Times New Roman" w:cs="Times New Roman" w:eastAsia="Times New Roman" w:hint="default"/>
        </w:rPr>
        <w:t>1</w:t>
      </w:r>
      <w:r>
        <w:rPr/>
        <w:t>、本期增加为本年度公司根据股票期权激励计划确认的股份支付费用。 注</w:t>
      </w:r>
      <w:r>
        <w:rPr>
          <w:rFonts w:ascii="Times New Roman" w:hAnsi="Times New Roman" w:cs="Times New Roman" w:eastAsia="Times New Roman" w:hint="default"/>
        </w:rPr>
        <w:t>2</w:t>
      </w:r>
      <w:r>
        <w:rPr/>
        <w:t>、本期减少为公司之子公司易桥财税科技进一步收购控股子公司宁波神州开元会计服务有限公司</w:t>
      </w:r>
      <w:r>
        <w:rPr>
          <w:rFonts w:ascii="Times New Roman" w:hAnsi="Times New Roman" w:cs="Times New Roman" w:eastAsia="Times New Roman" w:hint="default"/>
        </w:rPr>
        <w:t>20%</w:t>
      </w:r>
      <w:r>
        <w:rPr/>
        <w:t>少数股东权</w:t>
      </w:r>
    </w:p>
    <w:p>
      <w:pPr>
        <w:pStyle w:val="BodyText"/>
        <w:spacing w:line="300" w:lineRule="auto" w:before="13"/>
        <w:ind w:right="1130"/>
        <w:jc w:val="both"/>
      </w:pPr>
      <w:r>
        <w:rPr/>
        <w:t>益，按照支付股权转让价款</w:t>
      </w:r>
      <w:r>
        <w:rPr>
          <w:rFonts w:ascii="Times New Roman" w:hAnsi="Times New Roman" w:cs="Times New Roman" w:eastAsia="Times New Roman" w:hint="default"/>
        </w:rPr>
        <w:t>90,000,000.00</w:t>
      </w:r>
      <w:r>
        <w:rPr/>
        <w:t>元与收购</w:t>
      </w:r>
      <w:r>
        <w:rPr>
          <w:rFonts w:ascii="Times New Roman" w:hAnsi="Times New Roman" w:cs="Times New Roman" w:eastAsia="Times New Roman" w:hint="default"/>
        </w:rPr>
        <w:t>20%</w:t>
      </w:r>
      <w:r>
        <w:rPr/>
        <w:t>股权应享有的公允价值差额</w:t>
      </w:r>
      <w:r>
        <w:rPr>
          <w:rFonts w:ascii="Times New Roman" w:hAnsi="Times New Roman" w:cs="Times New Roman" w:eastAsia="Times New Roman" w:hint="default"/>
        </w:rPr>
        <w:t>76,332,569.81</w:t>
      </w:r>
      <w:r>
        <w:rPr/>
        <w:t>元在合并报表层面冲减资本</w:t>
      </w:r>
      <w:r>
        <w:rPr>
          <w:spacing w:val="-61"/>
        </w:rPr>
        <w:t> </w:t>
      </w:r>
      <w:r>
        <w:rPr>
          <w:spacing w:val="-61"/>
        </w:rPr>
      </w:r>
      <w:r>
        <w:rPr>
          <w:spacing w:val="12"/>
        </w:rPr>
        <w:t>公积；同时，公司本期进一步收购子公司企业管家控股子公司易桥快马公司</w:t>
      </w:r>
      <w:r>
        <w:rPr>
          <w:spacing w:val="-52"/>
        </w:rPr>
        <w:t> </w:t>
      </w:r>
      <w:r>
        <w:rPr>
          <w:rFonts w:ascii="Times New Roman" w:hAnsi="Times New Roman" w:cs="Times New Roman" w:eastAsia="Times New Roman" w:hint="default"/>
          <w:spacing w:val="10"/>
        </w:rPr>
        <w:t>25%</w:t>
      </w:r>
      <w:r>
        <w:rPr>
          <w:spacing w:val="10"/>
        </w:rPr>
        <w:t>少数股东权益，支付股权转让价款</w:t>
      </w:r>
      <w:r>
        <w:rPr>
          <w:spacing w:val="-63"/>
        </w:rPr>
        <w:t> </w:t>
      </w:r>
      <w:r>
        <w:rPr>
          <w:spacing w:val="-63"/>
        </w:rPr>
      </w:r>
      <w:r>
        <w:rPr>
          <w:rFonts w:ascii="Times New Roman" w:hAnsi="Times New Roman" w:cs="Times New Roman" w:eastAsia="Times New Roman" w:hint="default"/>
        </w:rPr>
        <w:t>100,000,000.00</w:t>
      </w:r>
      <w:r>
        <w:rPr/>
        <w:t>元，与收购</w:t>
      </w:r>
      <w:r>
        <w:rPr>
          <w:rFonts w:ascii="Times New Roman" w:hAnsi="Times New Roman" w:cs="Times New Roman" w:eastAsia="Times New Roman" w:hint="default"/>
        </w:rPr>
        <w:t>25%</w:t>
      </w:r>
      <w:r>
        <w:rPr/>
        <w:t>股权应享有的公允价值差额</w:t>
      </w:r>
      <w:r>
        <w:rPr>
          <w:rFonts w:ascii="Times New Roman" w:hAnsi="Times New Roman" w:cs="Times New Roman" w:eastAsia="Times New Roman" w:hint="default"/>
        </w:rPr>
        <w:t>23,877,911.71</w:t>
      </w:r>
      <w:r>
        <w:rPr/>
        <w:t>元在合并报表层面增加资本公积。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0"/>
        <w:jc w:val="both"/>
        <w:rPr>
          <w:b w:val="0"/>
          <w:bCs w:val="0"/>
        </w:rPr>
      </w:pPr>
      <w:bookmarkStart w:name="40、库存股" w:id="324"/>
      <w:bookmarkEnd w:id="324"/>
      <w:r>
        <w:rPr>
          <w:b w:val="0"/>
          <w:bCs w:val="0"/>
        </w:rPr>
      </w:r>
      <w:r>
        <w:rPr>
          <w:rFonts w:ascii="Times New Roman" w:hAnsi="Times New Roman" w:cs="Times New Roman" w:eastAsia="Times New Roman" w:hint="default"/>
        </w:rPr>
        <w:t>40</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1、其他综合收益" w:id="325"/>
      <w:bookmarkEnd w:id="325"/>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7,481,773.91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9,975,698.54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-2,493,924.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-7,481,773.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7,481,773.91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9,975,698.54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-2,493,924.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-7,481,773.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7,481,773.91</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9,975,698.54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-2,493,924.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-7,481,773.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专项储备" w:id="326"/>
      <w:bookmarkEnd w:id="326"/>
      <w:r>
        <w:rPr>
          <w:b w:val="0"/>
          <w:bCs w:val="0"/>
        </w:rPr>
      </w:r>
      <w:r>
        <w:rPr>
          <w:rFonts w:ascii="Times New Roman" w:hAnsi="Times New Roman" w:cs="Times New Roman" w:eastAsia="Times New Roman" w:hint="default"/>
        </w:rPr>
        <w:t>42</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3、盈余公积" w:id="327"/>
      <w:bookmarkEnd w:id="327"/>
      <w:r>
        <w:rPr>
          <w:b w:val="0"/>
          <w:bCs w:val="0"/>
        </w:rPr>
      </w:r>
      <w:r>
        <w:rPr>
          <w:rFonts w:ascii="Times New Roman" w:hAnsi="Times New Roman" w:cs="Times New Roman" w:eastAsia="Times New Roman" w:hint="default"/>
        </w:rPr>
        <w:t>43</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28,016,004.53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28,016,004.53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28,016,004.53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28,016,004.53</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4、未分配利润" w:id="328"/>
      <w:bookmarkEnd w:id="328"/>
      <w:r>
        <w:rPr>
          <w:b w:val="0"/>
          <w:bCs w:val="0"/>
        </w:rPr>
      </w:r>
      <w:r>
        <w:rPr>
          <w:rFonts w:ascii="Times New Roman" w:hAnsi="Times New Roman" w:cs="Times New Roman" w:eastAsia="Times New Roman" w:hint="default"/>
        </w:rPr>
        <w:t>44</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-143,597,876.20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-205,561,190.76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-143,597,876.20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-205,561,190.76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93,282,489.53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64,215,586.67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-2,786.65</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-2,252,272.11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-50,318,173.32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-143,597,876.20</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5、营业收入和营业成本" w:id="329"/>
      <w:bookmarkEnd w:id="329"/>
      <w:r>
        <w:rPr>
          <w:b w:val="0"/>
          <w:bCs w:val="0"/>
        </w:rPr>
      </w:r>
      <w:r>
        <w:rPr>
          <w:rFonts w:ascii="Times New Roman" w:hAnsi="Times New Roman" w:cs="Times New Roman" w:eastAsia="Times New Roman" w:hint="default"/>
        </w:rPr>
        <w:t>45</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732,603,420.49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428,186,591.81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502,032,671.72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301,885,294.50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2,536,574.51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2,150,207.91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13,901,813.03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12,919,551.67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735,139,995.00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430,336,799.72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515,934,484.75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314,804,846.17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税金及附加" w:id="330"/>
      <w:bookmarkEnd w:id="330"/>
      <w:r>
        <w:rPr>
          <w:b w:val="0"/>
          <w:bCs w:val="0"/>
        </w:rPr>
      </w:r>
      <w:r>
        <w:rPr>
          <w:rFonts w:ascii="Times New Roman" w:hAnsi="Times New Roman" w:cs="Times New Roman" w:eastAsia="Times New Roman" w:hint="default"/>
        </w:rPr>
        <w:t>46</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2,275,469.48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1,572,502.84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1,605,221.43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1,116,543.91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656,202.33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1,869,148.79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622,211.28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32,486.00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786,119.82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988,262.25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56,056.57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防洪保安费</w:t>
            </w:r>
            <w:r>
              <w:rPr>
                <w:rFonts w:ascii="Times New Roman" w:hAnsi="Times New Roman" w:cs="Times New Roman" w:eastAsia="Times New Roman" w:hint="default"/>
                <w:sz w:val="18"/>
                <w:szCs w:val="18"/>
              </w:rPr>
              <w:t>\</w:t>
            </w: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164,756.76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113,111.56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5,540,483.28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6,391,776.85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7、销售费用" w:id="331"/>
      <w:bookmarkEnd w:id="331"/>
      <w:r>
        <w:rPr>
          <w:b w:val="0"/>
          <w:bCs w:val="0"/>
        </w:rPr>
      </w:r>
      <w:r>
        <w:rPr>
          <w:rFonts w:ascii="Times New Roman" w:hAnsi="Times New Roman" w:cs="Times New Roman" w:eastAsia="Times New Roman" w:hint="default"/>
        </w:rPr>
        <w:t>47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17,238,936.43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46,532,014.67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1,121,879.06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2,278,798.77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运输费装卸费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5,917,775.65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5,294,827.39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1,693,944.34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2,479,660.69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7,404,152.52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83,410,638.46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2,672,440.31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2,129,755.56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1,494,182.59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732,789.94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861,630.27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931,210.32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900,898.17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54,528,706.77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151,842,866.97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管理费用" w:id="332"/>
      <w:bookmarkEnd w:id="332"/>
      <w:r>
        <w:rPr>
          <w:b w:val="0"/>
          <w:bCs w:val="0"/>
        </w:rPr>
      </w:r>
      <w:r>
        <w:rPr>
          <w:rFonts w:ascii="Times New Roman" w:hAnsi="Times New Roman" w:cs="Times New Roman" w:eastAsia="Times New Roman" w:hint="default"/>
        </w:rPr>
        <w:t>48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29,877,911.75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29,056,748.33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164,273.76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9,684,652.06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11,022,408.16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3,192,874.61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3,170,106.48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19,764,129.55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18,774,190.30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3,196,780.00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2,526,442.93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3,410,478.37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14,164,327.97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6,917,633.64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8,511,309.75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3,904,289.92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2,496,742.20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2,469,765.31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2,200,179.54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809,749.31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10,840,140.81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3,232,096.25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17,674.76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56,880.98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7,603,827.22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5,606,144.02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2,605,047.19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22,763,587.59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123,347.92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339,453.78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证券事务费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1,513,086.53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1,196,942.63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227,511.71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633,684.60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369,822.26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967,971.00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13,073,198.48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29,185,685.81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7,589,140.18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687,901.63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5,238,700.00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132,415,913.90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156,878,925.39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9、研发费用" w:id="333"/>
      <w:bookmarkEnd w:id="333"/>
      <w:r>
        <w:rPr>
          <w:b w:val="0"/>
          <w:bCs w:val="0"/>
        </w:rPr>
      </w:r>
      <w:r>
        <w:rPr>
          <w:rFonts w:ascii="Times New Roman" w:hAnsi="Times New Roman" w:cs="Times New Roman" w:eastAsia="Times New Roman" w:hint="default"/>
        </w:rPr>
        <w:t>49</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12,699,750.99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181,322.72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174,334.20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332,544.15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设施费用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49,483.99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84,089.66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2,086,997.00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727,422.96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15,646,763.21</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0、财务费用" w:id="334"/>
      <w:bookmarkEnd w:id="334"/>
      <w:r>
        <w:rPr>
          <w:b w:val="0"/>
          <w:bCs w:val="0"/>
        </w:rPr>
      </w:r>
      <w:r>
        <w:rPr>
          <w:rFonts w:ascii="Times New Roman" w:hAnsi="Times New Roman" w:cs="Times New Roman" w:eastAsia="Times New Roman" w:hint="default"/>
        </w:rPr>
        <w:t>50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2,196,308.03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726,098.45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1,702,917.67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4,449,816.53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76,153.24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383,302.50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235,440.80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876,692.86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-3,412,124.04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1、资产减值损失" w:id="335"/>
      <w:bookmarkEnd w:id="335"/>
      <w:r>
        <w:rPr>
          <w:b w:val="0"/>
          <w:bCs w:val="0"/>
        </w:rPr>
      </w:r>
      <w:r>
        <w:rPr>
          <w:rFonts w:ascii="Times New Roman" w:hAnsi="Times New Roman" w:cs="Times New Roman" w:eastAsia="Times New Roman" w:hint="default"/>
        </w:rPr>
        <w:t>51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3,374,397.07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9,113,948.11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2,064,730.49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3,374,397.07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11,178,678.60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2、其他收益" w:id="336"/>
      <w:bookmarkEnd w:id="336"/>
      <w:r>
        <w:rPr>
          <w:b w:val="0"/>
          <w:bCs w:val="0"/>
        </w:rPr>
      </w:r>
      <w:r>
        <w:rPr>
          <w:rFonts w:ascii="Times New Roman" w:hAnsi="Times New Roman" w:cs="Times New Roman" w:eastAsia="Times New Roman" w:hint="default"/>
        </w:rPr>
        <w:t>52</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收工信委高新企业奖励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日废水减排回用项目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1,785,717.36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419,590.38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463,024.44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中介服务奖励补贴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4,104,964.44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3,515,119.40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投资收益" w:id="337"/>
      <w:bookmarkEnd w:id="337"/>
      <w:r>
        <w:rPr>
          <w:b w:val="0"/>
          <w:bCs w:val="0"/>
        </w:rPr>
      </w:r>
      <w:r>
        <w:rPr>
          <w:rFonts w:ascii="Times New Roman" w:hAnsi="Times New Roman" w:cs="Times New Roman" w:eastAsia="Times New Roman" w:hint="default"/>
        </w:rPr>
        <w:t>53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56,845,976.34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65,438,329.52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1,383,338.04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38,733,519.50</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620,689.50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12,498,373.09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110,272,632.38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3,854,317.38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4,973,960.26</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 计量产生的利得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35,592,646.95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110,174,651.80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220,039,131.16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4、公允价值变动收益" w:id="338"/>
      <w:bookmarkEnd w:id="338"/>
      <w:r>
        <w:rPr>
          <w:b w:val="0"/>
          <w:bCs w:val="0"/>
        </w:rPr>
      </w:r>
      <w:r>
        <w:rPr>
          <w:rFonts w:ascii="Times New Roman" w:hAnsi="Times New Roman" w:cs="Times New Roman" w:eastAsia="Times New Roman" w:hint="default"/>
        </w:rPr>
        <w:t>54</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5、资产处置收益" w:id="339"/>
      <w:bookmarkEnd w:id="339"/>
      <w:r>
        <w:rPr>
          <w:b w:val="0"/>
          <w:bCs w:val="0"/>
        </w:rPr>
      </w:r>
      <w:r>
        <w:rPr>
          <w:rFonts w:ascii="Times New Roman" w:hAnsi="Times New Roman" w:cs="Times New Roman" w:eastAsia="Times New Roman" w:hint="default"/>
        </w:rPr>
        <w:t>55</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固定资产处置损失或者收益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-539,891.94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-84,027.62</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营业外收入" w:id="340"/>
      <w:bookmarkEnd w:id="340"/>
      <w:r>
        <w:rPr>
          <w:b w:val="0"/>
          <w:bCs w:val="0"/>
        </w:rPr>
      </w:r>
      <w:r>
        <w:rPr>
          <w:rFonts w:ascii="Times New Roman" w:hAnsi="Times New Roman" w:cs="Times New Roman" w:eastAsia="Times New Roman" w:hint="default"/>
        </w:rPr>
        <w:t>56</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1,279,738.84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724,116.74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1,279,738.84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22,833,719.48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1,353,845.25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22,833,719.48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2,873.49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24,113,458.32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39,155,889.22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24,113,458.32</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7、营业外支出" w:id="341"/>
      <w:bookmarkEnd w:id="341"/>
      <w:r>
        <w:rPr>
          <w:b w:val="0"/>
          <w:bCs w:val="0"/>
        </w:rPr>
      </w:r>
      <w:r>
        <w:rPr>
          <w:rFonts w:ascii="Times New Roman" w:hAnsi="Times New Roman" w:cs="Times New Roman" w:eastAsia="Times New Roman" w:hint="default"/>
        </w:rPr>
        <w:t>57</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111,064.19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111,064.19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98,418.41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业绩补偿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9,828,991.06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7,943,590.01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9,828,991.06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7,631,454.02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2,328,285.74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1,058,873.62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2,328,285.74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处置长期资产损失（注）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79,397,756.31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79,397,756.31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91,876,890.91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19,735,864.06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91,876,890.91</w:t>
            </w:r>
          </w:p>
        </w:tc>
      </w:tr>
    </w:tbl>
    <w:p>
      <w:pPr>
        <w:pStyle w:val="BodyText"/>
        <w:spacing w:line="240" w:lineRule="auto" w:before="51"/>
        <w:ind w:right="0"/>
        <w:jc w:val="left"/>
      </w:pPr>
      <w:r>
        <w:rPr/>
        <w:t>其他说明：</w:t>
      </w:r>
    </w:p>
    <w:p>
      <w:pPr>
        <w:pStyle w:val="BodyText"/>
        <w:spacing w:line="316" w:lineRule="auto" w:before="116"/>
        <w:ind w:right="0" w:firstLine="480"/>
        <w:jc w:val="left"/>
      </w:pPr>
      <w:r>
        <w:rPr>
          <w:spacing w:val="-1"/>
        </w:rPr>
        <w:t>注：本报告期公司子公司快马财税和孙公司易桥快马、霍尔果斯神州易桥股权投资合伙企业（有限合伙）与终端资产</w:t>
      </w:r>
      <w:r>
        <w:rPr/>
        <w:t> 原股东签署《终止合作协议》，处置终端资产设立的分公司分别形成资产处置损失</w:t>
      </w:r>
      <w:r>
        <w:rPr>
          <w:rFonts w:ascii="Times New Roman" w:hAnsi="Times New Roman" w:cs="Times New Roman" w:eastAsia="Times New Roman" w:hint="default"/>
        </w:rPr>
        <w:t>71,325,917.20</w:t>
      </w:r>
      <w:r>
        <w:rPr/>
        <w:t>元和</w:t>
      </w:r>
      <w:r>
        <w:rPr>
          <w:rFonts w:ascii="Times New Roman" w:hAnsi="Times New Roman" w:cs="Times New Roman" w:eastAsia="Times New Roman" w:hint="default"/>
        </w:rPr>
        <w:t>8,071,839.11</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5"/>
        <w:ind w:right="0"/>
        <w:jc w:val="left"/>
        <w:rPr>
          <w:b w:val="0"/>
          <w:bCs w:val="0"/>
        </w:rPr>
      </w:pPr>
      <w:bookmarkStart w:name="58、所得税费用" w:id="342"/>
      <w:bookmarkEnd w:id="342"/>
      <w:r>
        <w:rPr>
          <w:b w:val="0"/>
          <w:bCs w:val="0"/>
        </w:rPr>
      </w:r>
      <w:r>
        <w:rPr>
          <w:rFonts w:ascii="Times New Roman" w:hAnsi="Times New Roman" w:cs="Times New Roman" w:eastAsia="Times New Roman" w:hint="default"/>
        </w:rPr>
        <w:t>58</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43"/>
      <w:bookmarkEnd w:id="34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42,846,904.12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18,200,430.01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-579,714.96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9,700,706.40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42,267,189.16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27,901,136.41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44"/>
      <w:bookmarkEnd w:id="34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153,315,870.15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38,328,967.54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-6,227,299.15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3,047,560.16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-35,625,989.76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24,001,855.92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-54,233.75</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18,796,328.20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42,267,189.16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9、其他综合收益" w:id="345"/>
      <w:bookmarkEnd w:id="345"/>
      <w:r>
        <w:rPr>
          <w:b w:val="0"/>
          <w:bCs w:val="0"/>
        </w:rPr>
      </w:r>
      <w:r>
        <w:rPr>
          <w:rFonts w:ascii="Times New Roman" w:hAnsi="Times New Roman" w:cs="Times New Roman" w:eastAsia="Times New Roman" w:hint="default"/>
        </w:rPr>
        <w:t>59</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0、现金流量表项目" w:id="346"/>
      <w:bookmarkEnd w:id="346"/>
      <w:r>
        <w:rPr>
          <w:b w:val="0"/>
          <w:bCs w:val="0"/>
        </w:rPr>
      </w:r>
      <w:r>
        <w:rPr>
          <w:rFonts w:ascii="Times New Roman" w:hAnsi="Times New Roman" w:cs="Times New Roman" w:eastAsia="Times New Roman" w:hint="default"/>
        </w:rPr>
        <w:t>60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47"/>
      <w:bookmarkEnd w:id="34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1,702,917.67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4,449,816.53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3,714,626.24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1,519,590.38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14,476.80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27,716,419.83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15,169,003.21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收到职工返还款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2,565,870.31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1,981,748.02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收税务返还个人所得税手续费及其他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273,195.38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收到上年度多交的所得税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154,993.18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109,836.17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287,789.54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收服务商保证金及其他押金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1,942,935.80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37,926,519.41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23,723,699.39</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48"/>
      <w:bookmarkEnd w:id="34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付现销售费用、管理费用金额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109,218,979.81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175,377,187.31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3,278,485.11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15,622,756.00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13,197,485.06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10,165,323.19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罚款、赔偿及滞纳金支出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131,483.28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101,946.41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垫付合伙企业往来款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8,407,074.66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1,944,533.51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7,387,952.36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498,824.48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141,807,660.28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206,710,570.90</w:t>
            </w:r>
          </w:p>
        </w:tc>
      </w:tr>
    </w:tbl>
    <w:p>
      <w:pPr>
        <w:pStyle w:val="BodyText"/>
        <w:spacing w:line="240" w:lineRule="auto" w:before="51"/>
        <w:ind w:right="0"/>
        <w:jc w:val="left"/>
      </w:pPr>
      <w:r>
        <w:rPr/>
        <w:t>支付的其他与经营活动有关的现金说明：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收到的其他与投资活动有关的现金" w:id="349"/>
      <w:bookmarkEnd w:id="34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赎回理财产品收到的现金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346,169,517.18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346,169,517.18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744,000,000.00</w:t>
            </w:r>
          </w:p>
        </w:tc>
      </w:tr>
    </w:tbl>
    <w:p>
      <w:pPr>
        <w:pStyle w:val="BodyText"/>
        <w:spacing w:line="240" w:lineRule="auto" w:before="51"/>
        <w:ind w:right="0"/>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50"/>
      <w:bookmarkEnd w:id="35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188,326,200.00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处置长期资产收回的现金负数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93,274,006.05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账户冻结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13,549,771.56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295,149,977.61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838,000,000.00</w:t>
            </w:r>
          </w:p>
        </w:tc>
      </w:tr>
    </w:tbl>
    <w:p>
      <w:pPr>
        <w:pStyle w:val="BodyText"/>
        <w:spacing w:line="240" w:lineRule="auto" w:before="51"/>
        <w:ind w:right="0"/>
        <w:jc w:val="left"/>
      </w:pPr>
      <w:r>
        <w:rPr/>
        <w:t>支付的其他与投资活动有关的现金说明：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5）收到的其他与筹资活动有关的现金" w:id="351"/>
      <w:bookmarkEnd w:id="35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收湖北宜景常弘科技有限公司代付青海 明胶有限责任公司欠款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99,388,768.52</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收深圳树泰科技有限公司代到付青海明 诺胶囊有限公司欠款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24,668,900.94</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收湖北盛木科技有限公司代付柳州市宏 升胶原蛋白肠衣有限公司欠款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9,853,102.06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收深圳德木实业有限公司代付广东明洋 明胶有限责任公司欠款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19,853,201.52</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收回河南焦作金箭实业有限公司资金占 用款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6,737,413.55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收股权退还款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112,993,252.36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112,993,252.36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160,501,386.59</w:t>
            </w:r>
          </w:p>
        </w:tc>
      </w:tr>
    </w:tbl>
    <w:p>
      <w:pPr>
        <w:pStyle w:val="BodyText"/>
        <w:spacing w:line="240" w:lineRule="auto" w:before="51"/>
        <w:ind w:right="0"/>
        <w:jc w:val="left"/>
      </w:pPr>
      <w:r>
        <w:rPr/>
        <w:t>收到的其他与筹资活动有关的现金说明：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92.169983pt;width:151.25pt;height:40.9pt;mso-position-horizontal-relative:page;mso-position-vertical-relative:page;z-index:-1038232" coordorigin="4467,13843" coordsize="3025,818">
            <v:group style="position:absolute;left:4478;top:13855;width:2;height:393" coordorigin="4478,13855" coordsize="2,393">
              <v:shape style="position:absolute;left:4478;top:13855;width:2;height:393" coordorigin="4478,13855" coordsize="0,393" path="m4478,13855l4478,14248e" filled="false" stroked="true" strokeweight="1.140pt" strokecolor="#ffffff">
                <v:path arrowok="t"/>
              </v:shape>
            </v:group>
            <v:group style="position:absolute;left:4490;top:13855;width:3002;height:393" coordorigin="4490,13855" coordsize="3002,393">
              <v:shape style="position:absolute;left:4490;top:13855;width:3002;height:393" coordorigin="4490,13855" coordsize="3002,393" path="m4490,14248l7491,14248,7491,13855,4490,13855,4490,14248xe" filled="true" fillcolor="#ffffff" stroked="false">
                <v:path arrowok="t"/>
                <v:fill type="solid"/>
              </v:shape>
            </v:group>
            <v:group style="position:absolute;left:4478;top:14257;width:2;height:393" coordorigin="4478,14257" coordsize="2,393">
              <v:shape style="position:absolute;left:4478;top:14257;width:2;height:393" coordorigin="4478,14257" coordsize="0,393" path="m4478,14257l4478,14650e" filled="false" stroked="true" strokeweight="1.140pt" strokecolor="#ffffff">
                <v:path arrowok="t"/>
              </v:shape>
            </v:group>
            <v:group style="position:absolute;left:4490;top:14257;width:3002;height:393" coordorigin="4490,14257" coordsize="3002,393">
              <v:shape style="position:absolute;left:4490;top:14257;width:3002;height:393" coordorigin="4490,14257" coordsize="3002,393" path="m4490,14650l7491,14650,7491,14257,4490,14257,4490,14650xe" filled="true" fillcolor="#ffffff" stroked="false">
                <v:path arrowok="t"/>
                <v:fill type="solid"/>
              </v:shape>
            </v:group>
            <w10:wrap type="none"/>
          </v:group>
        </w:pict>
      </w:r>
    </w:p>
    <w:p>
      <w:pPr>
        <w:pStyle w:val="Heading3"/>
        <w:spacing w:line="240" w:lineRule="auto" w:before="35"/>
        <w:ind w:right="0"/>
        <w:jc w:val="left"/>
        <w:rPr>
          <w:b w:val="0"/>
          <w:bCs w:val="0"/>
        </w:rPr>
      </w:pPr>
      <w:bookmarkStart w:name="（6）支付的其他与筹资活动有关的现金" w:id="352"/>
      <w:bookmarkEnd w:id="35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孙公司注销向少数股东支付的现金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350,289.57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175,333.88</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支付杭州顺利办企业管理咨询有限公司 往来款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广东明洋明胶有限责任公司支付深圳德 木实业有限公司欠款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非同一控制下跨期支付的收购款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292,833,471.53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支付股权激励证券公司登记费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119,520.00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进一步收购少数股东权益支付的股权价 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483,303,281.10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22,127,333.88</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1、现金流量表补充资料" w:id="353"/>
      <w:bookmarkEnd w:id="353"/>
      <w:r>
        <w:rPr>
          <w:b w:val="0"/>
          <w:bCs w:val="0"/>
        </w:rPr>
      </w:r>
      <w:r>
        <w:rPr>
          <w:rFonts w:ascii="Times New Roman" w:hAnsi="Times New Roman" w:cs="Times New Roman" w:eastAsia="Times New Roman" w:hint="default"/>
        </w:rPr>
        <w:t>61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54"/>
      <w:bookmarkEnd w:id="35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111,048,680.99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77,591,863.29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3,374,397.07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11,178,678.60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9,275,480.20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34,775,072.94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12,537,569.41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8,675,651.61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4,087,927.72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3,787,129.93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79,937,648.25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84,027.62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19,593.61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7,628,580.53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2,196,308.03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725,065.05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-110,174,651.80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-220,039,131.16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133,873.49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8,115,073.93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704,063.45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1,585,632.47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852,973.43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476,365.79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-627,869,881.87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-37,276,730.42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567,750,979.77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71,781,772.18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53,874,961.75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-30,910,947.64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335,182,697.43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999,320,276.53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-625,246,740.43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-38,890,838.67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55"/>
      <w:bookmarkEnd w:id="35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淄博易侨鲁信财税服务咨询有限公司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其中：霍尔果斯快马财税管理服务有限公司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184,744,841.11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其中：淄博易侨鲁信财税服务咨询有限公司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其中：霍尔果斯快马财税管理服务有限公司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184,744,841.11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303,055,158.89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56"/>
      <w:bookmarkEnd w:id="35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93,274,006.05</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神州易桥（北京）财税科技有限公司子公司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9,213,167.37</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企业管家（北京）科技服务有限公司子公司所属单位</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11,011,653.79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霍尔果斯快马财税管理服务有限公司所属子公司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73,049,184.89</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-93,274,006.05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57"/>
      <w:bookmarkEnd w:id="35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335,182,697.43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1,445,750.31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808,455.23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333,736,947.12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959,620,982.63</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335,182,697.43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960,429,437.86</w:t>
            </w:r>
          </w:p>
        </w:tc>
      </w:tr>
      <w:tr>
        <w:trPr>
          <w:trHeight w:val="714"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13,549,771.57</w:t>
            </w: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2、所有者权益变动表项目注释" w:id="358"/>
      <w:bookmarkEnd w:id="358"/>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63、所有权或使用权受到限制的资产" w:id="359"/>
      <w:bookmarkEnd w:id="359"/>
      <w:r>
        <w:rPr>
          <w:rFonts w:ascii="宋体" w:hAnsi="宋体" w:cs="宋体" w:eastAsia="宋体" w:hint="default"/>
          <w:sz w:val="18"/>
          <w:szCs w:val="18"/>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13,549,771.57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涉诉冻结</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13,011,657.43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52,582,320.80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取得抵押借款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79,143,749.80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4、政府补助" w:id="360"/>
      <w:bookmarkEnd w:id="360"/>
      <w:r>
        <w:rPr>
          <w:b w:val="0"/>
          <w:bCs w:val="0"/>
        </w:rPr>
      </w:r>
      <w:r>
        <w:rPr>
          <w:rFonts w:ascii="Times New Roman" w:hAnsi="Times New Roman" w:cs="Times New Roman" w:eastAsia="Times New Roman" w:hint="default"/>
        </w:rPr>
        <w:t>64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61"/>
      <w:bookmarkEnd w:id="361"/>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508,140.00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508,140.00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中介服务奖励补贴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3,133,800.00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3,641,940.00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3,641,940.00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62"/>
      <w:bookmarkEnd w:id="362"/>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12"/>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65、其他" w:id="363"/>
      <w:bookmarkEnd w:id="363"/>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64"/>
      <w:bookmarkEnd w:id="36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65"/>
      <w:bookmarkEnd w:id="36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66"/>
      <w:bookmarkEnd w:id="36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霍尔果斯快 马财税管理 服务有限公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70.59%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控制权取得</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191,156,028.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777,245.75</w:t>
            </w:r>
          </w:p>
        </w:tc>
      </w:tr>
    </w:tbl>
    <w:p>
      <w:pPr>
        <w:pStyle w:val="BodyText"/>
        <w:spacing w:line="240" w:lineRule="auto" w:before="51"/>
        <w:ind w:right="0"/>
        <w:jc w:val="left"/>
      </w:pPr>
      <w:r>
        <w:rPr/>
        <w:t>其他说明：</w:t>
      </w:r>
    </w:p>
    <w:p>
      <w:pPr>
        <w:pStyle w:val="BodyText"/>
        <w:spacing w:line="240" w:lineRule="auto" w:before="115"/>
        <w:ind w:left="634" w:right="0"/>
        <w:jc w:val="left"/>
      </w:pPr>
      <w:r>
        <w:rPr/>
        <w:t>分步实现企业合并且在本年取得控制权的情况</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270"/>
        <w:gridCol w:w="1984"/>
        <w:gridCol w:w="2268"/>
        <w:gridCol w:w="2693"/>
      </w:tblGrid>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87" w:right="0"/>
              <w:jc w:val="left"/>
              <w:rPr>
                <w:rFonts w:ascii="宋体" w:hAnsi="宋体" w:cs="宋体" w:eastAsia="宋体" w:hint="default"/>
                <w:sz w:val="18"/>
                <w:szCs w:val="18"/>
              </w:rPr>
            </w:pPr>
            <w:r>
              <w:rPr>
                <w:rFonts w:ascii="宋体" w:hAnsi="宋体" w:cs="宋体" w:eastAsia="宋体" w:hint="default"/>
                <w:sz w:val="18"/>
                <w:szCs w:val="18"/>
              </w:rPr>
              <w:t>取得股权时点</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取得成本</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29.41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347"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10.59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增资</w:t>
            </w:r>
          </w:p>
        </w:tc>
      </w:tr>
      <w:tr>
        <w:trPr>
          <w:trHeight w:val="348" w:hRule="exact"/>
        </w:trPr>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2）合并成本及商誉" w:id="367"/>
      <w:bookmarkEnd w:id="36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47"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512,068,981.46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1,112,068,981.46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-1,336,846,157.70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2,448,915,139.16</w:t>
            </w:r>
          </w:p>
        </w:tc>
      </w:tr>
    </w:tbl>
    <w:p>
      <w:pPr>
        <w:pStyle w:val="BodyText"/>
        <w:spacing w:line="240" w:lineRule="auto" w:before="51"/>
        <w:ind w:right="0"/>
        <w:jc w:val="left"/>
      </w:pPr>
      <w:r>
        <w:rPr/>
        <w:t>合并成本公允价值的确定方法、或有对价及其变动的说明：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300" w:lineRule="auto"/>
        <w:ind w:right="1130" w:firstLine="480"/>
        <w:jc w:val="both"/>
      </w:pPr>
      <w:r>
        <w:rPr>
          <w:spacing w:val="-1"/>
        </w:rPr>
        <w:t>本公司</w:t>
      </w:r>
      <w:r>
        <w:rPr>
          <w:rFonts w:ascii="Times New Roman" w:hAnsi="Times New Roman" w:cs="Times New Roman" w:eastAsia="Times New Roman" w:hint="default"/>
          <w:spacing w:val="-1"/>
        </w:rPr>
        <w:t>2018</w:t>
      </w:r>
      <w:r>
        <w:rPr>
          <w:spacing w:val="-1"/>
        </w:rPr>
        <w:t>年第三次临时股东大会审议通过了《关于公司重大资产收购预案的议案》及重大资产购买报告书，公司与</w:t>
      </w:r>
      <w:r>
        <w:rPr/>
        <w:t> 霍尔果斯神州易桥股权投资合伙企业（有限合伙）签订股权转让协议，约定以现金</w:t>
      </w:r>
      <w:r>
        <w:rPr>
          <w:rFonts w:ascii="Times New Roman" w:hAnsi="Times New Roman" w:cs="Times New Roman" w:eastAsia="Times New Roman" w:hint="default"/>
        </w:rPr>
        <w:t>6</w:t>
      </w:r>
      <w:r>
        <w:rPr/>
        <w:t>亿元购买霍尔果斯快马财税管理服务有</w:t>
      </w:r>
      <w:r>
        <w:rPr>
          <w:spacing w:val="-82"/>
        </w:rPr>
        <w:t> </w:t>
      </w:r>
      <w:r>
        <w:rPr>
          <w:spacing w:val="-82"/>
        </w:rPr>
      </w:r>
      <w:r>
        <w:rPr>
          <w:spacing w:val="-1"/>
        </w:rPr>
        <w:t>限公司</w:t>
      </w:r>
      <w:r>
        <w:rPr>
          <w:rFonts w:ascii="Times New Roman" w:hAnsi="Times New Roman" w:cs="Times New Roman" w:eastAsia="Times New Roman" w:hint="default"/>
          <w:spacing w:val="-1"/>
        </w:rPr>
        <w:t>60%</w:t>
      </w:r>
      <w:r>
        <w:rPr>
          <w:spacing w:val="-1"/>
        </w:rPr>
        <w:t>股权，上述股权交割事项已于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日完成，至此本公司直接及间接持有其</w:t>
      </w:r>
      <w:r>
        <w:rPr>
          <w:rFonts w:ascii="Times New Roman" w:hAnsi="Times New Roman" w:cs="Times New Roman" w:eastAsia="Times New Roman" w:hint="default"/>
          <w:spacing w:val="-1"/>
        </w:rPr>
        <w:t>100%</w:t>
      </w:r>
      <w:r>
        <w:rPr>
          <w:spacing w:val="-1"/>
        </w:rPr>
        <w:t>股权并纳入财务报表合并</w:t>
      </w:r>
      <w:r>
        <w:rPr>
          <w:spacing w:val="-52"/>
        </w:rPr>
        <w:t> </w:t>
      </w:r>
      <w:r>
        <w:rPr/>
        <w:t>范围。</w:t>
      </w:r>
    </w:p>
    <w:p>
      <w:pPr>
        <w:pStyle w:val="BodyText"/>
        <w:spacing w:line="300" w:lineRule="auto" w:before="31"/>
        <w:ind w:right="1133" w:firstLine="480"/>
        <w:jc w:val="both"/>
      </w:pPr>
      <w:r>
        <w:rPr/>
        <w:t>本年度公司已实际支付股权价款</w:t>
      </w:r>
      <w:r>
        <w:rPr>
          <w:rFonts w:ascii="Times New Roman" w:hAnsi="Times New Roman" w:cs="Times New Roman" w:eastAsia="Times New Roman" w:hint="default"/>
        </w:rPr>
        <w:t>1.8</w:t>
      </w:r>
      <w:r>
        <w:rPr/>
        <w:t>亿元，剩余</w:t>
      </w:r>
      <w:r>
        <w:rPr>
          <w:rFonts w:ascii="Times New Roman" w:hAnsi="Times New Roman" w:cs="Times New Roman" w:eastAsia="Times New Roman" w:hint="default"/>
        </w:rPr>
        <w:t>4.2</w:t>
      </w:r>
      <w:r>
        <w:rPr/>
        <w:t>亿元根据签订的《</w:t>
      </w:r>
      <w:r>
        <w:rPr>
          <w:rFonts w:ascii="Times New Roman" w:hAnsi="Times New Roman" w:cs="Times New Roman" w:eastAsia="Times New Roman" w:hint="default"/>
        </w:rPr>
        <w:t>&lt;</w:t>
      </w:r>
      <w:r>
        <w:rPr/>
        <w:t>终止合作协议</w:t>
      </w:r>
      <w:r>
        <w:rPr>
          <w:rFonts w:ascii="Times New Roman" w:hAnsi="Times New Roman" w:cs="Times New Roman" w:eastAsia="Times New Roman" w:hint="default"/>
        </w:rPr>
        <w:t>&gt;</w:t>
      </w:r>
      <w:r>
        <w:rPr/>
        <w:t>之补充协议》约定以债务抵顶方 式偿付完毕。</w:t>
      </w:r>
    </w:p>
    <w:p>
      <w:pPr>
        <w:spacing w:line="240" w:lineRule="auto" w:before="0"/>
        <w:rPr>
          <w:rFonts w:ascii="宋体" w:hAnsi="宋体" w:cs="宋体" w:eastAsia="宋体" w:hint="default"/>
          <w:sz w:val="18"/>
          <w:szCs w:val="18"/>
        </w:rPr>
      </w:pPr>
    </w:p>
    <w:p>
      <w:pPr>
        <w:pStyle w:val="BodyText"/>
        <w:spacing w:line="360" w:lineRule="auto" w:before="148"/>
        <w:ind w:right="8592"/>
        <w:jc w:val="left"/>
      </w:pPr>
      <w:r>
        <w:rPr/>
        <w:t>大额商誉形成的主要原因：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被购买方于购买日可辨认资产、负债" w:id="368"/>
      <w:bookmarkEnd w:id="36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734" w:right="0"/>
              <w:jc w:val="left"/>
              <w:rPr>
                <w:rFonts w:ascii="宋体" w:hAnsi="宋体" w:cs="宋体" w:eastAsia="宋体" w:hint="default"/>
                <w:sz w:val="18"/>
                <w:szCs w:val="18"/>
              </w:rPr>
            </w:pPr>
            <w:r>
              <w:rPr>
                <w:rFonts w:ascii="宋体" w:hAnsi="宋体" w:cs="宋体" w:eastAsia="宋体" w:hint="default"/>
                <w:sz w:val="18"/>
                <w:szCs w:val="18"/>
              </w:rPr>
              <w:t>霍尔果斯快马财税管理服务有限公司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184,260,954.60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184,260,954.60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333,611,399.24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333,611,399.24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93,804.58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5,701,382.61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5,701,382.61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91,347.16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91,347.16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53,176,224.59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53,176,224.59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82,203,993.61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82,203,993.61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3,258,626.70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3,258,626.70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278,094,466.98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278,094,466.98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1,688,467,934.74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1,688,467,934.74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130,128.99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130,128.99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-1,304,294,797.62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-1,304,294,797.62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32,551,360.08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32,551,360.08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-1,336,846,157.70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-1,336,846,157.70</w:t>
            </w:r>
          </w:p>
        </w:tc>
      </w:tr>
    </w:tbl>
    <w:p>
      <w:pPr>
        <w:pStyle w:val="BodyText"/>
        <w:spacing w:line="360" w:lineRule="auto" w:before="51"/>
        <w:ind w:right="7530"/>
        <w:jc w:val="both"/>
      </w:pPr>
      <w:r>
        <w:rPr/>
        <w:t>可辨认资产、负债公允价值的确定方法： 企业合并中承担的被购买方的或有负债： 其他说明：</w:t>
      </w:r>
    </w:p>
    <w:p>
      <w:pPr>
        <w:spacing w:after="0" w:line="360" w:lineRule="auto"/>
        <w:jc w:val="both"/>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购买日之前持有的股权按照公允价值重新计量产生的利得或损失" w:id="369"/>
      <w:bookmarkEnd w:id="36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915" w:space="29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338"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2"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霍尔果斯快马财税 管理服务有限公司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476,476,334.51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512,068,981.46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35,592,646.95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账面净资产</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370"/>
      <w:bookmarkEnd w:id="37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其他说明" w:id="371"/>
      <w:bookmarkEnd w:id="37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同一控制下企业合并" w:id="372"/>
      <w:bookmarkEnd w:id="37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73"/>
      <w:bookmarkEnd w:id="37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374"/>
      <w:bookmarkEnd w:id="37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合并日被合并方资产、负债的账面价值" w:id="375"/>
      <w:bookmarkEnd w:id="37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7;width:2;height:393" coordorigin="21,417" coordsize="2,393">
              <v:shape style="position:absolute;left:21;top:417;width:2;height:393" coordorigin="21,417" coordsize="0,393" path="m21,417l21,809e" filled="false" stroked="true" strokeweight="1.140pt" strokecolor="#d2d2d2">
                <v:path arrowok="t"/>
              </v:shape>
            </v:group>
            <v:group style="position:absolute;left:3179;top:417;width:2;height:393" coordorigin="3179,417" coordsize="2,393">
              <v:shape style="position:absolute;left:3179;top:417;width:2;height:393" coordorigin="3179,417" coordsize="0,393" path="m3179,417l3179,809e" filled="false" stroked="true" strokeweight="1.140pt" strokecolor="#d2d2d2">
                <v:path arrowok="t"/>
              </v:shape>
            </v:group>
            <v:group style="position:absolute;left:32;top:417;width:3135;height:393" coordorigin="32,417" coordsize="3135,393">
              <v:shape style="position:absolute;left:32;top:417;width:3135;height:393" coordorigin="32,417" coordsize="3135,393" path="m32,809l3167,809,3167,417,32,417,32,809xe" filled="true" fillcolor="#d2d2d2" stroked="false">
                <v:path arrowok="t"/>
                <v:fill type="solid"/>
              </v:shape>
            </v:group>
            <v:group style="position:absolute;left:3212;top:417;width:2;height:393" coordorigin="3212,417" coordsize="2,393">
              <v:shape style="position:absolute;left:3212;top:417;width:2;height:393" coordorigin="3212,417" coordsize="0,393" path="m3212,417l3212,809e" filled="false" stroked="true" strokeweight="1.2pt" strokecolor="#d2d2d2">
                <v:path arrowok="t"/>
              </v:shape>
            </v:group>
            <v:group style="position:absolute;left:6369;top:417;width:2;height:393" coordorigin="6369,417" coordsize="2,393">
              <v:shape style="position:absolute;left:6369;top:417;width:2;height:393" coordorigin="6369,417" coordsize="0,393" path="m6369,417l6369,809e" filled="false" stroked="true" strokeweight="1.140pt" strokecolor="#d2d2d2">
                <v:path arrowok="t"/>
              </v:shape>
            </v:group>
            <v:group style="position:absolute;left:3224;top:417;width:3134;height:393" coordorigin="3224,417" coordsize="3134,393">
              <v:shape style="position:absolute;left:3224;top:417;width:3134;height:393" coordorigin="3224,417" coordsize="3134,393" path="m3224,809l6357,809,6357,417,3224,417,3224,809xe" filled="true" fillcolor="#d2d2d2" stroked="false">
                <v:path arrowok="t"/>
                <v:fill type="solid"/>
              </v:shape>
            </v:group>
            <v:group style="position:absolute;left:6402;top:417;width:2;height:393" coordorigin="6402,417" coordsize="2,393">
              <v:shape style="position:absolute;left:6402;top:417;width:2;height:393" coordorigin="6402,417" coordsize="0,393" path="m6402,417l6402,809e" filled="false" stroked="true" strokeweight="1.140pt" strokecolor="#d2d2d2">
                <v:path arrowok="t"/>
              </v:shape>
            </v:group>
            <v:group style="position:absolute;left:9560;top:417;width:2;height:393" coordorigin="9560,417" coordsize="2,393">
              <v:shape style="position:absolute;left:9560;top:417;width:2;height:393" coordorigin="9560,417" coordsize="0,393" path="m9560,417l9560,809e" filled="false" stroked="true" strokeweight="1.140pt" strokecolor="#d2d2d2">
                <v:path arrowok="t"/>
              </v:shape>
            </v:group>
            <v:group style="position:absolute;left:6414;top:417;width:3135;height:393" coordorigin="6414,417" coordsize="3135,393">
              <v:shape style="position:absolute;left:6414;top:417;width:3135;height:393" coordorigin="6414,417" coordsize="3135,393" path="m6414,809l9548,809,9548,417,6414,417,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4pt" strokecolor="#000000">
                <v:path arrowok="t"/>
              </v:shape>
            </v:group>
            <v:group style="position:absolute;left:6386;top:407;width:2;height:412" coordorigin="6386,407" coordsize="2,412">
              <v:shape style="position:absolute;left:6386;top:407;width:2;height:412" coordorigin="6386,407" coordsize="0,412" path="m6386,407l6386,819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240" w:lineRule="auto" w:before="47"/>
        <w:ind w:right="0"/>
        <w:jc w:val="left"/>
      </w:pPr>
      <w:r>
        <w:rPr/>
        <w:t>企业合并中承担的被合并方的或有负债：</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反向购买" w:id="376"/>
      <w:bookmarkEnd w:id="37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4、处置子公司" w:id="377"/>
      <w:bookmarkEnd w:id="37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r>
        <w:rPr/>
        <w:pict>
          <v:shape style="position:absolute;margin-left:87.559998pt;margin-top:682.059998pt;width:42.55pt;height:46.85pt;mso-position-horizontal-relative:page;mso-position-vertical-relative:page;z-index:-10380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w:t>
                  </w:r>
                </w:p>
              </w:txbxContent>
            </v:textbox>
            <w10:wrap type="none"/>
          </v:shape>
        </w:pict>
      </w:r>
      <w:r>
        <w:rPr/>
        <w:pict>
          <v:group style="position:absolute;margin-left:93.800003pt;margin-top:682.059998pt;width:36.3pt;height:46.85pt;mso-position-horizontal-relative:page;mso-position-vertical-relative:page;z-index:-1038064" coordorigin="1876,13641" coordsize="726,937">
            <v:shape style="position:absolute;left:1876;top:13641;width:726;height:937" coordorigin="1876,13641" coordsize="726,937" path="m1876,14578l2602,14578,2602,13641,1876,13641,1876,1457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36"/>
        <w:gridCol w:w="70"/>
        <w:gridCol w:w="66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企业管 家（北 </w:t>
            </w:r>
            <w:r>
              <w:rPr>
                <w:rFonts w:ascii="宋体" w:hAnsi="宋体" w:cs="宋体" w:eastAsia="宋体" w:hint="default"/>
                <w:spacing w:val="-10"/>
                <w:sz w:val="18"/>
                <w:szCs w:val="18"/>
              </w:rPr>
              <w:t>京）科技</w:t>
            </w:r>
            <w:r>
              <w:rPr>
                <w:rFonts w:ascii="宋体" w:hAnsi="宋体" w:cs="宋体" w:eastAsia="宋体" w:hint="default"/>
                <w:sz w:val="18"/>
                <w:szCs w:val="18"/>
              </w:rPr>
              <w:t> 服务有 限公司 子公司 处置所 属单位</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132,909,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868.57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-5,747,4</w:t>
            </w:r>
          </w:p>
          <w:p>
            <w:pPr>
              <w:pStyle w:val="TableParagraph"/>
              <w:spacing w:line="240" w:lineRule="auto" w:before="106"/>
              <w:ind w:left="275" w:right="0"/>
              <w:jc w:val="center"/>
              <w:rPr>
                <w:rFonts w:ascii="Times New Roman" w:hAnsi="Times New Roman" w:cs="Times New Roman" w:eastAsia="Times New Roman" w:hint="default"/>
                <w:sz w:val="18"/>
                <w:szCs w:val="18"/>
              </w:rPr>
            </w:pPr>
            <w:r>
              <w:rPr>
                <w:rFonts w:ascii="Times New Roman"/>
                <w:sz w:val="18"/>
              </w:rPr>
              <w:t>82.63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霍尔果 斯快马 财税管 理服务 有限公 司处置 所属单 </w:t>
            </w:r>
            <w:r>
              <w:rPr>
                <w:rFonts w:ascii="宋体" w:hAnsi="宋体" w:cs="宋体" w:eastAsia="宋体" w:hint="default"/>
                <w:spacing w:val="-29"/>
                <w:sz w:val="18"/>
                <w:szCs w:val="18"/>
              </w:rPr>
              <w:t>位（注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0" w:type="dxa"/>
            <w:tcBorders>
              <w:top w:val="single" w:sz="4" w:space="0" w:color="000000"/>
              <w:left w:val="single" w:sz="4" w:space="0" w:color="000000"/>
              <w:bottom w:val="single" w:sz="4" w:space="0" w:color="000000"/>
              <w:right w:val="nil" w:sz="6" w:space="0" w:color="auto"/>
            </w:tcBorders>
          </w:tcPr>
          <w:p>
            <w:pPr/>
          </w:p>
        </w:tc>
        <w:tc>
          <w:tcPr>
            <w:tcW w:w="6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1,210,49</w:t>
            </w:r>
          </w:p>
          <w:p>
            <w:pPr>
              <w:pStyle w:val="TableParagraph"/>
              <w:spacing w:line="240" w:lineRule="auto" w:before="106"/>
              <w:ind w:left="8" w:right="0"/>
              <w:jc w:val="left"/>
              <w:rPr>
                <w:rFonts w:ascii="Times New Roman" w:hAnsi="Times New Roman" w:cs="Times New Roman" w:eastAsia="Times New Roman" w:hint="default"/>
                <w:sz w:val="18"/>
                <w:szCs w:val="18"/>
              </w:rPr>
            </w:pPr>
            <w:r>
              <w:rPr>
                <w:rFonts w:ascii="Times New Roman"/>
                <w:sz w:val="18"/>
              </w:rPr>
              <w:t>3,733.04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45,920,7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34.83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left"/>
              <w:rPr>
                <w:rFonts w:ascii="宋体" w:hAnsi="宋体" w:cs="宋体" w:eastAsia="宋体" w:hint="default"/>
                <w:sz w:val="18"/>
                <w:szCs w:val="18"/>
              </w:rPr>
            </w:pPr>
            <w:r>
              <w:rPr>
                <w:rFonts w:ascii="宋体" w:hAnsi="宋体" w:cs="宋体" w:eastAsia="宋体" w:hint="default"/>
                <w:sz w:val="18"/>
                <w:szCs w:val="18"/>
              </w:rPr>
              <w:t>神州易 桥（北</w:t>
            </w:r>
          </w:p>
        </w:tc>
        <w:tc>
          <w:tcPr>
            <w:tcW w:w="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转让、注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控制权 已转移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-119,300</w:t>
            </w:r>
          </w:p>
          <w:p>
            <w:pPr>
              <w:pStyle w:val="TableParagraph"/>
              <w:spacing w:line="240" w:lineRule="auto" w:before="106"/>
              <w:ind w:left="477" w:right="0"/>
              <w:jc w:val="lef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shape style="position:absolute;margin-left:92.343002pt;margin-top:663.76001pt;width:101.1pt;height:15.6pt;mso-position-horizontal-relative:page;mso-position-vertical-relative:page;z-index:-1037968" type="#_x0000_t202" filled="false" stroked="false">
            <v:textbox inset="0,0,0,0">
              <w:txbxContent>
                <w:p>
                  <w:pPr>
                    <w:pStyle w:val="BodyText"/>
                    <w:spacing w:line="240" w:lineRule="auto" w:before="51"/>
                    <w:ind w:left="0" w:right="0"/>
                    <w:jc w:val="left"/>
                  </w:pPr>
                  <w:r>
                    <w:rPr/>
                    <w:t>（北京）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161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0"/>
                <w:sz w:val="18"/>
                <w:szCs w:val="18"/>
              </w:rPr>
              <w:t>京）财税</w:t>
            </w:r>
            <w:r>
              <w:rPr>
                <w:rFonts w:ascii="宋体" w:hAnsi="宋体" w:cs="宋体" w:eastAsia="宋体" w:hint="default"/>
                <w:sz w:val="18"/>
                <w:szCs w:val="18"/>
              </w:rPr>
              <w:t> 科技有 限公司 处置子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1,345,55</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3,601.61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40,053,9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0" w:firstLine="480"/>
        <w:jc w:val="left"/>
      </w:pPr>
      <w:r>
        <w:rPr/>
        <w:t>注</w:t>
      </w:r>
      <w:r>
        <w:rPr>
          <w:rFonts w:ascii="Times New Roman" w:hAnsi="Times New Roman" w:cs="Times New Roman" w:eastAsia="Times New Roman" w:hint="default"/>
        </w:rPr>
        <w:t>1</w:t>
      </w:r>
      <w:r>
        <w:rPr/>
        <w:t>本年度根据易桥快马公司、霍尔果斯神州易桥股权投资合伙企业（有限合伙）与终端资产原股东签署的《终止合 作协议》，本年度处置子公司</w:t>
      </w:r>
      <w:r>
        <w:rPr>
          <w:rFonts w:ascii="Times New Roman" w:hAnsi="Times New Roman" w:cs="Times New Roman" w:eastAsia="Times New Roman" w:hint="default"/>
        </w:rPr>
        <w:t>9</w:t>
      </w:r>
      <w:r>
        <w:rPr/>
        <w:t>家。</w:t>
      </w:r>
    </w:p>
    <w:p>
      <w:pPr>
        <w:pStyle w:val="BodyText"/>
        <w:spacing w:line="300" w:lineRule="auto" w:before="13"/>
        <w:ind w:right="0" w:firstLine="480"/>
        <w:jc w:val="left"/>
      </w:pPr>
      <w:r>
        <w:rPr>
          <w:spacing w:val="-1"/>
        </w:rPr>
        <w:t>注</w:t>
      </w:r>
      <w:r>
        <w:rPr>
          <w:rFonts w:ascii="Times New Roman" w:hAnsi="Times New Roman" w:cs="Times New Roman" w:eastAsia="Times New Roman" w:hint="default"/>
          <w:spacing w:val="-1"/>
        </w:rPr>
        <w:t>2</w:t>
      </w:r>
      <w:r>
        <w:rPr>
          <w:spacing w:val="-1"/>
        </w:rPr>
        <w:t>：本年度公司合并霍尔果斯快马财税管理服务有限公司，购买日霍尔果斯快马财税管理服务有限公司终端资产</w:t>
      </w:r>
      <w:r>
        <w:rPr>
          <w:rFonts w:ascii="Times New Roman" w:hAnsi="Times New Roman" w:cs="Times New Roman" w:eastAsia="Times New Roman" w:hint="default"/>
          <w:spacing w:val="-1"/>
        </w:rPr>
        <w:t>106</w:t>
      </w:r>
      <w:r>
        <w:rPr>
          <w:rFonts w:ascii="Times New Roman" w:hAnsi="Times New Roman" w:cs="Times New Roman" w:eastAsia="Times New Roman" w:hint="default"/>
        </w:rPr>
        <w:t> </w:t>
      </w:r>
      <w:r>
        <w:rPr>
          <w:spacing w:val="-2"/>
        </w:rPr>
        <w:t>家，根据霍尔果斯快马财税管理服务有限公司、霍尔果斯神州易桥股权投资合伙企业（有限合伙）与终端资产原股东签署的</w:t>
      </w:r>
    </w:p>
    <w:p>
      <w:pPr>
        <w:pStyle w:val="BodyText"/>
        <w:spacing w:line="240" w:lineRule="auto" w:before="31"/>
        <w:ind w:right="0"/>
        <w:jc w:val="left"/>
      </w:pPr>
      <w:r>
        <w:rPr>
          <w:spacing w:val="-4"/>
        </w:rPr>
        <w:t>《终止合作协议》，本年度处置子公司</w:t>
      </w:r>
      <w:r>
        <w:rPr>
          <w:rFonts w:ascii="Times New Roman" w:hAnsi="Times New Roman" w:cs="Times New Roman" w:eastAsia="Times New Roman" w:hint="default"/>
          <w:spacing w:val="-4"/>
        </w:rPr>
        <w:t>50</w:t>
      </w:r>
      <w:r>
        <w:rPr>
          <w:spacing w:val="-4"/>
        </w:rPr>
        <w:t>家，按照重新计算分配的各资产组商誉金额，本年度处置</w:t>
      </w:r>
      <w:r>
        <w:rPr>
          <w:rFonts w:ascii="Times New Roman" w:hAnsi="Times New Roman" w:cs="Times New Roman" w:eastAsia="Times New Roman" w:hint="default"/>
          <w:spacing w:val="-4"/>
        </w:rPr>
        <w:t>50</w:t>
      </w:r>
      <w:r>
        <w:rPr>
          <w:spacing w:val="-4"/>
        </w:rPr>
        <w:t>家子公司形成处置收益。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78"/>
      <w:bookmarkEnd w:id="37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379"/>
      <w:bookmarkEnd w:id="37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80"/>
      <w:bookmarkEnd w:id="38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81"/>
      <w:bookmarkEnd w:id="38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r>
        <w:rPr/>
        <w:pict>
          <v:shape style="position:absolute;margin-left:92.343002pt;margin-top:111.873688pt;width:101.1pt;height:15.6pt;mso-position-horizontal-relative:page;mso-position-vertical-relative:paragraph;z-index:-1037992" type="#_x0000_t202" filled="false" stroked="false">
            <v:textbox inset="0,0,0,0">
              <w:txbxContent>
                <w:p>
                  <w:pPr>
                    <w:pStyle w:val="BodyText"/>
                    <w:spacing w:line="240" w:lineRule="auto" w:before="51"/>
                    <w:ind w:left="0" w:right="0"/>
                    <w:jc w:val="left"/>
                  </w:pPr>
                  <w:r>
                    <w:rPr/>
                    <w:t>（北京）</w:t>
                  </w:r>
                </w:p>
              </w:txbxContent>
            </v:textbox>
            <w10:wrap type="none"/>
          </v:shape>
        </w:pict>
      </w:r>
      <w:bookmarkStart w:name="（1）企业集团的构成" w:id="382"/>
      <w:bookmarkEnd w:id="38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神州易桥 财税科技有限公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企业管家 科技信息服务有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通过设立或投资 等方式</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北京办饭餐饮服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通过设立或投资</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霍尔果斯快马财 税管理服务有限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83"/>
      <w:bookmarkEnd w:id="38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青海宁达创业投资有限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-698,575.78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30,924,038.81</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84"/>
      <w:bookmarkEnd w:id="38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青海宁 达创业 投资有 限责任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28,245,1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37,200,0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65,445,1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0.99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2,334,90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30,525,3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37,200,0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67,725,3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3,189,38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3,189,38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青海宁达创 业投资有限 责任公司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-1,425,664.86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-1,425,664.86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-1,963,671.86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-1,946,351.80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-1,946,351.80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-877,928.81</w:t>
            </w:r>
          </w:p>
        </w:tc>
      </w:tr>
    </w:tbl>
    <w:p>
      <w:pPr>
        <w:pStyle w:val="BodyText"/>
        <w:spacing w:line="240" w:lineRule="auto" w:before="51"/>
        <w:ind w:right="0"/>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使用企业集团资产和清偿企业集团债务的重大限制" w:id="385"/>
      <w:bookmarkEnd w:id="38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86"/>
      <w:bookmarkEnd w:id="38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87"/>
      <w:bookmarkEnd w:id="38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88"/>
      <w:bookmarkEnd w:id="38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spacing w:val="-1"/>
        </w:rPr>
        <w:t>本年度本公司之全资子公司神州易桥（北京）财税科技有限公司进一步收购控股子公司宁波神州开元会计服务有限公</w:t>
      </w:r>
      <w:r>
        <w:rPr/>
        <w:t> 司</w:t>
      </w:r>
      <w:r>
        <w:rPr>
          <w:rFonts w:ascii="Times New Roman" w:hAnsi="Times New Roman" w:cs="Times New Roman" w:eastAsia="Times New Roman" w:hint="default"/>
        </w:rPr>
        <w:t>20%</w:t>
      </w:r>
      <w:r>
        <w:rPr/>
        <w:t>的少数股东权益后，持有宁波神州开元会计服务有限公司股权比例变为</w:t>
      </w:r>
      <w:r>
        <w:rPr>
          <w:rFonts w:ascii="Times New Roman" w:hAnsi="Times New Roman" w:cs="Times New Roman" w:eastAsia="Times New Roman" w:hint="default"/>
        </w:rPr>
        <w:t>80%</w:t>
      </w:r>
      <w:r>
        <w:rPr/>
        <w:t>；</w:t>
      </w:r>
    </w:p>
    <w:p>
      <w:pPr>
        <w:pStyle w:val="BodyText"/>
        <w:spacing w:line="248" w:lineRule="exact"/>
        <w:ind w:left="634" w:right="0"/>
        <w:jc w:val="left"/>
      </w:pPr>
      <w:r>
        <w:rPr/>
        <w:t>本年度本公司进一步收购易桥快马</w:t>
      </w:r>
      <w:r>
        <w:rPr>
          <w:rFonts w:ascii="Times New Roman" w:hAnsi="Times New Roman" w:cs="Times New Roman" w:eastAsia="Times New Roman" w:hint="default"/>
        </w:rPr>
        <w:t>25%</w:t>
      </w:r>
      <w:r>
        <w:rPr/>
        <w:t>的少数股东权益后，合计持有其</w:t>
      </w:r>
      <w:r>
        <w:rPr>
          <w:rFonts w:ascii="Times New Roman" w:hAnsi="Times New Roman" w:cs="Times New Roman" w:eastAsia="Times New Roman" w:hint="default"/>
        </w:rPr>
        <w:t>100%</w:t>
      </w:r>
      <w:r>
        <w:rPr/>
        <w:t>的股权比例。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交易对于少数股东权益及归属于母公司所有者权益的影响" w:id="389"/>
      <w:bookmarkEnd w:id="38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宁波神州开元会计服务有限公司公司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410" w:right="103" w:hanging="1216"/>
              <w:jc w:val="left"/>
              <w:rPr>
                <w:rFonts w:ascii="宋体" w:hAnsi="宋体" w:cs="宋体" w:eastAsia="宋体" w:hint="default"/>
                <w:sz w:val="18"/>
                <w:szCs w:val="18"/>
              </w:rPr>
            </w:pPr>
            <w:r>
              <w:rPr>
                <w:rFonts w:ascii="宋体" w:hAnsi="宋体" w:cs="宋体" w:eastAsia="宋体" w:hint="default"/>
                <w:sz w:val="18"/>
                <w:szCs w:val="18"/>
              </w:rPr>
              <w:t>霍尔果斯易桥快马企业管理咨询有限 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13,667,430.19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123,877,911.71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76,332,569.81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-23,877,911.71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-76,332,569.81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23,877,911.71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90"/>
      <w:bookmarkEnd w:id="39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91"/>
      <w:bookmarkEnd w:id="39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吉林省嘉孚化学 工业股份有限公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河北兴石创业投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广西海东科技创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广州网融信息技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洛阳蓝宝氟业有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工矿业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霍尔果斯神州易 桥股权投资合伙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霍尔果斯中企易 桥股权投资合伙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pict>
          <v:shape style="position:absolute;margin-left:74.343002pt;margin-top:-67.398308pt;width:119.1pt;height:15.6pt;mso-position-horizontal-relative:page;mso-position-vertical-relative:paragraph;z-index:-1037896" type="#_x0000_t202" filled="false" stroked="false">
            <v:textbox inset="0,0,0,0">
              <w:txbxContent>
                <w:p>
                  <w:pPr>
                    <w:pStyle w:val="BodyText"/>
                    <w:spacing w:line="207" w:lineRule="exact"/>
                    <w:ind w:left="0" w:right="0"/>
                    <w:jc w:val="left"/>
                  </w:pPr>
                  <w:r>
                    <w:rPr/>
                    <w:t>（有限合伙）</w:t>
                  </w:r>
                </w:p>
              </w:txbxContent>
            </v:textbox>
            <w10:wrap type="none"/>
          </v:shape>
        </w:pict>
      </w:r>
      <w:r>
        <w:rPr/>
        <w:pict>
          <v:shape style="position:absolute;margin-left:74.343002pt;margin-top:-16.098310pt;width:119.1pt;height:15.6pt;mso-position-horizontal-relative:page;mso-position-vertical-relative:paragraph;z-index:-1037872" type="#_x0000_t202" filled="false" stroked="false">
            <v:textbox inset="0,0,0,0">
              <w:txbxContent>
                <w:p>
                  <w:pPr>
                    <w:pStyle w:val="BodyText"/>
                    <w:spacing w:line="207" w:lineRule="exact"/>
                    <w:ind w:left="0" w:right="0"/>
                    <w:jc w:val="left"/>
                  </w:pPr>
                  <w:r>
                    <w:rPr/>
                    <w:t>（有限合伙）</w:t>
                  </w:r>
                </w:p>
              </w:txbxContent>
            </v:textbox>
            <w10:wrap type="none"/>
          </v:shape>
        </w:pict>
      </w:r>
      <w:r>
        <w:rPr/>
        <w:t>在合营企业或联营企业的持股比例不同于表决权比例的说明：</w:t>
      </w:r>
    </w:p>
    <w:p>
      <w:pPr>
        <w:pStyle w:val="BodyText"/>
        <w:spacing w:line="319" w:lineRule="auto" w:before="117"/>
        <w:ind w:right="1117"/>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w:t>
      </w:r>
      <w:r>
        <w:rPr>
          <w:rFonts w:ascii="Times New Roman" w:hAnsi="Times New Roman" w:cs="Times New Roman" w:eastAsia="Times New Roman" w:hint="default"/>
          <w:spacing w:val="-1"/>
        </w:rPr>
        <w:t>A</w:t>
      </w:r>
      <w:r>
        <w:rPr>
          <w:spacing w:val="-1"/>
        </w:rPr>
        <w:t>、北京财税科技持有霍尔果斯神州易桥股权投资合伙企业（有限合伙）</w:t>
      </w:r>
      <w:r>
        <w:rPr>
          <w:rFonts w:ascii="Times New Roman" w:hAnsi="Times New Roman" w:cs="Times New Roman" w:eastAsia="Times New Roman" w:hint="default"/>
          <w:spacing w:val="-1"/>
        </w:rPr>
        <w:t>10.23%</w:t>
      </w:r>
      <w:r>
        <w:rPr>
          <w:spacing w:val="-1"/>
        </w:rPr>
        <w:t>（按照实缴比例计算）的股权具有重大影响</w:t>
      </w:r>
      <w:r>
        <w:rPr>
          <w:spacing w:val="-83"/>
        </w:rPr>
        <w:t> </w:t>
      </w:r>
      <w:r>
        <w:rPr>
          <w:spacing w:val="-83"/>
        </w:rPr>
      </w:r>
      <w:r>
        <w:rPr>
          <w:spacing w:val="-1"/>
        </w:rPr>
        <w:t>的原因：霍尔果斯神州易桥股权投资合伙企业（有限合伙）设有投资决策委员会，投资决策委员会设</w:t>
      </w:r>
      <w:r>
        <w:rPr>
          <w:rFonts w:ascii="Times New Roman" w:hAnsi="Times New Roman" w:cs="Times New Roman" w:eastAsia="Times New Roman" w:hint="default"/>
          <w:spacing w:val="-1"/>
        </w:rPr>
        <w:t>5</w:t>
      </w:r>
      <w:r>
        <w:rPr>
          <w:spacing w:val="-1"/>
        </w:rPr>
        <w:t>名成员，</w:t>
      </w:r>
      <w:r>
        <w:rPr>
          <w:rFonts w:ascii="Times New Roman" w:hAnsi="Times New Roman" w:cs="Times New Roman" w:eastAsia="Times New Roman" w:hint="default"/>
          <w:spacing w:val="-1"/>
        </w:rPr>
        <w:t>)</w:t>
      </w:r>
      <w:r>
        <w:rPr>
          <w:spacing w:val="-1"/>
        </w:rPr>
        <w:t>北京财税科</w:t>
      </w:r>
    </w:p>
    <w:p>
      <w:pPr>
        <w:pStyle w:val="BodyText"/>
        <w:spacing w:line="300" w:lineRule="auto"/>
        <w:ind w:right="0"/>
        <w:jc w:val="left"/>
      </w:pPr>
      <w:r>
        <w:rPr/>
        <w:t>技委派</w:t>
      </w:r>
      <w:r>
        <w:rPr>
          <w:rFonts w:ascii="Times New Roman" w:hAnsi="Times New Roman" w:cs="Times New Roman" w:eastAsia="Times New Roman" w:hint="default"/>
        </w:rPr>
        <w:t>1</w:t>
      </w:r>
      <w:r>
        <w:rPr/>
        <w:t>人，投资决策委员会作出的决议一人一票，必须经</w:t>
      </w:r>
      <w:r>
        <w:rPr>
          <w:rFonts w:ascii="Times New Roman" w:hAnsi="Times New Roman" w:cs="Times New Roman" w:eastAsia="Times New Roman" w:hint="default"/>
        </w:rPr>
        <w:t>3</w:t>
      </w:r>
      <w:r>
        <w:rPr/>
        <w:t>名及</w:t>
      </w:r>
      <w:r>
        <w:rPr>
          <w:rFonts w:ascii="Times New Roman" w:hAnsi="Times New Roman" w:cs="Times New Roman" w:eastAsia="Times New Roman" w:hint="default"/>
        </w:rPr>
        <w:t>3</w:t>
      </w:r>
      <w:r>
        <w:rPr/>
        <w:t>名以上委员同意方可通过。 </w:t>
      </w:r>
      <w:r>
        <w:rPr>
          <w:rFonts w:ascii="Times New Roman" w:hAnsi="Times New Roman" w:cs="Times New Roman" w:eastAsia="Times New Roman" w:hint="default"/>
        </w:rPr>
        <w:t>B</w:t>
      </w:r>
      <w:r>
        <w:rPr/>
        <w:t>、本公司持有霍尔果斯中企易桥股权投资合伙企业（有限合伙）</w:t>
      </w:r>
      <w:r>
        <w:rPr>
          <w:rFonts w:ascii="Times New Roman" w:hAnsi="Times New Roman" w:cs="Times New Roman" w:eastAsia="Times New Roman" w:hint="default"/>
        </w:rPr>
        <w:t>7.02%</w:t>
      </w:r>
      <w:r>
        <w:rPr/>
        <w:t>（按照实缴比例计算）股权具有重大影响的原因：</w:t>
      </w:r>
      <w:r>
        <w:rPr>
          <w:spacing w:val="-45"/>
        </w:rPr>
        <w:t> </w:t>
      </w:r>
      <w:r>
        <w:rPr>
          <w:spacing w:val="-45"/>
        </w:rPr>
      </w:r>
      <w:r>
        <w:rPr>
          <w:spacing w:val="-2"/>
        </w:rPr>
        <w:t>霍尔果斯中企易桥股权投资合伙企业（有限合伙）设有投资决策委员会，投资决策委员会设</w:t>
      </w:r>
      <w:r>
        <w:rPr>
          <w:rFonts w:ascii="Times New Roman" w:hAnsi="Times New Roman" w:cs="Times New Roman" w:eastAsia="Times New Roman" w:hint="default"/>
          <w:spacing w:val="-2"/>
        </w:rPr>
        <w:t>5</w:t>
      </w:r>
      <w:r>
        <w:rPr>
          <w:spacing w:val="-2"/>
        </w:rPr>
        <w:t>名成员，本公司委派</w:t>
      </w:r>
      <w:r>
        <w:rPr>
          <w:rFonts w:ascii="Times New Roman" w:hAnsi="Times New Roman" w:cs="Times New Roman" w:eastAsia="Times New Roman" w:hint="default"/>
          <w:spacing w:val="-2"/>
        </w:rPr>
        <w:t>1</w:t>
      </w:r>
      <w:r>
        <w:rPr>
          <w:spacing w:val="-2"/>
        </w:rPr>
        <w:t>人，投资</w:t>
      </w:r>
      <w:r>
        <w:rPr>
          <w:spacing w:val="-64"/>
        </w:rPr>
        <w:t> </w:t>
      </w:r>
      <w:r>
        <w:rPr>
          <w:spacing w:val="-64"/>
        </w:rPr>
      </w:r>
      <w:r>
        <w:rPr/>
        <w:t>决策委员会作出的决议一人一票，必须经</w:t>
      </w:r>
      <w:r>
        <w:rPr>
          <w:rFonts w:ascii="Times New Roman" w:hAnsi="Times New Roman" w:cs="Times New Roman" w:eastAsia="Times New Roman" w:hint="default"/>
        </w:rPr>
        <w:t>3</w:t>
      </w:r>
      <w:r>
        <w:rPr/>
        <w:t>名及</w:t>
      </w:r>
      <w:r>
        <w:rPr>
          <w:rFonts w:ascii="Times New Roman" w:hAnsi="Times New Roman" w:cs="Times New Roman" w:eastAsia="Times New Roman" w:hint="default"/>
        </w:rPr>
        <w:t>3</w:t>
      </w:r>
      <w:r>
        <w:rPr/>
        <w:t>名以上委员同意方可通过。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bookmarkStart w:name="（2）重要合营企业的主要财务信息" w:id="392"/>
      <w:bookmarkEnd w:id="39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46"/>
        <w:gridCol w:w="957"/>
        <w:gridCol w:w="958"/>
        <w:gridCol w:w="957"/>
        <w:gridCol w:w="958"/>
        <w:gridCol w:w="956"/>
        <w:gridCol w:w="958"/>
        <w:gridCol w:w="957"/>
        <w:gridCol w:w="958"/>
        <w:gridCol w:w="945"/>
      </w:tblGrid>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946"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957"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45"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93"/>
      <w:bookmarkEnd w:id="39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25"/>
        <w:gridCol w:w="736"/>
        <w:gridCol w:w="736"/>
        <w:gridCol w:w="736"/>
        <w:gridCol w:w="737"/>
        <w:gridCol w:w="736"/>
        <w:gridCol w:w="736"/>
        <w:gridCol w:w="737"/>
        <w:gridCol w:w="736"/>
        <w:gridCol w:w="736"/>
        <w:gridCol w:w="737"/>
        <w:gridCol w:w="736"/>
        <w:gridCol w:w="736"/>
      </w:tblGrid>
      <w:tr>
        <w:trPr>
          <w:trHeight w:val="403"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15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6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941" w:hRule="exact"/>
        </w:trPr>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16" w:right="20" w:hanging="2"/>
              <w:jc w:val="center"/>
              <w:rPr>
                <w:rFonts w:ascii="宋体" w:hAnsi="宋体" w:cs="宋体" w:eastAsia="宋体" w:hint="default"/>
                <w:sz w:val="18"/>
                <w:szCs w:val="18"/>
              </w:rPr>
            </w:pPr>
            <w:r>
              <w:rPr>
                <w:rFonts w:ascii="宋体" w:hAnsi="宋体" w:cs="宋体" w:eastAsia="宋体" w:hint="default"/>
                <w:sz w:val="18"/>
                <w:szCs w:val="18"/>
              </w:rPr>
              <w:t>霍尔果 斯神州 易桥股 权投资 合伙企 </w:t>
            </w:r>
            <w:r>
              <w:rPr>
                <w:rFonts w:ascii="宋体" w:hAnsi="宋体" w:cs="宋体" w:eastAsia="宋体" w:hint="default"/>
                <w:spacing w:val="-10"/>
                <w:sz w:val="18"/>
                <w:szCs w:val="18"/>
              </w:rPr>
              <w:t>业（有限</w:t>
            </w:r>
            <w:r>
              <w:rPr>
                <w:rFonts w:ascii="宋体" w:hAnsi="宋体" w:cs="宋体" w:eastAsia="宋体" w:hint="default"/>
                <w:sz w:val="18"/>
                <w:szCs w:val="18"/>
              </w:rPr>
              <w:t> 合伙）</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洛阳蓝 宝氟业 有限公 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0" w:hanging="2"/>
              <w:jc w:val="center"/>
              <w:rPr>
                <w:rFonts w:ascii="宋体" w:hAnsi="宋体" w:cs="宋体" w:eastAsia="宋体" w:hint="default"/>
                <w:sz w:val="18"/>
                <w:szCs w:val="18"/>
              </w:rPr>
            </w:pPr>
            <w:r>
              <w:rPr>
                <w:rFonts w:ascii="宋体" w:hAnsi="宋体" w:cs="宋体" w:eastAsia="宋体" w:hint="default"/>
                <w:sz w:val="18"/>
                <w:szCs w:val="18"/>
              </w:rPr>
              <w:t>霍尔果 斯中企 易桥股 权投资 合伙企 </w:t>
            </w:r>
            <w:r>
              <w:rPr>
                <w:rFonts w:ascii="宋体" w:hAnsi="宋体" w:cs="宋体" w:eastAsia="宋体" w:hint="default"/>
                <w:spacing w:val="-10"/>
                <w:sz w:val="18"/>
                <w:szCs w:val="18"/>
              </w:rPr>
              <w:t>业（有限</w:t>
            </w:r>
            <w:r>
              <w:rPr>
                <w:rFonts w:ascii="宋体" w:hAnsi="宋体" w:cs="宋体" w:eastAsia="宋体" w:hint="default"/>
                <w:sz w:val="18"/>
                <w:szCs w:val="18"/>
              </w:rPr>
              <w:t> 合伙）</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广西海 东科技 创业投 资有限 公司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吉林省 嘉孚化 学工业 股份有 限公司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河北兴 石创业 投资有 限公司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广州网 融信息 技术有 限公司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22" w:right="20" w:hanging="2"/>
              <w:jc w:val="center"/>
              <w:rPr>
                <w:rFonts w:ascii="宋体" w:hAnsi="宋体" w:cs="宋体" w:eastAsia="宋体" w:hint="default"/>
                <w:sz w:val="18"/>
                <w:szCs w:val="18"/>
              </w:rPr>
            </w:pPr>
            <w:r>
              <w:rPr>
                <w:rFonts w:ascii="宋体" w:hAnsi="宋体" w:cs="宋体" w:eastAsia="宋体" w:hint="default"/>
                <w:sz w:val="18"/>
                <w:szCs w:val="18"/>
              </w:rPr>
              <w:t>霍尔果 斯神州 易桥股 权投资 合伙企 </w:t>
            </w:r>
            <w:r>
              <w:rPr>
                <w:rFonts w:ascii="宋体" w:hAnsi="宋体" w:cs="宋体" w:eastAsia="宋体" w:hint="default"/>
                <w:spacing w:val="-10"/>
                <w:sz w:val="18"/>
                <w:szCs w:val="18"/>
              </w:rPr>
              <w:t>业（有限</w:t>
            </w:r>
            <w:r>
              <w:rPr>
                <w:rFonts w:ascii="宋体" w:hAnsi="宋体" w:cs="宋体" w:eastAsia="宋体" w:hint="default"/>
                <w:sz w:val="18"/>
                <w:szCs w:val="18"/>
              </w:rPr>
              <w:t> 合伙）</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3"/>
              <w:jc w:val="both"/>
              <w:rPr>
                <w:rFonts w:ascii="宋体" w:hAnsi="宋体" w:cs="宋体" w:eastAsia="宋体" w:hint="default"/>
                <w:sz w:val="18"/>
                <w:szCs w:val="18"/>
              </w:rPr>
            </w:pPr>
            <w:r>
              <w:rPr>
                <w:rFonts w:ascii="宋体" w:hAnsi="宋体" w:cs="宋体" w:eastAsia="宋体" w:hint="default"/>
                <w:sz w:val="18"/>
                <w:szCs w:val="18"/>
              </w:rPr>
              <w:t>广西海 东科技 创业投 资有限 公司</w:t>
            </w:r>
          </w:p>
        </w:tc>
        <w:tc>
          <w:tcPr>
            <w:tcW w:w="73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吉林省 嘉孚化 学工业 股份有 限公司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河北兴 石创业 投资有 限公司</w:t>
            </w:r>
          </w:p>
        </w:tc>
        <w:tc>
          <w:tcPr>
            <w:tcW w:w="73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广州网 融信息 技术有 限公司</w:t>
            </w:r>
          </w:p>
        </w:tc>
      </w:tr>
      <w:tr>
        <w:trPr>
          <w:trHeight w:val="391" w:hRule="exact"/>
        </w:trPr>
        <w:tc>
          <w:tcPr>
            <w:tcW w:w="725"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vMerge/>
            <w:tcBorders>
              <w:left w:val="single" w:sz="9" w:space="0" w:color="D2D2D2"/>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7"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c>
          <w:tcPr>
            <w:tcW w:w="736" w:type="dxa"/>
            <w:vMerge/>
            <w:tcBorders>
              <w:left w:val="single" w:sz="4" w:space="0" w:color="000000"/>
              <w:right w:val="single" w:sz="4" w:space="0" w:color="000000"/>
            </w:tcBorders>
            <w:shd w:val="clear" w:color="auto" w:fill="E0FFFF"/>
          </w:tcPr>
          <w:p>
            <w:pPr/>
          </w:p>
        </w:tc>
      </w:tr>
      <w:tr>
        <w:trPr>
          <w:trHeight w:val="941" w:hRule="exact"/>
        </w:trPr>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9" w:space="0" w:color="D2D2D2"/>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7"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c>
          <w:tcPr>
            <w:tcW w:w="736" w:type="dxa"/>
            <w:vMerge/>
            <w:tcBorders>
              <w:left w:val="single" w:sz="4" w:space="0" w:color="000000"/>
              <w:bottom w:val="single" w:sz="4" w:space="0" w:color="000000"/>
              <w:right w:val="single" w:sz="4" w:space="0" w:color="000000"/>
            </w:tcBorders>
            <w:shd w:val="clear" w:color="auto" w:fill="E0FFFF"/>
          </w:tcPr>
          <w:p>
            <w:pPr/>
          </w:p>
        </w:tc>
      </w:tr>
      <w:tr>
        <w:trPr>
          <w:trHeight w:val="715" w:hRule="exact"/>
        </w:trPr>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2"/>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659,461,</w:t>
            </w:r>
          </w:p>
          <w:p>
            <w:pPr>
              <w:pStyle w:val="TableParagraph"/>
              <w:spacing w:line="240" w:lineRule="auto" w:before="105"/>
              <w:ind w:left="176" w:right="0"/>
              <w:jc w:val="center"/>
              <w:rPr>
                <w:rFonts w:ascii="Times New Roman" w:hAnsi="Times New Roman" w:cs="Times New Roman" w:eastAsia="Times New Roman" w:hint="default"/>
                <w:sz w:val="18"/>
                <w:szCs w:val="18"/>
              </w:rPr>
            </w:pPr>
            <w:r>
              <w:rPr>
                <w:rFonts w:ascii="Times New Roman"/>
                <w:sz w:val="18"/>
              </w:rPr>
              <w:t>839.59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81,274,6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64.11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283,304,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934.95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6,820,85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31,341,3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98.85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16,497,9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20,960,3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25.69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707,218,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202.40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31,238,3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31,855,0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47.82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19,315,3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17,495,1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6"/>
        <w:gridCol w:w="736"/>
        <w:gridCol w:w="737"/>
        <w:gridCol w:w="736"/>
        <w:gridCol w:w="736"/>
        <w:gridCol w:w="737"/>
        <w:gridCol w:w="736"/>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162,651,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741.17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573,090,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907.31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900,209.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40,249,9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71,652,2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87,799,9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2,468,72</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1,408.61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19,124,9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74,733,9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71.24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85,924,9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6,367,37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0.52</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822,113,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580.76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654,365,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571.42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284,205,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144.67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47,070,7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99.71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102,993,</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652.68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104,297,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923.82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28,184,3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23.71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3,175,93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9,611.01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50,363,3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46.63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106,589,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019.06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105,240,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294.82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23,862,4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88.30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350,464,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708.17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192,000,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229.78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205,781,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325.36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69,462,4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20.10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3,445,24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1,949,85</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7,586.04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66,905,6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06.73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1,989,23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4.89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68,965,2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83.62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377,279,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898.87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350,464,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708.17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260,965,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513.40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205,781,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325.36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69,462,4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20.10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3,445,24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2,327,13</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7,484.91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66,905,6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06.73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1,989,23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4.89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16,160,3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81.43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11,621,7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12.98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218,622,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978.38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归属于 母公司 股东权 益</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455,488,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491.16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393,400,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058.02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66,802,1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06.33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46,510,7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99.71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33,531,2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32.58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104,297,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923.82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24,728,5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49.45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630,179,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147.72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49,863,3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31.63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39,683,4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12.33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105,241,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21,873,2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53.41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按持股 比例计 算的净 资产份 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36,354,4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90,796,7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33.39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4,131,34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19,534,5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35.87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6,706,24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32,332,3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6,182,13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31,508,9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57.39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20,942,5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99.28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7,936,68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32,624,7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5,468,31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3.35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调整事 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-1,943,4</w:t>
            </w:r>
          </w:p>
          <w:p>
            <w:pPr>
              <w:pStyle w:val="TableParagraph"/>
              <w:spacing w:line="240" w:lineRule="auto" w:before="106"/>
              <w:ind w:left="276" w:right="0"/>
              <w:jc w:val="center"/>
              <w:rPr>
                <w:rFonts w:ascii="Times New Roman" w:hAnsi="Times New Roman" w:cs="Times New Roman" w:eastAsia="Times New Roman" w:hint="default"/>
                <w:sz w:val="18"/>
                <w:szCs w:val="18"/>
              </w:rPr>
            </w:pPr>
            <w:r>
              <w:rPr>
                <w:rFonts w:ascii="Times New Roman"/>
                <w:sz w:val="18"/>
              </w:rPr>
              <w:t>21.69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45,531,9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71.29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45,531,9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71.29</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w:t>
            </w:r>
            <w:r>
              <w:rPr>
                <w:rFonts w:ascii="宋体" w:hAnsi="宋体" w:cs="宋体" w:eastAsia="宋体" w:hint="default"/>
                <w:w w:val="99"/>
                <w:sz w:val="18"/>
                <w:szCs w:val="18"/>
              </w:rPr>
              <w:t> </w:t>
            </w:r>
            <w:r>
              <w:rPr>
                <w:rFonts w:ascii="宋体" w:hAnsi="宋体" w:cs="宋体" w:eastAsia="宋体" w:hint="default"/>
                <w:sz w:val="18"/>
                <w:szCs w:val="18"/>
              </w:rPr>
              <w:t>易未实</w:t>
            </w:r>
            <w:r>
              <w:rPr>
                <w:rFonts w:ascii="宋体" w:hAnsi="宋体" w:cs="宋体" w:eastAsia="宋体" w:hint="default"/>
                <w:w w:val="99"/>
                <w:sz w:val="18"/>
                <w:szCs w:val="18"/>
              </w:rPr>
              <w:t> </w:t>
            </w:r>
            <w:r>
              <w:rPr>
                <w:rFonts w:ascii="宋体" w:hAnsi="宋体" w:cs="宋体" w:eastAsia="宋体" w:hint="default"/>
                <w:sz w:val="18"/>
                <w:szCs w:val="18"/>
              </w:rPr>
              <w:t>现利润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-27,226.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-724,260</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-60,958,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397.37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-1,219,1</w:t>
            </w:r>
          </w:p>
          <w:p>
            <w:pPr>
              <w:pStyle w:val="TableParagraph"/>
              <w:spacing w:line="240" w:lineRule="auto" w:before="106"/>
              <w:ind w:left="276" w:right="0"/>
              <w:jc w:val="center"/>
              <w:rPr>
                <w:rFonts w:ascii="Times New Roman" w:hAnsi="Times New Roman" w:cs="Times New Roman" w:eastAsia="Times New Roman" w:hint="default"/>
                <w:sz w:val="18"/>
                <w:szCs w:val="18"/>
              </w:rPr>
            </w:pPr>
            <w:r>
              <w:rPr>
                <w:rFonts w:ascii="Times New Roman"/>
                <w:sz w:val="18"/>
              </w:rPr>
              <w:t>61.41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对联营 企业权 益投资 的账面 价值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36,327,2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72.61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29,838,3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36.01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4,131,34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19,534,5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35.87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6,706,24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32,332,3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56.38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51,714,1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29,565,5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35.70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20,942,5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99.28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7,936,68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2.46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32,624,7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51,000,2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84.64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营业收 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47,522,4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29.79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10,802,5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46.22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64,661,9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08.92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20,981,1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03.16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420,106,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125.75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5,239,82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8.59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26,592,0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39.04</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59,495,4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-2,130,2</w:t>
            </w:r>
          </w:p>
          <w:p>
            <w:pPr>
              <w:pStyle w:val="TableParagraph"/>
              <w:spacing w:line="240" w:lineRule="auto" w:before="106"/>
              <w:ind w:left="276" w:right="0"/>
              <w:jc w:val="center"/>
              <w:rPr>
                <w:rFonts w:ascii="Times New Roman" w:hAnsi="Times New Roman" w:cs="Times New Roman" w:eastAsia="Times New Roman" w:hint="default"/>
                <w:sz w:val="18"/>
                <w:szCs w:val="18"/>
              </w:rPr>
            </w:pPr>
            <w:r>
              <w:rPr>
                <w:rFonts w:ascii="Times New Roman"/>
                <w:sz w:val="18"/>
              </w:rPr>
              <w:t>59.86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20,219,5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09.51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-3,352,5</w:t>
            </w:r>
          </w:p>
          <w:p>
            <w:pPr>
              <w:pStyle w:val="TableParagraph"/>
              <w:spacing w:line="240" w:lineRule="auto" w:before="106"/>
              <w:ind w:left="278" w:right="0"/>
              <w:jc w:val="center"/>
              <w:rPr>
                <w:rFonts w:ascii="Times New Roman" w:hAnsi="Times New Roman" w:cs="Times New Roman" w:eastAsia="Times New Roman" w:hint="default"/>
                <w:sz w:val="18"/>
                <w:szCs w:val="18"/>
              </w:rPr>
            </w:pPr>
            <w:r>
              <w:rPr>
                <w:rFonts w:ascii="Times New Roman"/>
                <w:sz w:val="18"/>
              </w:rPr>
              <w:t>31.92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-6,152,1</w:t>
            </w:r>
          </w:p>
          <w:p>
            <w:pPr>
              <w:pStyle w:val="TableParagraph"/>
              <w:spacing w:line="240" w:lineRule="auto" w:before="106"/>
              <w:ind w:left="277" w:right="0"/>
              <w:jc w:val="center"/>
              <w:rPr>
                <w:rFonts w:ascii="Times New Roman" w:hAnsi="Times New Roman" w:cs="Times New Roman" w:eastAsia="Times New Roman" w:hint="default"/>
                <w:sz w:val="18"/>
                <w:szCs w:val="18"/>
              </w:rPr>
            </w:pPr>
            <w:r>
              <w:rPr>
                <w:rFonts w:ascii="Times New Roman"/>
                <w:sz w:val="18"/>
              </w:rPr>
              <w:t>79.75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-943,076</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7,855,29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355,055,</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118.18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2,269,27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-10,267,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723.79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1,221,91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14,375,7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39.46</w:t>
            </w:r>
          </w:p>
        </w:tc>
      </w:tr>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59,495,4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-2,130,2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20,219,5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-3,352,5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-6,152,1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-943,076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7,855,29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355,055,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2,269,27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-10,267,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14,375,7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6"/>
        <w:gridCol w:w="736"/>
        <w:gridCol w:w="737"/>
        <w:gridCol w:w="736"/>
        <w:gridCol w:w="736"/>
        <w:gridCol w:w="737"/>
        <w:gridCol w:w="736"/>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75.40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59.86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09.51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31.92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79.75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8" w:right="0"/>
              <w:jc w:val="lef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6.02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118.18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8.61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0" w:right="0"/>
              <w:jc w:val="left"/>
              <w:rPr>
                <w:rFonts w:ascii="Times New Roman" w:hAnsi="Times New Roman" w:cs="Times New Roman" w:eastAsia="Times New Roman" w:hint="default"/>
                <w:sz w:val="18"/>
                <w:szCs w:val="18"/>
              </w:rPr>
            </w:pPr>
            <w:r>
              <w:rPr>
                <w:rFonts w:ascii="Times New Roman"/>
                <w:sz w:val="18"/>
              </w:rPr>
              <w:t>723.79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39.46</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本年度 收到的 来自联 营企业 的股利</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394"/>
      <w:bookmarkEnd w:id="39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395"/>
      <w:bookmarkEnd w:id="39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96"/>
      <w:bookmarkEnd w:id="39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97"/>
      <w:bookmarkEnd w:id="39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98"/>
      <w:bookmarkEnd w:id="39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99"/>
      <w:bookmarkEnd w:id="39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在未纳入合并财务报表范围的结构化主体中的权益" w:id="400"/>
      <w:bookmarkEnd w:id="40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401"/>
      <w:bookmarkEnd w:id="40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02"/>
      <w:bookmarkEnd w:id="402"/>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18"/>
        <w:jc w:val="left"/>
      </w:pPr>
      <w:r>
        <w:rPr>
          <w:spacing w:val="-2"/>
        </w:rPr>
        <w:t>本公司的主要金融工具包括股权投资、借款、应收账款、应付账款等，各项金融工具的详细情况说明见本附注相关项目。与</w:t>
      </w:r>
      <w:r>
        <w:rPr>
          <w:spacing w:val="-66"/>
        </w:rPr>
        <w:t> </w:t>
      </w:r>
      <w:r>
        <w:rPr>
          <w:spacing w:val="-66"/>
        </w:rPr>
      </w:r>
      <w:r>
        <w:rPr>
          <w:spacing w:val="-2"/>
        </w:rPr>
        <w:t>这些金融工具有关的风险，以及本公司为降低这些风险所采取的风险管理政策如下所述。本公司管理层对这些风险敞口进行</w:t>
      </w:r>
      <w:r>
        <w:rPr>
          <w:spacing w:val="-64"/>
        </w:rPr>
        <w:t> </w:t>
      </w:r>
      <w:r>
        <w:rPr>
          <w:spacing w:val="-64"/>
        </w:rPr>
      </w:r>
      <w:r>
        <w:rPr/>
        <w:t>管理和监控以确保将上述风险控制在限定的范围之内。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股东及其其他权益投资者的利益最大化。基于该风险管理目标，本公司风险管理的基本策略是确定和分析本公司所面临的各</w:t>
      </w:r>
      <w:r>
        <w:rPr>
          <w:spacing w:val="-64"/>
        </w:rPr>
        <w:t> </w:t>
      </w:r>
      <w:r>
        <w:rPr>
          <w:spacing w:val="-64"/>
        </w:rPr>
      </w:r>
      <w:r>
        <w:rPr/>
        <w:t>种风险，建立适当的风险承受底线和进行风险管理，并及时可靠地对各种风险进行监督，将风险控制在限定的范围之内。 </w:t>
      </w:r>
      <w:r>
        <w:rPr>
          <w:rFonts w:ascii="Times New Roman" w:hAnsi="Times New Roman" w:cs="Times New Roman" w:eastAsia="Times New Roman" w:hint="default"/>
        </w:rPr>
        <w:t>1</w:t>
      </w:r>
      <w:r>
        <w:rPr/>
        <w:t>、信用风险</w:t>
      </w:r>
    </w:p>
    <w:p>
      <w:pPr>
        <w:pStyle w:val="BodyText"/>
        <w:spacing w:line="314" w:lineRule="auto"/>
        <w:ind w:right="1032"/>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日，可能引起本公司财务损失的最大信用风险敞口主要来自于合同另一方未能履行义务而导致本公司金融资产</w:t>
      </w:r>
      <w:r>
        <w:rPr>
          <w:spacing w:val="-56"/>
        </w:rPr>
        <w:t> </w:t>
      </w:r>
      <w:r>
        <w:rPr>
          <w:spacing w:val="-56"/>
        </w:rPr>
      </w:r>
      <w:r>
        <w:rPr/>
        <w:t>产生的损失。 </w:t>
      </w:r>
      <w:r>
        <w:rPr>
          <w:spacing w:val="-4"/>
        </w:rPr>
        <w:t>为降低信用风险，本公司专人负责确定信用额度、进行信用审批，并执行其他监控程序以确保采取必要的措施回收过期债权。</w:t>
      </w:r>
      <w:r>
        <w:rPr>
          <w:spacing w:val="-44"/>
        </w:rPr>
        <w:t> </w:t>
      </w:r>
      <w:r>
        <w:rPr>
          <w:spacing w:val="-44"/>
        </w:rPr>
      </w:r>
      <w:r>
        <w:rPr>
          <w:spacing w:val="-2"/>
        </w:rPr>
        <w:t>本公司于每个资产负债表日审核每一单项应收款的回收情况，以确保就无法回收的款项计提充分的坏账准备。因此，本公司</w:t>
      </w:r>
      <w:r>
        <w:rPr>
          <w:spacing w:val="-66"/>
        </w:rPr>
        <w:t> </w:t>
      </w:r>
      <w:r>
        <w:rPr>
          <w:spacing w:val="-66"/>
        </w:rPr>
      </w:r>
      <w:r>
        <w:rPr>
          <w:spacing w:val="-2"/>
        </w:rPr>
        <w:t>管理层认为本公司所承担的信用风险已经大为降低。本公司的流动资金存放在信用评级较高的银行，故流动资金的信用风险</w:t>
      </w:r>
      <w:r>
        <w:rPr>
          <w:spacing w:val="-63"/>
        </w:rPr>
        <w:t> </w:t>
      </w:r>
      <w:r>
        <w:rPr>
          <w:spacing w:val="-63"/>
        </w:rPr>
      </w:r>
      <w:r>
        <w:rPr/>
        <w:t>较低。</w:t>
      </w:r>
    </w:p>
    <w:p>
      <w:pPr>
        <w:pStyle w:val="BodyText"/>
        <w:spacing w:line="309" w:lineRule="auto" w:before="20"/>
        <w:ind w:right="1118"/>
        <w:jc w:val="left"/>
      </w:pPr>
      <w:r>
        <w:rPr>
          <w:rFonts w:ascii="Times New Roman" w:hAnsi="Times New Roman" w:cs="Times New Roman" w:eastAsia="Times New Roman" w:hint="default"/>
        </w:rPr>
        <w:t>2</w:t>
      </w:r>
      <w:r>
        <w:rPr/>
        <w:t>、流动风险 </w:t>
      </w:r>
      <w:r>
        <w:rPr>
          <w:spacing w:val="-2"/>
        </w:rPr>
        <w:t>本公司保持管理层认为充分的现金及现金等价物并对其进行监控，以满足本公司经营需要，并降低现金流量波动的影响。本</w:t>
      </w:r>
      <w:r>
        <w:rPr>
          <w:spacing w:val="-66"/>
        </w:rPr>
        <w:t> </w:t>
      </w:r>
      <w:r>
        <w:rPr>
          <w:spacing w:val="-66"/>
        </w:rPr>
      </w:r>
      <w:r>
        <w:rPr/>
        <w:t>公司管理层对银行借款的使用情况进行监控并确保遵守借款协议。</w:t>
      </w:r>
    </w:p>
    <w:p>
      <w:pPr>
        <w:pStyle w:val="BodyText"/>
        <w:spacing w:line="309" w:lineRule="auto" w:before="24"/>
        <w:ind w:right="1118"/>
        <w:jc w:val="left"/>
      </w:pPr>
      <w:r>
        <w:rPr>
          <w:rFonts w:ascii="Times New Roman" w:hAnsi="Times New Roman" w:cs="Times New Roman" w:eastAsia="Times New Roman" w:hint="default"/>
        </w:rPr>
        <w:t>3</w:t>
      </w:r>
      <w:r>
        <w:rPr/>
        <w:t>、利率风险 </w:t>
      </w:r>
      <w:r>
        <w:rPr>
          <w:spacing w:val="-2"/>
        </w:rPr>
        <w:t>本公司因利率变动引起金融工具现金流量变动的风险主要与银行借款利率有关。市场利率变化影响公司金融工具的利息收入</w:t>
      </w:r>
      <w:r>
        <w:rPr>
          <w:spacing w:val="-64"/>
        </w:rPr>
        <w:t> </w:t>
      </w:r>
      <w:r>
        <w:rPr>
          <w:spacing w:val="-64"/>
        </w:rPr>
      </w:r>
      <w:r>
        <w:rPr/>
        <w:t>或利息支出。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right="0"/>
        <w:jc w:val="left"/>
        <w:rPr>
          <w:b w:val="0"/>
          <w:bCs w:val="0"/>
        </w:rPr>
      </w:pPr>
      <w:bookmarkStart w:name="十一、公允价值的披露" w:id="403"/>
      <w:bookmarkEnd w:id="40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04"/>
      <w:bookmarkEnd w:id="40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持续和非持续第一层次公允价值计量项目市价的确定依据" w:id="405"/>
      <w:bookmarkEnd w:id="40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406"/>
      <w:bookmarkEnd w:id="40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407"/>
      <w:bookmarkEnd w:id="40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408"/>
      <w:bookmarkEnd w:id="40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409"/>
      <w:bookmarkEnd w:id="40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410"/>
      <w:bookmarkEnd w:id="41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411"/>
      <w:bookmarkEnd w:id="41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12"/>
      <w:bookmarkEnd w:id="41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天津泰达科技投资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7"/>
              <w:jc w:val="center"/>
              <w:rPr>
                <w:rFonts w:ascii="Times New Roman" w:hAnsi="Times New Roman" w:cs="Times New Roman" w:eastAsia="Times New Roman" w:hint="default"/>
                <w:sz w:val="18"/>
                <w:szCs w:val="18"/>
              </w:rPr>
            </w:pPr>
            <w:r>
              <w:rPr>
                <w:rFonts w:ascii="Times New Roman"/>
                <w:sz w:val="18"/>
              </w:rPr>
              <w:t>1,423,264,822.00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w:t>
            </w:r>
          </w:p>
        </w:tc>
      </w:tr>
    </w:tbl>
    <w:p>
      <w:pPr>
        <w:pStyle w:val="BodyText"/>
        <w:spacing w:line="360" w:lineRule="auto" w:before="51"/>
        <w:ind w:right="2472"/>
        <w:jc w:val="left"/>
      </w:pPr>
      <w:r>
        <w:rPr/>
        <w:t>本企业的母公司情况的说明 本公司股东中连良桂、天津泰达科技投资股份有限公司、新疆泰达新源股权投资有限公司为一致行动人。 本企业最终控制方是。</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415"/>
      <w:bookmarkEnd w:id="41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16"/>
      <w:bookmarkEnd w:id="41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吉林省嘉孚化学工业股份有限公司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河北兴石创投资有限公司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广西海东科技创业投资有限公司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霍尔果斯中企易桥股权投资合伙企业（有限合伙）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霍尔果斯神州易桥股权投资合伙企业（有限合伙）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本公司之子公司之联营公司</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17"/>
      <w:bookmarkEnd w:id="41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青海省国有资产投资管理有限公司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本公司之子公司股东及持股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百达永信投资有限公司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5.98%</w:t>
            </w:r>
            <w:r>
              <w:rPr>
                <w:rFonts w:ascii="宋体" w:hAnsi="宋体" w:cs="宋体" w:eastAsia="宋体" w:hint="default"/>
                <w:sz w:val="18"/>
                <w:szCs w:val="18"/>
              </w:rPr>
              <w:t>及与本公司为同一法定代表人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广西泰达新原股权投资有限公司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本公司之股东持股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西藏鼎信电子科技有限公司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本公司第三大股东之全资孙公司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彭聪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杭州顺利办企业管理咨询有限公司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北京起跑器科技有限公司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本公司之子公司的联营企业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18"/>
      <w:bookmarkEnd w:id="41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19"/>
      <w:bookmarkEnd w:id="41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霍尔果斯神州易桥股权投资合 伙企业（有限合伙）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3,254,716.98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1,747,572.81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新疆泰达新源股权投资有限公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452,830.19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91,132.08</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420"/>
      <w:bookmarkEnd w:id="42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7"/>
        <w:gridCol w:w="1367"/>
        <w:gridCol w:w="1355"/>
      </w:tblGrid>
      <w:tr>
        <w:trPr>
          <w:trHeight w:val="38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 w:right="0"/>
              <w:jc w:val="left"/>
              <w:rPr>
                <w:rFonts w:ascii="宋体" w:hAnsi="宋体" w:cs="宋体" w:eastAsia="宋体" w:hint="default"/>
                <w:sz w:val="18"/>
                <w:szCs w:val="18"/>
              </w:rPr>
            </w:pPr>
            <w:r>
              <w:rPr>
                <w:rFonts w:ascii="宋体" w:hAnsi="宋体" w:cs="宋体" w:eastAsia="宋体" w:hint="default"/>
                <w:sz w:val="18"/>
                <w:szCs w:val="18"/>
              </w:rPr>
              <w:t>本期确认的托管</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21"/>
      <w:bookmarkEnd w:id="42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22"/>
      <w:bookmarkEnd w:id="42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
              <w:jc w:val="center"/>
              <w:rPr>
                <w:rFonts w:ascii="宋体" w:hAnsi="宋体" w:cs="宋体" w:eastAsia="宋体" w:hint="default"/>
                <w:sz w:val="18"/>
                <w:szCs w:val="18"/>
              </w:rPr>
            </w:pPr>
            <w:r>
              <w:rPr>
                <w:rFonts w:ascii="宋体" w:hAnsi="宋体" w:cs="宋体" w:eastAsia="宋体" w:hint="default"/>
                <w:sz w:val="18"/>
                <w:szCs w:val="18"/>
              </w:rPr>
              <w:t>洛阳蓝宝氟业有限公司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方资金拆借" w:id="423"/>
      <w:bookmarkEnd w:id="42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关联方资产转让、债务重组情况" w:id="424"/>
      <w:bookmarkEnd w:id="42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425"/>
      <w:bookmarkEnd w:id="42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426"/>
      <w:bookmarkEnd w:id="42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27"/>
      <w:bookmarkEnd w:id="42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28"/>
      <w:bookmarkEnd w:id="42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霍尔果斯神州易桥 股权投资合伙企业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杭州顺利办企业管 理咨询有限公司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北京起跑器科技有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312,966.00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财合税（北京）信息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1,813,906.00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29"/>
      <w:bookmarkEnd w:id="42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新疆泰达新源股权投资有限</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133,400.00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霍尔果斯神州易桥股权投资 合伙企业（有限合伙）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2,309,000.00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30"/>
      <w:bookmarkEnd w:id="43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31"/>
      <w:bookmarkEnd w:id="43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32"/>
      <w:bookmarkEnd w:id="43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33"/>
      <w:bookmarkEnd w:id="4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9,535,000.00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34"/>
      <w:bookmarkEnd w:id="43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激励计划草案公告前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个交易日的公司股票交易均价，为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各期可行权数量</w:t>
            </w:r>
            <w:r>
              <w:rPr>
                <w:rFonts w:ascii="Times New Roman" w:hAnsi="Times New Roman" w:cs="Times New Roman" w:eastAsia="Times New Roman" w:hint="default"/>
                <w:sz w:val="18"/>
                <w:szCs w:val="18"/>
              </w:rPr>
              <w:t>=</w:t>
            </w:r>
            <w:r>
              <w:rPr>
                <w:rFonts w:ascii="宋体" w:hAnsi="宋体" w:cs="宋体" w:eastAsia="宋体" w:hint="default"/>
                <w:sz w:val="18"/>
                <w:szCs w:val="18"/>
              </w:rPr>
              <w:t>各期可行权额度</w:t>
            </w:r>
            <w:r>
              <w:rPr>
                <w:rFonts w:ascii="Times New Roman" w:hAnsi="Times New Roman" w:cs="Times New Roman" w:eastAsia="Times New Roman" w:hint="default"/>
                <w:sz w:val="18"/>
                <w:szCs w:val="18"/>
              </w:rPr>
              <w:t>×</w:t>
            </w:r>
            <w:r>
              <w:rPr>
                <w:rFonts w:ascii="宋体" w:hAnsi="宋体" w:cs="宋体" w:eastAsia="宋体" w:hint="default"/>
                <w:sz w:val="18"/>
                <w:szCs w:val="18"/>
              </w:rPr>
              <w:t>考核指标完成率</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5,125,945.28</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5,125,945.28</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300" w:lineRule="auto"/>
        <w:ind w:right="1131" w:firstLine="480"/>
        <w:jc w:val="both"/>
      </w:pPr>
      <w:r>
        <w:rPr>
          <w:rFonts w:ascii="Times New Roman" w:hAnsi="Times New Roman" w:cs="Times New Roman" w:eastAsia="Times New Roman" w:hint="default"/>
        </w:rPr>
        <w:t>2018</w:t>
      </w:r>
      <w:r>
        <w:rPr/>
        <w:t>年度公司经审计实现归属于上市公司股东的净利润</w:t>
      </w:r>
      <w:r>
        <w:rPr>
          <w:rFonts w:ascii="Times New Roman" w:hAnsi="Times New Roman" w:cs="Times New Roman" w:eastAsia="Times New Roman" w:hint="default"/>
        </w:rPr>
        <w:t>9,328.25</w:t>
      </w:r>
      <w:r>
        <w:rPr/>
        <w:t>万元，扣除股权激励成本后，未达到业绩考核目标下 </w:t>
      </w:r>
      <w:r>
        <w:rPr>
          <w:spacing w:val="-1"/>
        </w:rPr>
        <w:t>线，行权条件未达成。公司按照激励计划相关规定，注销激励对象所获授股票期权的当期可行权份额，注销权益总额</w:t>
      </w:r>
      <w:r>
        <w:rPr>
          <w:rFonts w:ascii="Times New Roman" w:hAnsi="Times New Roman" w:cs="Times New Roman" w:eastAsia="Times New Roman" w:hint="default"/>
          <w:spacing w:val="-1"/>
        </w:rPr>
        <w:t>953.50</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万份。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以现金结算的股份支付情况" w:id="435"/>
      <w:bookmarkEnd w:id="43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股份支付的修改、终止情况" w:id="436"/>
      <w:bookmarkEnd w:id="43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spacing w:line="487" w:lineRule="auto" w:before="0"/>
        <w:ind w:left="154" w:right="8343" w:firstLine="0"/>
        <w:jc w:val="left"/>
        <w:rPr>
          <w:rFonts w:ascii="宋体" w:hAnsi="宋体" w:cs="宋体" w:eastAsia="宋体" w:hint="default"/>
          <w:sz w:val="21"/>
          <w:szCs w:val="21"/>
        </w:rPr>
      </w:pPr>
      <w:bookmarkStart w:name="5、其他" w:id="437"/>
      <w:bookmarkEnd w:id="43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8"/>
      <w:bookmarkEnd w:id="438"/>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39"/>
      <w:bookmarkEnd w:id="4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BodyText"/>
        <w:spacing w:line="309" w:lineRule="auto" w:before="116"/>
        <w:ind w:right="1130"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年，本公司完成了发行股份购买神州易桥（北京）财税科技有限公司资产事宜，通过发行股份的方式购买 </w:t>
      </w:r>
      <w:r>
        <w:rPr>
          <w:spacing w:val="-2"/>
        </w:rPr>
        <w:t>了彭聪、百达永信（北京）投资有限公司、新疆泰达新源股权投资有限公司合计持有的神州易桥（北京）财税科技有限公司</w:t>
      </w:r>
      <w:r>
        <w:rPr>
          <w:spacing w:val="-69"/>
        </w:rPr>
        <w:t> </w:t>
      </w:r>
      <w:r>
        <w:rPr>
          <w:spacing w:val="-69"/>
        </w:rPr>
      </w:r>
      <w:r>
        <w:rPr>
          <w:rFonts w:ascii="Times New Roman" w:hAnsi="Times New Roman" w:cs="Times New Roman" w:eastAsia="Times New Roman" w:hint="default"/>
        </w:rPr>
        <w:t>100%</w:t>
      </w:r>
      <w:r>
        <w:rPr/>
        <w:t>股权；同时，本公司与</w:t>
      </w:r>
      <w:r>
        <w:rPr>
          <w:rFonts w:ascii="Times New Roman" w:hAnsi="Times New Roman" w:cs="Times New Roman" w:eastAsia="Times New Roman" w:hint="default"/>
        </w:rPr>
        <w:t>3</w:t>
      </w:r>
      <w:r>
        <w:rPr/>
        <w:t>名交易方签署了《盈利补偿协议（二）》，</w:t>
      </w:r>
      <w:r>
        <w:rPr>
          <w:rFonts w:ascii="Times New Roman" w:hAnsi="Times New Roman" w:cs="Times New Roman" w:eastAsia="Times New Roman" w:hint="default"/>
        </w:rPr>
        <w:t>3</w:t>
      </w:r>
      <w:r>
        <w:rPr/>
        <w:t>名补偿义务人承诺，神州易桥（北京）财税科技</w:t>
      </w:r>
      <w:r>
        <w:rPr>
          <w:spacing w:val="-54"/>
        </w:rPr>
        <w:t> </w:t>
      </w:r>
      <w:r>
        <w:rPr>
          <w:spacing w:val="-54"/>
        </w:rPr>
      </w:r>
      <w:r>
        <w:rPr>
          <w:spacing w:val="-2"/>
        </w:rPr>
        <w:t>有限公司</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年度经审计的扣非净利润分别不低于</w:t>
      </w:r>
      <w:r>
        <w:rPr>
          <w:rFonts w:ascii="Times New Roman" w:hAnsi="Times New Roman" w:cs="Times New Roman" w:eastAsia="Times New Roman" w:hint="default"/>
          <w:spacing w:val="-2"/>
        </w:rPr>
        <w:t>8,000.00</w:t>
      </w:r>
      <w:r>
        <w:rPr>
          <w:spacing w:val="-2"/>
        </w:rPr>
        <w:t>万元、</w:t>
      </w:r>
      <w:r>
        <w:rPr>
          <w:rFonts w:ascii="Times New Roman" w:hAnsi="Times New Roman" w:cs="Times New Roman" w:eastAsia="Times New Roman" w:hint="default"/>
          <w:spacing w:val="-2"/>
        </w:rPr>
        <w:t>9,400.00</w:t>
      </w:r>
      <w:r>
        <w:rPr>
          <w:spacing w:val="-2"/>
        </w:rPr>
        <w:t>万元和</w:t>
      </w:r>
      <w:r>
        <w:rPr>
          <w:rFonts w:ascii="Times New Roman" w:hAnsi="Times New Roman" w:cs="Times New Roman" w:eastAsia="Times New Roman" w:hint="default"/>
          <w:spacing w:val="-2"/>
        </w:rPr>
        <w:t>10,700.00</w:t>
      </w:r>
      <w:r>
        <w:rPr>
          <w:spacing w:val="-2"/>
        </w:rPr>
        <w:t>万元；补偿</w:t>
      </w:r>
      <w:r>
        <w:rPr>
          <w:spacing w:val="-31"/>
        </w:rPr>
        <w:t> </w:t>
      </w:r>
      <w:r>
        <w:rPr>
          <w:spacing w:val="-31"/>
        </w:rPr>
      </w:r>
      <w:r>
        <w:rPr>
          <w:spacing w:val="-2"/>
        </w:rPr>
        <w:t>义务人保证在本协议生效之日起，对本协议中所载的承诺扣非净利润的实现承担保证责任，本期为承诺期的最后一年。根据</w:t>
      </w:r>
      <w:r>
        <w:rPr>
          <w:spacing w:val="-66"/>
        </w:rPr>
        <w:t> </w:t>
      </w:r>
      <w:r>
        <w:rPr>
          <w:spacing w:val="-66"/>
        </w:rPr>
      </w:r>
      <w:r>
        <w:rPr>
          <w:spacing w:val="-2"/>
        </w:rPr>
        <w:t>瑞华会计师事务所（特殊普通合伙）出具的《业绩承诺实现情况的专项审核报告》，神州易桥（北京）财税科技有限公司累</w:t>
      </w:r>
      <w:r>
        <w:rPr>
          <w:spacing w:val="-72"/>
        </w:rPr>
        <w:t> </w:t>
      </w:r>
      <w:r>
        <w:rPr>
          <w:spacing w:val="-72"/>
        </w:rPr>
      </w:r>
      <w:r>
        <w:rPr/>
        <w:t>计完成承诺利润的</w:t>
      </w:r>
      <w:r>
        <w:rPr>
          <w:rFonts w:ascii="Times New Roman" w:hAnsi="Times New Roman" w:cs="Times New Roman" w:eastAsia="Times New Roman" w:hint="default"/>
        </w:rPr>
        <w:t>103.23%</w:t>
      </w:r>
      <w:r>
        <w:rPr/>
        <w:t>。</w:t>
      </w:r>
    </w:p>
    <w:p>
      <w:pPr>
        <w:pStyle w:val="BodyText"/>
        <w:spacing w:line="300" w:lineRule="auto" w:before="5"/>
        <w:ind w:right="0" w:firstLine="480"/>
        <w:jc w:val="left"/>
      </w:pPr>
      <w:r>
        <w:rPr>
          <w:spacing w:val="-1"/>
        </w:rPr>
        <w:t>（</w:t>
      </w:r>
      <w:r>
        <w:rPr>
          <w:rFonts w:ascii="Times New Roman" w:hAnsi="Times New Roman" w:cs="Times New Roman" w:eastAsia="Times New Roman" w:hint="default"/>
          <w:spacing w:val="-1"/>
        </w:rPr>
        <w:t>2</w:t>
      </w:r>
      <w:r>
        <w:rPr>
          <w:spacing w:val="-1"/>
        </w:rPr>
        <w:t>）本公司之子公司神州易桥（北京）财税科技有限公司在</w:t>
      </w:r>
      <w:r>
        <w:rPr>
          <w:rFonts w:ascii="Times New Roman" w:hAnsi="Times New Roman" w:cs="Times New Roman" w:eastAsia="Times New Roman" w:hint="default"/>
          <w:spacing w:val="-1"/>
        </w:rPr>
        <w:t>2016</w:t>
      </w:r>
      <w:r>
        <w:rPr>
          <w:spacing w:val="-1"/>
        </w:rPr>
        <w:t>年度完成对无锡易广企业管理有限公司的股权收购，</w:t>
      </w:r>
      <w:r>
        <w:rPr/>
        <w:t> 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月与补偿义务人聂静签订了《无锡易广企业管理有限公司股权转让协议之盈利补偿协议书》，补偿义务人承诺：</w:t>
      </w:r>
      <w:r>
        <w:rPr>
          <w:spacing w:val="-83"/>
        </w:rPr>
        <w:t> </w:t>
      </w:r>
      <w:r>
        <w:rPr>
          <w:spacing w:val="-83"/>
        </w:rPr>
      </w:r>
      <w:r>
        <w:rPr>
          <w:spacing w:val="-2"/>
        </w:rPr>
        <w:t>无锡易广企业管理有限公司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日期间、</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年度及</w:t>
      </w:r>
      <w:r>
        <w:rPr>
          <w:rFonts w:ascii="Times New Roman" w:hAnsi="Times New Roman" w:cs="Times New Roman" w:eastAsia="Times New Roman" w:hint="default"/>
          <w:spacing w:val="-2"/>
        </w:rPr>
        <w:t>2019</w:t>
      </w:r>
      <w:r>
        <w:rPr>
          <w:spacing w:val="-2"/>
        </w:rPr>
        <w:t>年度承诺的扣非净利润分别不低于</w:t>
      </w:r>
      <w:r>
        <w:rPr>
          <w:rFonts w:ascii="Times New Roman" w:hAnsi="Times New Roman" w:cs="Times New Roman" w:eastAsia="Times New Roman" w:hint="default"/>
          <w:spacing w:val="-2"/>
        </w:rPr>
        <w:t>67</w:t>
      </w:r>
      <w:r>
        <w:rPr>
          <w:rFonts w:ascii="Times New Roman" w:hAnsi="Times New Roman" w:cs="Times New Roman" w:eastAsia="Times New Roman" w:hint="default"/>
          <w:spacing w:val="5"/>
        </w:rPr>
        <w:t> </w:t>
      </w:r>
      <w:r>
        <w:rPr>
          <w:spacing w:val="-3"/>
        </w:rPr>
        <w:t>万元、</w:t>
      </w:r>
      <w:r>
        <w:rPr>
          <w:rFonts w:ascii="Times New Roman" w:hAnsi="Times New Roman" w:cs="Times New Roman" w:eastAsia="Times New Roman" w:hint="default"/>
          <w:spacing w:val="-3"/>
        </w:rPr>
        <w:t>179</w:t>
      </w:r>
      <w:r>
        <w:rPr>
          <w:spacing w:val="-3"/>
        </w:rPr>
        <w:t>万元、</w:t>
      </w:r>
      <w:r>
        <w:rPr>
          <w:rFonts w:ascii="Times New Roman" w:hAnsi="Times New Roman" w:cs="Times New Roman" w:eastAsia="Times New Roman" w:hint="default"/>
          <w:spacing w:val="-3"/>
        </w:rPr>
        <w:t>216</w:t>
      </w:r>
      <w:r>
        <w:rPr>
          <w:spacing w:val="-3"/>
        </w:rPr>
        <w:t>万元和</w:t>
      </w:r>
      <w:r>
        <w:rPr>
          <w:rFonts w:ascii="Times New Roman" w:hAnsi="Times New Roman" w:cs="Times New Roman" w:eastAsia="Times New Roman" w:hint="default"/>
          <w:spacing w:val="-3"/>
        </w:rPr>
        <w:t>262</w:t>
      </w:r>
      <w:r>
        <w:rPr>
          <w:spacing w:val="-3"/>
        </w:rPr>
        <w:t>万元。补偿义务人对上述承诺的扣非净利润的实现承担保证责任。根据瑞华会计师事务所（特</w:t>
      </w:r>
      <w:r>
        <w:rPr>
          <w:spacing w:val="-87"/>
        </w:rPr>
        <w:t> </w:t>
      </w:r>
      <w:r>
        <w:rPr>
          <w:spacing w:val="-87"/>
        </w:rPr>
      </w:r>
      <w:r>
        <w:rPr/>
        <w:t>殊普通合伙）审计后的报表，补偿义务人已经完成了</w:t>
      </w:r>
      <w:r>
        <w:rPr>
          <w:rFonts w:ascii="Times New Roman" w:hAnsi="Times New Roman" w:cs="Times New Roman" w:eastAsia="Times New Roman" w:hint="default"/>
        </w:rPr>
        <w:t>2018</w:t>
      </w:r>
      <w:r>
        <w:rPr/>
        <w:t>年度承诺的业绩。</w:t>
      </w:r>
    </w:p>
    <w:p>
      <w:pPr>
        <w:pStyle w:val="BodyText"/>
        <w:spacing w:line="300" w:lineRule="auto" w:before="13"/>
        <w:ind w:right="0" w:firstLine="480"/>
        <w:jc w:val="left"/>
      </w:pPr>
      <w:r>
        <w:rPr>
          <w:spacing w:val="-1"/>
        </w:rPr>
        <w:t>（</w:t>
      </w:r>
      <w:r>
        <w:rPr>
          <w:rFonts w:ascii="Times New Roman" w:hAnsi="Times New Roman" w:cs="Times New Roman" w:eastAsia="Times New Roman" w:hint="default"/>
          <w:spacing w:val="-1"/>
        </w:rPr>
        <w:t>3</w:t>
      </w:r>
      <w:r>
        <w:rPr>
          <w:spacing w:val="-1"/>
        </w:rPr>
        <w:t>）本公司之子公司神州易桥（北京）财税科技有限公司在</w:t>
      </w:r>
      <w:r>
        <w:rPr>
          <w:rFonts w:ascii="Times New Roman" w:hAnsi="Times New Roman" w:cs="Times New Roman" w:eastAsia="Times New Roman" w:hint="default"/>
          <w:spacing w:val="-1"/>
        </w:rPr>
        <w:t>2016</w:t>
      </w:r>
      <w:r>
        <w:rPr>
          <w:spacing w:val="-1"/>
        </w:rPr>
        <w:t>年度完成对无锡易真企业管理有限公司的股权收购，</w:t>
      </w:r>
      <w:r>
        <w:rPr/>
        <w:t> 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月与杨佩剑签订了《无锡易真企业管理有限公司股权转让协议之盈利补偿协议书》，补偿义务人承诺：无锡易真</w:t>
      </w:r>
      <w:r>
        <w:rPr>
          <w:spacing w:val="-82"/>
        </w:rPr>
        <w:t> </w:t>
      </w:r>
      <w:r>
        <w:rPr>
          <w:spacing w:val="-82"/>
        </w:rPr>
      </w:r>
      <w:r>
        <w:rPr>
          <w:spacing w:val="-3"/>
        </w:rPr>
        <w:t>企业管理有限公司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日期间、</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年度及</w:t>
      </w:r>
      <w:r>
        <w:rPr>
          <w:rFonts w:ascii="Times New Roman" w:hAnsi="Times New Roman" w:cs="Times New Roman" w:eastAsia="Times New Roman" w:hint="default"/>
          <w:spacing w:val="-3"/>
        </w:rPr>
        <w:t>2019</w:t>
      </w:r>
      <w:r>
        <w:rPr>
          <w:spacing w:val="-3"/>
        </w:rPr>
        <w:t>年度承诺的扣非净利润分别不低于</w:t>
      </w:r>
      <w:r>
        <w:rPr>
          <w:rFonts w:ascii="Times New Roman" w:hAnsi="Times New Roman" w:cs="Times New Roman" w:eastAsia="Times New Roman" w:hint="default"/>
          <w:spacing w:val="-3"/>
        </w:rPr>
        <w:t>88</w:t>
      </w:r>
      <w:r>
        <w:rPr>
          <w:spacing w:val="-3"/>
        </w:rPr>
        <w:t>万元、</w:t>
      </w:r>
      <w:r>
        <w:rPr>
          <w:rFonts w:ascii="Times New Roman" w:hAnsi="Times New Roman" w:cs="Times New Roman" w:eastAsia="Times New Roman" w:hint="default"/>
          <w:spacing w:val="-3"/>
        </w:rPr>
        <w:t>191</w:t>
      </w:r>
      <w:r>
        <w:rPr>
          <w:rFonts w:ascii="Times New Roman" w:hAnsi="Times New Roman" w:cs="Times New Roman" w:eastAsia="Times New Roman" w:hint="default"/>
          <w:spacing w:val="-15"/>
        </w:rPr>
        <w:t> </w:t>
      </w:r>
      <w:r>
        <w:rPr>
          <w:spacing w:val="-2"/>
        </w:rPr>
        <w:t>万元、</w:t>
      </w:r>
      <w:r>
        <w:rPr>
          <w:rFonts w:ascii="Times New Roman" w:hAnsi="Times New Roman" w:cs="Times New Roman" w:eastAsia="Times New Roman" w:hint="default"/>
          <w:spacing w:val="-2"/>
        </w:rPr>
        <w:t>234</w:t>
      </w:r>
      <w:r>
        <w:rPr>
          <w:spacing w:val="-2"/>
        </w:rPr>
        <w:t>万元和</w:t>
      </w:r>
      <w:r>
        <w:rPr>
          <w:rFonts w:ascii="Times New Roman" w:hAnsi="Times New Roman" w:cs="Times New Roman" w:eastAsia="Times New Roman" w:hint="default"/>
          <w:spacing w:val="-2"/>
        </w:rPr>
        <w:t>276</w:t>
      </w:r>
      <w:r>
        <w:rPr>
          <w:spacing w:val="-2"/>
        </w:rPr>
        <w:t>万元。补偿义务人对上述承诺的扣非净利润的实现承担保证责任。根据瑞华会计师事务所（特殊普通合</w:t>
      </w:r>
      <w:r>
        <w:rPr>
          <w:spacing w:val="-59"/>
        </w:rPr>
        <w:t> </w:t>
      </w:r>
      <w:r>
        <w:rPr>
          <w:spacing w:val="-59"/>
        </w:rPr>
      </w:r>
      <w:r>
        <w:rPr/>
        <w:t>伙）审计后的报表，补偿义务人已经完成了</w:t>
      </w:r>
      <w:r>
        <w:rPr>
          <w:rFonts w:ascii="Times New Roman" w:hAnsi="Times New Roman" w:cs="Times New Roman" w:eastAsia="Times New Roman" w:hint="default"/>
        </w:rPr>
        <w:t>2018</w:t>
      </w:r>
      <w:r>
        <w:rPr/>
        <w:t>年度承诺的业绩。</w:t>
      </w:r>
    </w:p>
    <w:p>
      <w:pPr>
        <w:pStyle w:val="BodyText"/>
        <w:spacing w:line="304" w:lineRule="auto" w:before="13"/>
        <w:ind w:right="1130" w:firstLine="480"/>
        <w:jc w:val="both"/>
      </w:pPr>
      <w:r>
        <w:rPr/>
        <w:t>（</w:t>
      </w:r>
      <w:r>
        <w:rPr>
          <w:rFonts w:ascii="Times New Roman" w:hAnsi="Times New Roman" w:cs="Times New Roman" w:eastAsia="Times New Roman" w:hint="default"/>
        </w:rPr>
        <w:t>4</w:t>
      </w:r>
      <w:r>
        <w:rPr/>
        <w:t>）本公司之子公司神州易桥（北京）财税科技有限公司在</w:t>
      </w:r>
      <w:r>
        <w:rPr>
          <w:rFonts w:ascii="Times New Roman" w:hAnsi="Times New Roman" w:cs="Times New Roman" w:eastAsia="Times New Roman" w:hint="default"/>
        </w:rPr>
        <w:t>2017</w:t>
      </w:r>
      <w:r>
        <w:rPr/>
        <w:t>年度完成对宁波神州开元会计服务有限公司的股权 收购，于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月与隆化县优创企业管理咨询中心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、霍尔果斯神州易桥股权投资合伙企业（有限合伙）、霍尔</w:t>
      </w:r>
      <w:r>
        <w:rPr>
          <w:spacing w:val="-35"/>
        </w:rPr>
        <w:t> </w:t>
      </w:r>
      <w:r>
        <w:rPr>
          <w:spacing w:val="-35"/>
        </w:rPr>
      </w:r>
      <w:r>
        <w:rPr>
          <w:spacing w:val="-2"/>
        </w:rPr>
        <w:t>果斯硕佳股权投资有限公司、西藏天元方创创业投资有限公司签订了《宁波神州开元会计服务有限公司股权转让协议之盈利</w:t>
      </w:r>
      <w:r>
        <w:rPr>
          <w:spacing w:val="-64"/>
        </w:rPr>
        <w:t> </w:t>
      </w:r>
      <w:r>
        <w:rPr>
          <w:spacing w:val="-64"/>
        </w:rPr>
      </w:r>
      <w:r>
        <w:rPr>
          <w:spacing w:val="-2"/>
        </w:rPr>
        <w:t>补偿协议书》，补偿义务人承诺：宁波神州开元会计服务有限公司</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年度以及</w:t>
      </w:r>
      <w:r>
        <w:rPr>
          <w:rFonts w:ascii="Times New Roman" w:hAnsi="Times New Roman" w:cs="Times New Roman" w:eastAsia="Times New Roman" w:hint="default"/>
          <w:spacing w:val="-2"/>
        </w:rPr>
        <w:t>2019</w:t>
      </w:r>
      <w:r>
        <w:rPr>
          <w:spacing w:val="-2"/>
        </w:rPr>
        <w:t>年度承诺扣非净利润分别不</w:t>
      </w:r>
      <w:r>
        <w:rPr>
          <w:spacing w:val="-54"/>
        </w:rPr>
        <w:t> </w:t>
      </w:r>
      <w:r>
        <w:rPr>
          <w:spacing w:val="-1"/>
        </w:rPr>
        <w:t>低于</w:t>
      </w:r>
      <w:r>
        <w:rPr>
          <w:rFonts w:ascii="Times New Roman" w:hAnsi="Times New Roman" w:cs="Times New Roman" w:eastAsia="Times New Roman" w:hint="default"/>
          <w:spacing w:val="-1"/>
        </w:rPr>
        <w:t>3,000</w:t>
      </w:r>
      <w:r>
        <w:rPr>
          <w:spacing w:val="-1"/>
        </w:rPr>
        <w:t>万元、</w:t>
      </w:r>
      <w:r>
        <w:rPr>
          <w:rFonts w:ascii="Times New Roman" w:hAnsi="Times New Roman" w:cs="Times New Roman" w:eastAsia="Times New Roman" w:hint="default"/>
          <w:spacing w:val="-1"/>
        </w:rPr>
        <w:t>3,600</w:t>
      </w:r>
      <w:r>
        <w:rPr>
          <w:spacing w:val="-1"/>
        </w:rPr>
        <w:t>万元和</w:t>
      </w:r>
      <w:r>
        <w:rPr>
          <w:rFonts w:ascii="Times New Roman" w:hAnsi="Times New Roman" w:cs="Times New Roman" w:eastAsia="Times New Roman" w:hint="default"/>
          <w:spacing w:val="-1"/>
        </w:rPr>
        <w:t>4,320</w:t>
      </w:r>
      <w:r>
        <w:rPr>
          <w:spacing w:val="-1"/>
        </w:rPr>
        <w:t>万元。补偿义务人对上述承诺的扣非净利润的实现承担保证责任。根据瑞华会计师事务所</w:t>
      </w:r>
    </w:p>
    <w:p>
      <w:pPr>
        <w:pStyle w:val="BodyText"/>
        <w:spacing w:line="240" w:lineRule="auto" w:before="9"/>
        <w:ind w:right="0"/>
        <w:jc w:val="left"/>
      </w:pPr>
      <w:r>
        <w:rPr/>
        <w:t>（特殊普通合伙）审计后的报表，补偿义务人累计完成承诺利润的</w:t>
      </w:r>
      <w:r>
        <w:rPr>
          <w:rFonts w:ascii="Times New Roman" w:hAnsi="Times New Roman" w:cs="Times New Roman" w:eastAsia="Times New Roman" w:hint="default"/>
        </w:rPr>
        <w:t>98.77%</w:t>
      </w:r>
      <w:r>
        <w:rPr/>
        <w:t>。</w:t>
      </w:r>
    </w:p>
    <w:p>
      <w:pPr>
        <w:pStyle w:val="BodyText"/>
        <w:spacing w:line="240" w:lineRule="auto" w:before="63"/>
        <w:ind w:left="634" w:right="0"/>
        <w:jc w:val="left"/>
      </w:pPr>
      <w:r>
        <w:rPr>
          <w:spacing w:val="2"/>
        </w:rPr>
        <w:t>（</w:t>
      </w:r>
      <w:r>
        <w:rPr>
          <w:rFonts w:ascii="Times New Roman" w:hAnsi="Times New Roman" w:cs="Times New Roman" w:eastAsia="Times New Roman" w:hint="default"/>
          <w:spacing w:val="2"/>
        </w:rPr>
        <w:t>5</w:t>
      </w:r>
      <w:r>
        <w:rPr>
          <w:spacing w:val="2"/>
        </w:rPr>
        <w:t>）截止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日，霍尔果斯快马财税管理服务有限公司下属的</w:t>
      </w:r>
      <w:r>
        <w:rPr>
          <w:rFonts w:ascii="Times New Roman" w:hAnsi="Times New Roman" w:cs="Times New Roman" w:eastAsia="Times New Roman" w:hint="default"/>
          <w:spacing w:val="2"/>
        </w:rPr>
        <w:t>56</w:t>
      </w:r>
      <w:r>
        <w:rPr>
          <w:spacing w:val="2"/>
        </w:rPr>
        <w:t>家终端资产中有</w:t>
      </w:r>
      <w:r>
        <w:rPr>
          <w:rFonts w:ascii="Times New Roman" w:hAnsi="Times New Roman" w:cs="Times New Roman" w:eastAsia="Times New Roman" w:hint="default"/>
          <w:spacing w:val="2"/>
        </w:rPr>
        <w:t>6</w:t>
      </w:r>
      <w:r>
        <w:rPr>
          <w:spacing w:val="2"/>
        </w:rPr>
        <w:t>家累计完成承诺利润的</w:t>
      </w:r>
    </w:p>
    <w:p>
      <w:pPr>
        <w:pStyle w:val="BodyText"/>
        <w:spacing w:line="240" w:lineRule="auto" w:before="63"/>
        <w:ind w:right="0"/>
        <w:jc w:val="left"/>
      </w:pPr>
      <w:r>
        <w:rPr>
          <w:rFonts w:ascii="Times New Roman" w:hAnsi="Times New Roman" w:cs="Times New Roman" w:eastAsia="Times New Roman" w:hint="default"/>
        </w:rPr>
        <w:t>94%</w:t>
      </w:r>
      <w:r>
        <w:rPr/>
        <w:t>。</w:t>
      </w:r>
    </w:p>
    <w:p>
      <w:pPr>
        <w:pStyle w:val="BodyText"/>
        <w:spacing w:line="240" w:lineRule="auto" w:before="63"/>
        <w:ind w:left="634" w:right="0"/>
        <w:jc w:val="left"/>
      </w:pPr>
      <w:r>
        <w:rPr/>
        <w:t>（</w:t>
      </w:r>
      <w:r>
        <w:rPr>
          <w:rFonts w:ascii="Times New Roman" w:hAnsi="Times New Roman" w:cs="Times New Roman" w:eastAsia="Times New Roman" w:hint="default"/>
        </w:rPr>
        <w:t>6</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日，霍尔果斯易桥快马企业管理咨询有限公司下属的</w:t>
      </w:r>
      <w:r>
        <w:rPr>
          <w:rFonts w:ascii="Times New Roman" w:hAnsi="Times New Roman" w:cs="Times New Roman" w:eastAsia="Times New Roman" w:hint="default"/>
        </w:rPr>
        <w:t>25</w:t>
      </w:r>
      <w:r>
        <w:rPr/>
        <w:t>家终端资产累计完成承诺利润的</w:t>
      </w:r>
      <w:r>
        <w:rPr>
          <w:rFonts w:ascii="Times New Roman" w:hAnsi="Times New Roman" w:cs="Times New Roman" w:eastAsia="Times New Roman" w:hint="default"/>
        </w:rPr>
        <w:t>112%</w:t>
      </w:r>
      <w:r>
        <w:rPr/>
        <w:t>。</w:t>
      </w:r>
    </w:p>
    <w:p>
      <w:pPr>
        <w:pStyle w:val="BodyText"/>
        <w:spacing w:line="300" w:lineRule="auto" w:before="63"/>
        <w:ind w:right="1129" w:firstLine="480"/>
        <w:jc w:val="both"/>
      </w:pPr>
      <w:r>
        <w:rPr/>
        <w:t>（</w:t>
      </w:r>
      <w:r>
        <w:rPr>
          <w:rFonts w:ascii="Times New Roman" w:hAnsi="Times New Roman" w:cs="Times New Roman" w:eastAsia="Times New Roman" w:hint="default"/>
        </w:rPr>
        <w:t>7</w:t>
      </w:r>
      <w:r>
        <w:rPr/>
        <w:t>）本公司在</w:t>
      </w:r>
      <w:r>
        <w:rPr>
          <w:rFonts w:ascii="Times New Roman" w:hAnsi="Times New Roman" w:cs="Times New Roman" w:eastAsia="Times New Roman" w:hint="default"/>
        </w:rPr>
        <w:t>2017</w:t>
      </w:r>
      <w:r>
        <w:rPr/>
        <w:t>年度完成对广州网融信息技术有限公司（以下简称</w:t>
      </w:r>
      <w:r>
        <w:rPr>
          <w:rFonts w:ascii="Times New Roman" w:hAnsi="Times New Roman" w:cs="Times New Roman" w:eastAsia="Times New Roman" w:hint="default"/>
        </w:rPr>
        <w:t>“</w:t>
      </w:r>
      <w:r>
        <w:rPr/>
        <w:t>广州网融</w:t>
      </w:r>
      <w:r>
        <w:rPr>
          <w:rFonts w:ascii="Times New Roman" w:hAnsi="Times New Roman" w:cs="Times New Roman" w:eastAsia="Times New Roman" w:hint="default"/>
        </w:rPr>
        <w:t>”</w:t>
      </w:r>
      <w:r>
        <w:rPr/>
        <w:t>）</w:t>
      </w:r>
      <w:r>
        <w:rPr>
          <w:rFonts w:ascii="Times New Roman" w:hAnsi="Times New Roman" w:cs="Times New Roman" w:eastAsia="Times New Roman" w:hint="default"/>
        </w:rPr>
        <w:t>25%</w:t>
      </w:r>
      <w:r>
        <w:rPr/>
        <w:t>股权收购。并于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月与</w:t>
      </w:r>
      <w:r>
        <w:rPr>
          <w:spacing w:val="1"/>
        </w:rPr>
        <w:t> </w:t>
      </w:r>
      <w:r>
        <w:rPr>
          <w:spacing w:val="-2"/>
        </w:rPr>
        <w:t>陈颖、陈勇及谢鹏三名自然人签署了《股权转让协议之盈利补偿协议书》，补偿义务人承诺：广州网融</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w:t>
      </w:r>
      <w:r>
        <w:rPr>
          <w:spacing w:val="-60"/>
        </w:rPr>
        <w:t> </w:t>
      </w:r>
      <w:r>
        <w:rPr>
          <w:spacing w:val="-1"/>
        </w:rPr>
        <w:t>以及</w:t>
      </w:r>
      <w:r>
        <w:rPr>
          <w:rFonts w:ascii="Times New Roman" w:hAnsi="Times New Roman" w:cs="Times New Roman" w:eastAsia="Times New Roman" w:hint="default"/>
          <w:spacing w:val="-1"/>
        </w:rPr>
        <w:t>2019</w:t>
      </w:r>
      <w:r>
        <w:rPr>
          <w:spacing w:val="-1"/>
        </w:rPr>
        <w:t>年度承诺扣非净利润分别不低</w:t>
      </w:r>
      <w:r>
        <w:rPr>
          <w:rFonts w:ascii="Times New Roman" w:hAnsi="Times New Roman" w:cs="Times New Roman" w:eastAsia="Times New Roman" w:hint="default"/>
          <w:spacing w:val="-1"/>
        </w:rPr>
        <w:t>1,500</w:t>
      </w:r>
      <w:r>
        <w:rPr>
          <w:spacing w:val="-1"/>
        </w:rPr>
        <w:t>万元、</w:t>
      </w:r>
      <w:r>
        <w:rPr>
          <w:rFonts w:ascii="Times New Roman" w:hAnsi="Times New Roman" w:cs="Times New Roman" w:eastAsia="Times New Roman" w:hint="default"/>
          <w:spacing w:val="-1"/>
        </w:rPr>
        <w:t>1,800</w:t>
      </w:r>
      <w:r>
        <w:rPr>
          <w:spacing w:val="-1"/>
        </w:rPr>
        <w:t>万元和</w:t>
      </w:r>
      <w:r>
        <w:rPr>
          <w:rFonts w:ascii="Times New Roman" w:hAnsi="Times New Roman" w:cs="Times New Roman" w:eastAsia="Times New Roman" w:hint="default"/>
          <w:spacing w:val="-1"/>
        </w:rPr>
        <w:t>2,160</w:t>
      </w:r>
      <w:r>
        <w:rPr>
          <w:spacing w:val="-1"/>
        </w:rPr>
        <w:t>万元。补偿义务人对上述承诺的扣非净利润的实现承担</w:t>
      </w:r>
      <w:r>
        <w:rPr>
          <w:spacing w:val="-68"/>
        </w:rPr>
        <w:t> </w:t>
      </w:r>
      <w:r>
        <w:rPr>
          <w:spacing w:val="-68"/>
        </w:rPr>
      </w:r>
      <w:r>
        <w:rPr/>
        <w:t>保证责任。根据天职国际会计师事务所（特殊普通合伙）出具的天职业字【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19921</w:t>
      </w:r>
      <w:r>
        <w:rPr/>
        <w:t>号审计报告，补偿义务人累计完成</w:t>
      </w:r>
      <w:r>
        <w:rPr>
          <w:spacing w:val="-82"/>
        </w:rPr>
        <w:t> </w:t>
      </w:r>
      <w:r>
        <w:rPr>
          <w:spacing w:val="-82"/>
        </w:rPr>
      </w:r>
      <w:r>
        <w:rPr/>
        <w:t>承诺利润的</w:t>
      </w:r>
      <w:r>
        <w:rPr>
          <w:rFonts w:ascii="Times New Roman" w:hAnsi="Times New Roman" w:cs="Times New Roman" w:eastAsia="Times New Roman" w:hint="default"/>
        </w:rPr>
        <w:t>70.15%</w:t>
      </w:r>
      <w:r>
        <w:rPr/>
        <w:t>。</w:t>
      </w:r>
    </w:p>
    <w:p>
      <w:pPr>
        <w:spacing w:line="240" w:lineRule="auto" w:before="11"/>
        <w:rPr>
          <w:rFonts w:ascii="宋体" w:hAnsi="宋体" w:cs="宋体" w:eastAsia="宋体" w:hint="default"/>
          <w:sz w:val="24"/>
          <w:szCs w:val="24"/>
        </w:rPr>
      </w:pPr>
    </w:p>
    <w:p>
      <w:pPr>
        <w:pStyle w:val="BodyText"/>
        <w:spacing w:line="240" w:lineRule="auto"/>
        <w:ind w:left="634"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日，除上述事项外，本公司无需要披露的重大承诺事项。</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left"/>
        <w:rPr>
          <w:b w:val="0"/>
          <w:bCs w:val="0"/>
        </w:rPr>
      </w:pPr>
      <w:bookmarkStart w:name="2、或有事项" w:id="440"/>
      <w:bookmarkEnd w:id="44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41"/>
      <w:bookmarkEnd w:id="44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07" w:lineRule="auto"/>
        <w:ind w:right="1131" w:firstLine="48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5</w:t>
      </w:r>
      <w:r>
        <w:rPr/>
        <w:t>日召开第八届董事会</w:t>
      </w:r>
      <w:r>
        <w:rPr>
          <w:rFonts w:ascii="Times New Roman" w:hAnsi="Times New Roman" w:cs="Times New Roman" w:eastAsia="Times New Roman" w:hint="default"/>
        </w:rPr>
        <w:t>2018</w:t>
      </w:r>
      <w:r>
        <w:rPr/>
        <w:t>年第五次临时会议，审议通过了《关于对外提供担保的议案》，同意 为参股公司洛阳蓝宝氟业有限公司申请的短期借款提供连带责任保证担保，担保额不超过</w:t>
      </w:r>
      <w:r>
        <w:rPr>
          <w:rFonts w:ascii="Times New Roman" w:hAnsi="Times New Roman" w:cs="Times New Roman" w:eastAsia="Times New Roman" w:hint="default"/>
        </w:rPr>
        <w:t>5,000</w:t>
      </w:r>
      <w:r>
        <w:rPr/>
        <w:t>万元，担保期限为一年，从</w:t>
      </w:r>
      <w:r>
        <w:rPr>
          <w:spacing w:val="-42"/>
        </w:rPr>
        <w:t> </w:t>
      </w:r>
      <w:r>
        <w:rPr>
          <w:spacing w:val="-42"/>
        </w:rPr>
      </w:r>
      <w:r>
        <w:rPr>
          <w:spacing w:val="-2"/>
        </w:rPr>
        <w:t>借款实际发生之日起到清偿完毕止（具体以借款合同为准），作为本公司提供担保的反担保措施，洛阳蓝宝其余三名股东的</w:t>
      </w:r>
      <w:r>
        <w:rPr>
          <w:spacing w:val="-66"/>
        </w:rPr>
        <w:t> </w:t>
      </w:r>
      <w:r>
        <w:rPr>
          <w:spacing w:val="-66"/>
        </w:rPr>
      </w:r>
      <w:r>
        <w:rPr/>
        <w:t>所有股权质押给本公司。本年度实际提供担保金额为</w:t>
      </w:r>
      <w:r>
        <w:rPr>
          <w:rFonts w:ascii="Times New Roman" w:hAnsi="Times New Roman" w:cs="Times New Roman" w:eastAsia="Times New Roman" w:hint="default"/>
        </w:rPr>
        <w:t>4,700</w:t>
      </w:r>
      <w:r>
        <w:rPr/>
        <w:t>万元。</w:t>
      </w:r>
    </w:p>
    <w:p>
      <w:pPr>
        <w:pStyle w:val="BodyText"/>
        <w:spacing w:line="240" w:lineRule="auto" w:before="7"/>
        <w:ind w:left="634" w:right="0"/>
        <w:jc w:val="left"/>
      </w:pPr>
      <w:r>
        <w:rPr/>
        <w:t>除上述事项外，截至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bookmarkStart w:name="（2）公司没有需要披露的重要或有事项，也应予以说明" w:id="442"/>
      <w:bookmarkEnd w:id="44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43"/>
      <w:bookmarkEnd w:id="4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44"/>
      <w:bookmarkEnd w:id="44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45"/>
      <w:bookmarkEnd w:id="44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46"/>
      <w:bookmarkEnd w:id="44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both"/>
        <w:rPr>
          <w:b w:val="0"/>
          <w:bCs w:val="0"/>
        </w:rPr>
      </w:pPr>
      <w:bookmarkStart w:name="3、销售退回" w:id="447"/>
      <w:bookmarkEnd w:id="44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其他资产负债表日后事项说明" w:id="448"/>
      <w:bookmarkEnd w:id="44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6"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日起执行新会计准则的影响 </w:t>
      </w:r>
      <w:r>
        <w:rPr>
          <w:spacing w:val="-1"/>
        </w:rPr>
        <w:t>财政部于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日分别发布了《企业会计准则第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w:t>
      </w:r>
      <w:r>
        <w:rPr>
          <w:rFonts w:ascii="Times New Roman" w:hAnsi="Times New Roman" w:cs="Times New Roman" w:eastAsia="Times New Roman" w:hint="default"/>
          <w:spacing w:val="-1"/>
        </w:rPr>
        <w:t>2017</w:t>
      </w:r>
      <w:r>
        <w:rPr>
          <w:spacing w:val="-1"/>
        </w:rPr>
        <w:t>年修订）》（财会〔</w:t>
      </w:r>
      <w:r>
        <w:rPr>
          <w:rFonts w:ascii="Times New Roman" w:hAnsi="Times New Roman" w:cs="Times New Roman" w:eastAsia="Times New Roman" w:hint="default"/>
          <w:spacing w:val="-1"/>
        </w:rPr>
        <w:t>2017</w:t>
      </w:r>
      <w:r>
        <w:rPr>
          <w:spacing w:val="-1"/>
        </w:rPr>
        <w:t>〕</w:t>
      </w:r>
    </w:p>
    <w:p>
      <w:pPr>
        <w:pStyle w:val="BodyText"/>
        <w:spacing w:line="300" w:lineRule="auto" w:before="13"/>
        <w:ind w:right="1129"/>
        <w:jc w:val="both"/>
      </w:pPr>
      <w:r>
        <w:rPr>
          <w:rFonts w:ascii="Times New Roman" w:hAnsi="Times New Roman" w:cs="Times New Roman" w:eastAsia="Times New Roman" w:hint="default"/>
          <w:spacing w:val="-2"/>
        </w:rPr>
        <w:t>7</w:t>
      </w:r>
      <w:r>
        <w:rPr>
          <w:spacing w:val="-2"/>
        </w:rPr>
        <w:t>号）、《企业会计准则第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w:t>
      </w:r>
      <w:r>
        <w:rPr>
          <w:rFonts w:ascii="Times New Roman" w:hAnsi="Times New Roman" w:cs="Times New Roman" w:eastAsia="Times New Roman" w:hint="default"/>
          <w:spacing w:val="-2"/>
        </w:rPr>
        <w:t>2017</w:t>
      </w:r>
      <w:r>
        <w:rPr>
          <w:spacing w:val="-2"/>
        </w:rPr>
        <w:t>年修订）》（财会〔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w:t>
      </w:r>
      <w:r>
        <w:rPr>
          <w:spacing w:val="-57"/>
        </w:rPr>
        <w:t> </w:t>
      </w:r>
      <w:r>
        <w:rPr/>
        <w:t>会计（</w:t>
      </w:r>
      <w:r>
        <w:rPr>
          <w:rFonts w:ascii="Times New Roman" w:hAnsi="Times New Roman" w:cs="Times New Roman" w:eastAsia="Times New Roman" w:hint="default"/>
        </w:rPr>
        <w:t>2017</w:t>
      </w:r>
      <w:r>
        <w:rPr/>
        <w:t>年修订）》（财会〔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9</w:t>
      </w:r>
      <w:r>
        <w:rPr/>
        <w:t>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2017</w:t>
      </w:r>
      <w:r>
        <w:rPr/>
        <w:t>年修</w:t>
      </w:r>
      <w:r>
        <w:rPr>
          <w:spacing w:val="-83"/>
        </w:rPr>
        <w:t> </w:t>
      </w:r>
      <w:r>
        <w:rPr>
          <w:spacing w:val="-2"/>
        </w:rPr>
        <w:t>订）》（财会〔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14</w:t>
      </w:r>
      <w:r>
        <w:rPr>
          <w:spacing w:val="-2"/>
        </w:rPr>
        <w:t>号）（上述准则以下统称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），并要求境内上市公司自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日起施行。经本</w:t>
      </w:r>
      <w:r>
        <w:rPr>
          <w:spacing w:val="-32"/>
        </w:rPr>
        <w:t> </w:t>
      </w:r>
      <w:r>
        <w:rPr>
          <w:spacing w:val="-32"/>
        </w:rPr>
      </w:r>
      <w:r>
        <w:rPr/>
        <w:t>公司第八届董事会第二次会议于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日决议通过，本公司将于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日起执行上述新金融工具准则，并将依据</w:t>
      </w:r>
      <w:r>
        <w:rPr>
          <w:spacing w:val="-83"/>
        </w:rPr>
        <w:t> </w:t>
      </w:r>
      <w:r>
        <w:rPr>
          <w:spacing w:val="-83"/>
        </w:rPr>
      </w:r>
      <w:r>
        <w:rPr/>
        <w:t>上述新金融工具准则的规定对相关会计政策进行变更。</w:t>
      </w:r>
    </w:p>
    <w:p>
      <w:pPr>
        <w:spacing w:after="0" w:line="300"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6" w:right="0"/>
        <w:jc w:val="left"/>
      </w:pPr>
      <w:r>
        <w:rPr>
          <w:rFonts w:ascii="Times New Roman" w:hAnsi="Times New Roman" w:cs="Times New Roman" w:eastAsia="Times New Roman" w:hint="default"/>
        </w:rPr>
        <w:t>2</w:t>
      </w:r>
      <w:r>
        <w:rPr/>
        <w:t>、其他重要的资产负债表日后非调整事项</w:t>
      </w:r>
    </w:p>
    <w:p>
      <w:pPr>
        <w:pStyle w:val="BodyText"/>
        <w:spacing w:line="300" w:lineRule="auto" w:before="63"/>
        <w:ind w:right="1049" w:firstLine="482"/>
        <w:jc w:val="both"/>
      </w:pPr>
      <w:r>
        <w:rPr/>
        <w:t>（</w:t>
      </w:r>
      <w:r>
        <w:rPr>
          <w:rFonts w:ascii="Times New Roman" w:hAnsi="Times New Roman" w:cs="Times New Roman" w:eastAsia="Times New Roman" w:hint="default"/>
        </w:rPr>
        <w:t>1</w:t>
      </w:r>
      <w:r>
        <w:rPr/>
        <w:t>）根据公司董事会于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日发布的关于收到股东《解除</w:t>
      </w:r>
      <w:r>
        <w:rPr>
          <w:rFonts w:ascii="Times New Roman" w:hAnsi="Times New Roman" w:cs="Times New Roman" w:eastAsia="Times New Roman" w:hint="default"/>
        </w:rPr>
        <w:t>&lt;</w:t>
      </w:r>
      <w:r>
        <w:rPr/>
        <w:t>一致行动协议</w:t>
      </w:r>
      <w:r>
        <w:rPr>
          <w:rFonts w:ascii="Times New Roman" w:hAnsi="Times New Roman" w:cs="Times New Roman" w:eastAsia="Times New Roman" w:hint="default"/>
        </w:rPr>
        <w:t>&gt;</w:t>
      </w:r>
      <w:r>
        <w:rPr/>
        <w:t>通知书》的提示性公告，连良桂先 生根据《一致行动协议》约定及相关法律规定，自即日起立即解除与天津泰达、广西泰达、西藏华毓之间的一致行动关系。</w:t>
      </w:r>
    </w:p>
    <w:p>
      <w:pPr>
        <w:pStyle w:val="BodyText"/>
        <w:spacing w:line="309" w:lineRule="auto" w:before="31"/>
        <w:ind w:right="1131" w:firstLine="482"/>
        <w:jc w:val="both"/>
      </w:pPr>
      <w:r>
        <w:rPr>
          <w:spacing w:val="-1"/>
        </w:rPr>
        <w:t>（</w:t>
      </w:r>
      <w:r>
        <w:rPr>
          <w:rFonts w:ascii="Times New Roman" w:hAnsi="Times New Roman" w:cs="Times New Roman" w:eastAsia="Times New Roman" w:hint="default"/>
          <w:spacing w:val="-1"/>
        </w:rPr>
        <w:t>2</w:t>
      </w:r>
      <w:r>
        <w:rPr>
          <w:spacing w:val="-1"/>
        </w:rPr>
        <w:t>）本公司于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日收到董事长彭聪先生《股份增持告知函》，彭聪先生及其控制的关联方拟于增持股份计</w:t>
      </w:r>
      <w:r>
        <w:rPr/>
        <w:t> </w:t>
      </w:r>
      <w:r>
        <w:rPr>
          <w:spacing w:val="-2"/>
        </w:rPr>
        <w:t>划公告披露之日起六个月内（敏感期除外）通过深圳证券交易所证券交易系统（包括但不限于参与定增、集中竞价、大宗交</w:t>
      </w:r>
      <w:r>
        <w:rPr>
          <w:spacing w:val="-66"/>
        </w:rPr>
        <w:t> </w:t>
      </w:r>
      <w:r>
        <w:rPr>
          <w:spacing w:val="-66"/>
        </w:rPr>
      </w:r>
      <w:r>
        <w:rPr/>
        <w:t>易等方式）增持公司股份，拟增持股份的金额不低于</w:t>
      </w:r>
      <w:r>
        <w:rPr>
          <w:rFonts w:ascii="Times New Roman" w:hAnsi="Times New Roman" w:cs="Times New Roman" w:eastAsia="Times New Roman" w:hint="default"/>
        </w:rPr>
        <w:t>10,000</w:t>
      </w:r>
      <w:r>
        <w:rPr/>
        <w:t>万元人民币，且不超过</w:t>
      </w:r>
      <w:r>
        <w:rPr>
          <w:rFonts w:ascii="Times New Roman" w:hAnsi="Times New Roman" w:cs="Times New Roman" w:eastAsia="Times New Roman" w:hint="default"/>
        </w:rPr>
        <w:t>20,000</w:t>
      </w:r>
      <w:r>
        <w:rPr/>
        <w:t>万元人民币。</w:t>
      </w:r>
    </w:p>
    <w:p>
      <w:pPr>
        <w:pStyle w:val="BodyText"/>
        <w:spacing w:line="300" w:lineRule="auto" w:before="5"/>
        <w:ind w:right="1131" w:firstLine="482"/>
        <w:jc w:val="both"/>
      </w:pPr>
      <w:r>
        <w:rPr>
          <w:spacing w:val="-3"/>
        </w:rPr>
        <w:t>（</w:t>
      </w:r>
      <w:r>
        <w:rPr>
          <w:rFonts w:ascii="Times New Roman" w:hAnsi="Times New Roman" w:cs="Times New Roman" w:eastAsia="Times New Roman" w:hint="default"/>
          <w:spacing w:val="-3"/>
        </w:rPr>
        <w:t>3</w:t>
      </w:r>
      <w:r>
        <w:rPr>
          <w:spacing w:val="-3"/>
        </w:rPr>
        <w:t>）经本公司总裁办公会审议，同意子公司神州易桥（北京）财税科技有限公司出资设立全资子公司神州顺利办（芜</w:t>
      </w:r>
      <w:r>
        <w:rPr/>
        <w:t> 湖）人力资源服务有限公司，注册资本</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日完成工商登记手续。</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六、其他重要事项" w:id="449"/>
      <w:bookmarkEnd w:id="44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前期会计差错更正" w:id="450"/>
      <w:bookmarkEnd w:id="45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51"/>
      <w:bookmarkEnd w:id="45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52"/>
      <w:bookmarkEnd w:id="45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spacing w:line="547" w:lineRule="auto" w:before="35"/>
        <w:ind w:left="154" w:right="5892" w:firstLine="0"/>
        <w:jc w:val="left"/>
        <w:rPr>
          <w:rFonts w:ascii="宋体" w:hAnsi="宋体" w:cs="宋体" w:eastAsia="宋体" w:hint="default"/>
          <w:sz w:val="21"/>
          <w:szCs w:val="21"/>
        </w:rPr>
      </w:pPr>
      <w:bookmarkStart w:name="2、债务重组" w:id="453"/>
      <w:bookmarkEnd w:id="4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99"/>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日止，本公司无需要说明的债务重组事项。 </w:t>
      </w:r>
      <w:bookmarkStart w:name="3、资产置换" w:id="454"/>
      <w:bookmarkEnd w:id="45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25"/>
        <w:ind w:right="0"/>
        <w:jc w:val="left"/>
        <w:rPr>
          <w:b w:val="0"/>
          <w:bCs w:val="0"/>
        </w:rPr>
      </w:pPr>
      <w:bookmarkStart w:name="（1）非货币性资产交换" w:id="455"/>
      <w:bookmarkEnd w:id="45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日止，本公司无需要说明的非货币性资产交换事项。</w:t>
      </w:r>
    </w:p>
    <w:p>
      <w:pPr>
        <w:spacing w:line="240" w:lineRule="auto" w:before="11"/>
        <w:rPr>
          <w:rFonts w:ascii="宋体" w:hAnsi="宋体" w:cs="宋体" w:eastAsia="宋体" w:hint="default"/>
          <w:sz w:val="25"/>
          <w:szCs w:val="25"/>
        </w:rPr>
      </w:pPr>
    </w:p>
    <w:p>
      <w:pPr>
        <w:spacing w:line="547" w:lineRule="auto" w:before="0"/>
        <w:ind w:left="154" w:right="5532" w:firstLine="0"/>
        <w:jc w:val="left"/>
        <w:rPr>
          <w:rFonts w:ascii="宋体" w:hAnsi="宋体" w:cs="宋体" w:eastAsia="宋体" w:hint="default"/>
          <w:sz w:val="21"/>
          <w:szCs w:val="21"/>
        </w:rPr>
      </w:pPr>
      <w:bookmarkStart w:name="（2）其他资产置换"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日止，本公司无需要说明的其他资产置换事项。 </w:t>
      </w:r>
      <w:bookmarkStart w:name="4、年金计划" w:id="457"/>
      <w:bookmarkEnd w:id="45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pStyle w:val="BodyText"/>
        <w:spacing w:line="240" w:lineRule="auto" w:before="49"/>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日止，本公司无需要说明的年金计划事项。</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bookmarkStart w:name="5、终止经营" w:id="458"/>
      <w:bookmarkEnd w:id="45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357" w:lineRule="auto" w:before="51"/>
        <w:ind w:right="5892"/>
        <w:jc w:val="left"/>
      </w:pPr>
      <w:r>
        <w:rPr/>
        <w:t>其他说明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日止，本公司无需要说明的终止经营事项。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6、分部信息" w:id="459"/>
      <w:bookmarkEnd w:id="45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60"/>
      <w:bookmarkEnd w:id="46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本公司无分部信息。</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报告分部的财务信息" w:id="461"/>
      <w:bookmarkEnd w:id="46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62"/>
      <w:bookmarkEnd w:id="46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说明" w:id="463"/>
      <w:bookmarkEnd w:id="46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64"/>
      <w:bookmarkEnd w:id="46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3"/>
        <w:spacing w:line="240" w:lineRule="auto"/>
        <w:ind w:right="0"/>
        <w:jc w:val="left"/>
        <w:rPr>
          <w:b w:val="0"/>
          <w:bCs w:val="0"/>
        </w:rPr>
      </w:pPr>
      <w:bookmarkStart w:name="8、其他" w:id="465"/>
      <w:bookmarkEnd w:id="465"/>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0" w:firstLine="471"/>
        <w:jc w:val="both"/>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日召开第七届董事会第四次会议、第七届监事会第四次会议，</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年第三次 </w:t>
      </w:r>
      <w:r>
        <w:rPr>
          <w:spacing w:val="-2"/>
        </w:rPr>
        <w:t>临时股东大会审议通过了《关于公司重大资产收购预案的议案》及重大资产购买报告书（草案），同意本公司以现金方式购</w:t>
      </w:r>
      <w:r>
        <w:rPr>
          <w:spacing w:val="-66"/>
        </w:rPr>
        <w:t> </w:t>
      </w:r>
      <w:r>
        <w:rPr>
          <w:spacing w:val="-66"/>
        </w:rPr>
      </w:r>
      <w:r>
        <w:rPr>
          <w:spacing w:val="-1"/>
        </w:rPr>
        <w:t>买霍尔果斯神州易桥股权投资合伙企业（有限合伙）持有的霍尔果斯快马财税管理服务有限公司</w:t>
      </w:r>
      <w:r>
        <w:rPr>
          <w:rFonts w:ascii="Times New Roman" w:hAnsi="Times New Roman" w:cs="Times New Roman" w:eastAsia="Times New Roman" w:hint="default"/>
          <w:spacing w:val="-1"/>
        </w:rPr>
        <w:t>60%</w:t>
      </w:r>
      <w:r>
        <w:rPr>
          <w:spacing w:val="-1"/>
        </w:rPr>
        <w:t>股权，上述股权变更的</w:t>
      </w:r>
      <w:r>
        <w:rPr>
          <w:spacing w:val="-87"/>
        </w:rPr>
        <w:t> </w:t>
      </w:r>
      <w:r>
        <w:rPr>
          <w:spacing w:val="-87"/>
        </w:rPr>
      </w:r>
      <w:r>
        <w:rPr/>
        <w:t>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日完成。</w:t>
      </w:r>
    </w:p>
    <w:p>
      <w:pPr>
        <w:pStyle w:val="BodyText"/>
        <w:spacing w:line="300" w:lineRule="auto" w:before="7"/>
        <w:ind w:right="1128" w:firstLine="471"/>
        <w:jc w:val="both"/>
      </w:pPr>
      <w:r>
        <w:rPr>
          <w:spacing w:val="-1"/>
        </w:rPr>
        <w:t>（</w:t>
      </w:r>
      <w:r>
        <w:rPr>
          <w:rFonts w:ascii="Times New Roman" w:hAnsi="Times New Roman" w:cs="Times New Roman" w:eastAsia="Times New Roman" w:hint="default"/>
          <w:spacing w:val="-1"/>
        </w:rPr>
        <w:t>2</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日召开第七届董事会</w:t>
      </w:r>
      <w:r>
        <w:rPr>
          <w:rFonts w:ascii="Times New Roman" w:hAnsi="Times New Roman" w:cs="Times New Roman" w:eastAsia="Times New Roman" w:hint="default"/>
          <w:spacing w:val="-1"/>
        </w:rPr>
        <w:t>2018</w:t>
      </w:r>
      <w:r>
        <w:rPr>
          <w:spacing w:val="-1"/>
        </w:rPr>
        <w:t>年第四次临时会议，审议通过了《关于公司使用部分募集资金对</w:t>
      </w:r>
      <w:r>
        <w:rPr/>
        <w:t> 子公司企业管家增资的议案》，同意本公司使用募集资金对子公司企业管家（北京）科技服务有限公司增加资本金</w:t>
      </w:r>
      <w:r>
        <w:rPr>
          <w:rFonts w:ascii="Times New Roman" w:hAnsi="Times New Roman" w:cs="Times New Roman" w:eastAsia="Times New Roman" w:hint="default"/>
        </w:rPr>
        <w:t>5,000.00</w:t>
      </w:r>
      <w:r>
        <w:rPr>
          <w:rFonts w:ascii="Times New Roman" w:hAnsi="Times New Roman" w:cs="Times New Roman" w:eastAsia="Times New Roman" w:hint="default"/>
          <w:spacing w:val="-36"/>
        </w:rPr>
        <w:t> </w:t>
      </w:r>
      <w:r>
        <w:rPr/>
        <w:t>万元，本年度实际增资</w:t>
      </w:r>
      <w:r>
        <w:rPr>
          <w:rFonts w:ascii="Times New Roman" w:hAnsi="Times New Roman" w:cs="Times New Roman" w:eastAsia="Times New Roman" w:hint="default"/>
        </w:rPr>
        <w:t>4,550.00</w:t>
      </w:r>
      <w:r>
        <w:rPr/>
        <w:t>万元。</w:t>
      </w:r>
    </w:p>
    <w:p>
      <w:pPr>
        <w:pStyle w:val="BodyText"/>
        <w:spacing w:line="309" w:lineRule="auto" w:before="13"/>
        <w:ind w:right="1131" w:firstLine="480"/>
        <w:jc w:val="both"/>
      </w:pPr>
      <w:r>
        <w:rPr>
          <w:spacing w:val="-1"/>
        </w:rPr>
        <w:t>（</w:t>
      </w:r>
      <w:r>
        <w:rPr>
          <w:rFonts w:ascii="Times New Roman" w:hAnsi="Times New Roman" w:cs="Times New Roman" w:eastAsia="Times New Roman" w:hint="default"/>
          <w:spacing w:val="-1"/>
        </w:rPr>
        <w:t>3</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日召开第七届董事会</w:t>
      </w:r>
      <w:r>
        <w:rPr>
          <w:rFonts w:ascii="Times New Roman" w:hAnsi="Times New Roman" w:cs="Times New Roman" w:eastAsia="Times New Roman" w:hint="default"/>
          <w:spacing w:val="-1"/>
        </w:rPr>
        <w:t>2018</w:t>
      </w:r>
      <w:r>
        <w:rPr>
          <w:spacing w:val="-1"/>
        </w:rPr>
        <w:t>年第四次临时会议，审议通过了审议通过了《关于子公司变更募</w:t>
      </w:r>
      <w:r>
        <w:rPr/>
        <w:t> </w:t>
      </w:r>
      <w:r>
        <w:rPr>
          <w:spacing w:val="-2"/>
        </w:rPr>
        <w:t>集资金专项账户暨签署募集资金四方监管协议的议案》，同意子公司企业管家（北京）科技服务有限公司募集资金专项账户</w:t>
      </w:r>
      <w:r>
        <w:rPr>
          <w:spacing w:val="-66"/>
        </w:rPr>
        <w:t> </w:t>
      </w:r>
      <w:r>
        <w:rPr>
          <w:spacing w:val="-66"/>
        </w:rPr>
      </w:r>
      <w:r>
        <w:rPr/>
        <w:t>变更为交通银行股份有限公司北京宝盛里支行，专项账号为</w:t>
      </w:r>
      <w:r>
        <w:rPr>
          <w:rFonts w:ascii="Times New Roman" w:hAnsi="Times New Roman" w:cs="Times New Roman" w:eastAsia="Times New Roman" w:hint="default"/>
        </w:rPr>
        <w:t>110062249018800009659</w:t>
      </w:r>
      <w:r>
        <w:rPr/>
        <w:t>。同时，本公司、企业管家（北京）科</w:t>
      </w:r>
      <w:r>
        <w:rPr>
          <w:spacing w:val="-84"/>
        </w:rPr>
        <w:t> </w:t>
      </w:r>
      <w:r>
        <w:rPr>
          <w:spacing w:val="-84"/>
        </w:rPr>
      </w:r>
      <w:r>
        <w:rPr/>
        <w:t>技服务有限公司和交通银行股份有限公司北京宝盛里支行及华泰联合证券有限责任公司签订募集资金专户存储四方监管协</w:t>
      </w:r>
      <w:r>
        <w:rPr>
          <w:spacing w:val="-9"/>
        </w:rPr>
        <w:t> </w:t>
      </w:r>
      <w:r>
        <w:rPr>
          <w:spacing w:val="-9"/>
        </w:rPr>
      </w:r>
      <w:r>
        <w:rPr/>
        <w:t>议。</w:t>
      </w:r>
    </w:p>
    <w:p>
      <w:pPr>
        <w:pStyle w:val="BodyText"/>
        <w:spacing w:line="300" w:lineRule="auto" w:before="24"/>
        <w:ind w:right="1131" w:firstLine="480"/>
        <w:jc w:val="both"/>
      </w:pPr>
      <w:r>
        <w:rPr>
          <w:spacing w:val="-1"/>
        </w:rPr>
        <w:t>（</w:t>
      </w:r>
      <w:r>
        <w:rPr>
          <w:rFonts w:ascii="Times New Roman" w:hAnsi="Times New Roman" w:cs="Times New Roman" w:eastAsia="Times New Roman" w:hint="default"/>
          <w:spacing w:val="-1"/>
        </w:rPr>
        <w:t>4</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日召开第七届董事会</w:t>
      </w:r>
      <w:r>
        <w:rPr>
          <w:rFonts w:ascii="Times New Roman" w:hAnsi="Times New Roman" w:cs="Times New Roman" w:eastAsia="Times New Roman" w:hint="default"/>
          <w:spacing w:val="-1"/>
        </w:rPr>
        <w:t>2018</w:t>
      </w:r>
      <w:r>
        <w:rPr>
          <w:spacing w:val="-1"/>
        </w:rPr>
        <w:t>年第四次临时会议，审议通过了《关于公司以自有资金对子公司</w:t>
      </w:r>
      <w:r>
        <w:rPr/>
        <w:t> </w:t>
      </w:r>
      <w:r>
        <w:rPr>
          <w:spacing w:val="-2"/>
        </w:rPr>
        <w:t>易桥财税科技增资的议案》，同意本公司以人民币</w:t>
      </w:r>
      <w:r>
        <w:rPr>
          <w:rFonts w:ascii="Times New Roman" w:hAnsi="Times New Roman" w:cs="Times New Roman" w:eastAsia="Times New Roman" w:hint="default"/>
          <w:spacing w:val="-2"/>
        </w:rPr>
        <w:t>40,000.00</w:t>
      </w:r>
      <w:r>
        <w:rPr>
          <w:spacing w:val="-2"/>
        </w:rPr>
        <w:t>万元的债权向全资子公司神州易桥（北京）财税科技有限公司进</w:t>
      </w:r>
      <w:r>
        <w:rPr>
          <w:spacing w:val="-58"/>
        </w:rPr>
        <w:t> </w:t>
      </w:r>
      <w:r>
        <w:rPr>
          <w:spacing w:val="-58"/>
        </w:rPr>
      </w:r>
      <w:r>
        <w:rPr/>
        <w:t>行增资，上述股权变更的工商登记手续于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日完成。</w:t>
      </w:r>
    </w:p>
    <w:p>
      <w:pPr>
        <w:pStyle w:val="BodyText"/>
        <w:spacing w:line="300" w:lineRule="auto" w:before="13"/>
        <w:ind w:right="1131" w:firstLine="480"/>
        <w:jc w:val="both"/>
      </w:pPr>
      <w:r>
        <w:rPr>
          <w:spacing w:val="-1"/>
        </w:rPr>
        <w:t>（</w:t>
      </w:r>
      <w:r>
        <w:rPr>
          <w:rFonts w:ascii="Times New Roman" w:hAnsi="Times New Roman" w:cs="Times New Roman" w:eastAsia="Times New Roman" w:hint="default"/>
          <w:spacing w:val="-1"/>
        </w:rPr>
        <w:t>5</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13</w:t>
      </w:r>
      <w:r>
        <w:rPr>
          <w:spacing w:val="-1"/>
        </w:rPr>
        <w:t>日召开第七届董事会</w:t>
      </w:r>
      <w:r>
        <w:rPr>
          <w:rFonts w:ascii="Times New Roman" w:hAnsi="Times New Roman" w:cs="Times New Roman" w:eastAsia="Times New Roman" w:hint="default"/>
          <w:spacing w:val="-1"/>
        </w:rPr>
        <w:t>2018</w:t>
      </w:r>
      <w:r>
        <w:rPr>
          <w:spacing w:val="-1"/>
        </w:rPr>
        <w:t>年第十二次临时会议，审议通过了《关于公司继续使用部分闲置</w:t>
      </w:r>
      <w:r>
        <w:rPr/>
        <w:t> </w:t>
      </w:r>
      <w:r>
        <w:rPr>
          <w:spacing w:val="-1"/>
        </w:rPr>
        <w:t>募集资金暂时补充流动资金的议案》，同意本公司继续使用闲置募集资金</w:t>
      </w:r>
      <w:r>
        <w:rPr>
          <w:rFonts w:ascii="Times New Roman" w:hAnsi="Times New Roman" w:cs="Times New Roman" w:eastAsia="Times New Roman" w:hint="default"/>
          <w:spacing w:val="-1"/>
        </w:rPr>
        <w:t>20,000</w:t>
      </w:r>
      <w:r>
        <w:rPr>
          <w:spacing w:val="-1"/>
        </w:rPr>
        <w:t>万元暂时补充流动资金，使用期限自董事会</w:t>
      </w:r>
    </w:p>
    <w:p>
      <w:pPr>
        <w:spacing w:after="0" w:line="300"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审议批准之日起不超过</w:t>
      </w:r>
      <w:r>
        <w:rPr>
          <w:rFonts w:ascii="Times New Roman" w:hAnsi="Times New Roman" w:cs="Times New Roman" w:eastAsia="Times New Roman" w:hint="default"/>
        </w:rPr>
        <w:t>12</w:t>
      </w:r>
      <w:r>
        <w:rPr/>
        <w:t>个月。</w:t>
      </w:r>
    </w:p>
    <w:p>
      <w:pPr>
        <w:pStyle w:val="BodyText"/>
        <w:spacing w:line="300" w:lineRule="auto" w:before="63"/>
        <w:ind w:right="1109" w:firstLine="480"/>
        <w:jc w:val="both"/>
      </w:pPr>
      <w:r>
        <w:rPr/>
        <w:t>（</w:t>
      </w: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2018</w:t>
      </w:r>
      <w:r>
        <w:rPr/>
        <w:t>年第二次临时股东大会审议通过了顺利办</w:t>
      </w:r>
      <w:r>
        <w:rPr>
          <w:rFonts w:ascii="Times New Roman" w:hAnsi="Times New Roman" w:cs="Times New Roman" w:eastAsia="Times New Roman" w:hint="default"/>
        </w:rPr>
        <w:t>2018</w:t>
      </w:r>
      <w:r>
        <w:rPr/>
        <w:t>年股票期权激励计划的规定， 授予</w:t>
      </w:r>
      <w:r>
        <w:rPr>
          <w:rFonts w:ascii="Times New Roman" w:hAnsi="Times New Roman" w:cs="Times New Roman" w:eastAsia="Times New Roman" w:hint="default"/>
        </w:rPr>
        <w:t>51</w:t>
      </w:r>
      <w:r>
        <w:rPr/>
        <w:t>名激励对象</w:t>
      </w:r>
      <w:r>
        <w:rPr>
          <w:rFonts w:ascii="Times New Roman" w:hAnsi="Times New Roman" w:cs="Times New Roman" w:eastAsia="Times New Roman" w:hint="default"/>
        </w:rPr>
        <w:t>2,490</w:t>
      </w:r>
      <w:r>
        <w:rPr/>
        <w:t>万份股票期权，授予日为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日；行权价格：</w:t>
      </w:r>
      <w:r>
        <w:rPr>
          <w:rFonts w:ascii="Times New Roman" w:hAnsi="Times New Roman" w:cs="Times New Roman" w:eastAsia="Times New Roman" w:hint="default"/>
        </w:rPr>
        <w:t>8.22</w:t>
      </w:r>
      <w:r>
        <w:rPr/>
        <w:t>元</w:t>
      </w:r>
      <w:r>
        <w:rPr>
          <w:rFonts w:ascii="Times New Roman" w:hAnsi="Times New Roman" w:cs="Times New Roman" w:eastAsia="Times New Roman" w:hint="default"/>
        </w:rPr>
        <w:t>/</w:t>
      </w:r>
      <w:r>
        <w:rPr/>
        <w:t>股。</w:t>
      </w:r>
    </w:p>
    <w:p>
      <w:pPr>
        <w:pStyle w:val="BodyText"/>
        <w:spacing w:line="300" w:lineRule="auto" w:before="13"/>
        <w:ind w:right="1032" w:firstLine="480"/>
        <w:jc w:val="left"/>
      </w:pPr>
      <w:r>
        <w:rPr/>
        <w:t>（</w:t>
      </w:r>
      <w:r>
        <w:rPr>
          <w:rFonts w:ascii="Times New Roman" w:hAnsi="Times New Roman" w:cs="Times New Roman" w:eastAsia="Times New Roman" w:hint="default"/>
        </w:rPr>
        <w:t>7</w:t>
      </w:r>
      <w:r>
        <w:rPr/>
        <w:t>）本公司第七届董事会</w:t>
      </w:r>
      <w:r>
        <w:rPr>
          <w:rFonts w:ascii="Times New Roman" w:hAnsi="Times New Roman" w:cs="Times New Roman" w:eastAsia="Times New Roman" w:hint="default"/>
        </w:rPr>
        <w:t>2018</w:t>
      </w:r>
      <w:r>
        <w:rPr/>
        <w:t>年第四次临时会议决议通过《关于公司为全资子公司提供担保的议案》，同意公司为 全资子公司神州易桥（北京）财税科技有限公司提供连带责任保证担保，担保金额不超过</w:t>
      </w:r>
      <w:r>
        <w:rPr>
          <w:rFonts w:ascii="Times New Roman" w:hAnsi="Times New Roman" w:cs="Times New Roman" w:eastAsia="Times New Roman" w:hint="default"/>
        </w:rPr>
        <w:t>25,000.00</w:t>
      </w:r>
      <w:r>
        <w:rPr/>
        <w:t>万元，担保期限为三年， 从借款实际发生之日起到清偿完毕止（具体以借款合同为准）。本年度尚未实际提供担保。</w:t>
      </w:r>
    </w:p>
    <w:p>
      <w:pPr>
        <w:pStyle w:val="BodyText"/>
        <w:spacing w:line="300" w:lineRule="auto" w:before="31"/>
        <w:ind w:right="1032" w:firstLine="480"/>
        <w:jc w:val="left"/>
      </w:pPr>
      <w:r>
        <w:rPr/>
        <w:t>（</w:t>
      </w:r>
      <w:r>
        <w:rPr>
          <w:rFonts w:ascii="Times New Roman" w:hAnsi="Times New Roman" w:cs="Times New Roman" w:eastAsia="Times New Roman" w:hint="default"/>
        </w:rPr>
        <w:t>8</w:t>
      </w:r>
      <w:r>
        <w:rPr/>
        <w:t>）本公司第八届董事会</w:t>
      </w:r>
      <w:r>
        <w:rPr>
          <w:rFonts w:ascii="Times New Roman" w:hAnsi="Times New Roman" w:cs="Times New Roman" w:eastAsia="Times New Roman" w:hint="default"/>
        </w:rPr>
        <w:t>2018</w:t>
      </w:r>
      <w:r>
        <w:rPr/>
        <w:t>年第四次临时会议决议通过《关于对外提供担保的议案》，同意公司为子公司霍尔果 斯快马财税管理服务有限公司向昆仑信托有限责任公司申请最高额不超过</w:t>
      </w:r>
      <w:r>
        <w:rPr>
          <w:rFonts w:ascii="Times New Roman" w:hAnsi="Times New Roman" w:cs="Times New Roman" w:eastAsia="Times New Roman" w:hint="default"/>
        </w:rPr>
        <w:t>25,000.00</w:t>
      </w:r>
      <w:r>
        <w:rPr/>
        <w:t>万元的信托贷款提供连带责任保证担保， </w:t>
      </w:r>
      <w:r>
        <w:rPr>
          <w:spacing w:val="-2"/>
        </w:rPr>
        <w:t>担保金额不超过</w:t>
      </w:r>
      <w:r>
        <w:rPr>
          <w:rFonts w:ascii="Times New Roman" w:hAnsi="Times New Roman" w:cs="Times New Roman" w:eastAsia="Times New Roman" w:hint="default"/>
          <w:spacing w:val="-2"/>
        </w:rPr>
        <w:t>25,000.00</w:t>
      </w:r>
      <w:r>
        <w:rPr>
          <w:spacing w:val="-2"/>
        </w:rPr>
        <w:t>万元，担保期限不超过</w:t>
      </w:r>
      <w:r>
        <w:rPr>
          <w:rFonts w:ascii="Times New Roman" w:hAnsi="Times New Roman" w:cs="Times New Roman" w:eastAsia="Times New Roman" w:hint="default"/>
          <w:spacing w:val="-2"/>
        </w:rPr>
        <w:t>36</w:t>
      </w:r>
      <w:r>
        <w:rPr>
          <w:spacing w:val="-2"/>
        </w:rPr>
        <w:t>个月，从借款实际发生之日起到清偿完毕止（具体以借款合同为准）。本</w:t>
      </w:r>
      <w:r>
        <w:rPr>
          <w:spacing w:val="-57"/>
        </w:rPr>
        <w:t> </w:t>
      </w:r>
      <w:r>
        <w:rPr>
          <w:spacing w:val="-57"/>
        </w:rPr>
      </w:r>
      <w:r>
        <w:rPr/>
        <w:t>年度尚未实际提供担保。</w:t>
      </w:r>
    </w:p>
    <w:p>
      <w:pPr>
        <w:pStyle w:val="BodyText"/>
        <w:spacing w:line="300" w:lineRule="auto" w:before="31"/>
        <w:ind w:right="1130" w:firstLine="480"/>
        <w:jc w:val="both"/>
      </w:pPr>
      <w:r>
        <w:rPr>
          <w:spacing w:val="-1"/>
        </w:rPr>
        <w:t>（</w:t>
      </w:r>
      <w:r>
        <w:rPr>
          <w:rFonts w:ascii="Times New Roman" w:hAnsi="Times New Roman" w:cs="Times New Roman" w:eastAsia="Times New Roman" w:hint="default"/>
          <w:spacing w:val="-1"/>
        </w:rPr>
        <w:t>9</w:t>
      </w:r>
      <w:r>
        <w:rPr>
          <w:spacing w:val="-1"/>
        </w:rPr>
        <w:t>）经本公司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11</w:t>
      </w:r>
      <w:r>
        <w:rPr>
          <w:spacing w:val="-1"/>
        </w:rPr>
        <w:t>日总裁办公会会议审议通过《关于收购股权专题会议纪要》，同意本公司收购霍尔果斯神</w:t>
      </w:r>
      <w:r>
        <w:rPr/>
        <w:t> </w:t>
      </w:r>
      <w:r>
        <w:rPr>
          <w:spacing w:val="-1"/>
        </w:rPr>
        <w:t>州易桥股权投资合伙企业（有限合伙）所持有霍尔果斯易桥快马企业管理咨询有限公司</w:t>
      </w:r>
      <w:r>
        <w:rPr>
          <w:rFonts w:ascii="Times New Roman" w:hAnsi="Times New Roman" w:cs="Times New Roman" w:eastAsia="Times New Roman" w:hint="default"/>
          <w:spacing w:val="-1"/>
        </w:rPr>
        <w:t>25%</w:t>
      </w:r>
      <w:r>
        <w:rPr>
          <w:spacing w:val="-1"/>
        </w:rPr>
        <w:t>股权，收购完成后子公司企业管</w:t>
      </w:r>
      <w:r>
        <w:rPr>
          <w:spacing w:val="-87"/>
        </w:rPr>
        <w:t> </w:t>
      </w:r>
      <w:r>
        <w:rPr>
          <w:spacing w:val="-87"/>
        </w:rPr>
      </w:r>
      <w:r>
        <w:rPr/>
        <w:t>家（北京）科技服务有限公司持有霍尔果斯易桥快马企业管理咨询有限公司</w:t>
      </w:r>
      <w:r>
        <w:rPr>
          <w:rFonts w:ascii="Times New Roman" w:hAnsi="Times New Roman" w:cs="Times New Roman" w:eastAsia="Times New Roman" w:hint="default"/>
        </w:rPr>
        <w:t>75%</w:t>
      </w:r>
      <w:r>
        <w:rPr/>
        <w:t>股权，本公司持有</w:t>
      </w:r>
      <w:r>
        <w:rPr>
          <w:rFonts w:ascii="Times New Roman" w:hAnsi="Times New Roman" w:cs="Times New Roman" w:eastAsia="Times New Roman" w:hint="default"/>
        </w:rPr>
        <w:t>25%</w:t>
      </w:r>
      <w:r>
        <w:rPr/>
        <w:t>股权。</w:t>
      </w:r>
    </w:p>
    <w:p>
      <w:pPr>
        <w:pStyle w:val="BodyText"/>
        <w:spacing w:line="300" w:lineRule="auto" w:before="13"/>
        <w:ind w:right="1130" w:firstLine="480"/>
        <w:jc w:val="both"/>
      </w:pPr>
      <w:r>
        <w:rPr>
          <w:spacing w:val="-1"/>
        </w:rPr>
        <w:t>（</w:t>
      </w:r>
      <w:r>
        <w:rPr>
          <w:rFonts w:ascii="Times New Roman" w:hAnsi="Times New Roman" w:cs="Times New Roman" w:eastAsia="Times New Roman" w:hint="default"/>
          <w:spacing w:val="-1"/>
        </w:rPr>
        <w:t>10</w:t>
      </w:r>
      <w:r>
        <w:rPr>
          <w:spacing w:val="-1"/>
        </w:rPr>
        <w:t>）经公司总裁办公会审议，同意子公司神州易桥（北京）财税科技有限公司收购宁波神州开元会计服务有限公司</w:t>
      </w:r>
      <w:r>
        <w:rPr/>
        <w:t> </w:t>
      </w:r>
      <w:r>
        <w:rPr>
          <w:rFonts w:ascii="Times New Roman" w:hAnsi="Times New Roman" w:cs="Times New Roman" w:eastAsia="Times New Roman" w:hint="default"/>
          <w:spacing w:val="-1"/>
        </w:rPr>
        <w:t>20%</w:t>
      </w:r>
      <w:r>
        <w:rPr>
          <w:spacing w:val="-1"/>
        </w:rPr>
        <w:t>的股权，分别为西藏天元方创创业投资有限公司持有宁波神州开元会计服务有限公司</w:t>
      </w:r>
      <w:r>
        <w:rPr>
          <w:rFonts w:ascii="Times New Roman" w:hAnsi="Times New Roman" w:cs="Times New Roman" w:eastAsia="Times New Roman" w:hint="default"/>
          <w:spacing w:val="-1"/>
        </w:rPr>
        <w:t>10%</w:t>
      </w:r>
      <w:r>
        <w:rPr>
          <w:spacing w:val="-1"/>
        </w:rPr>
        <w:t>股权、霍尔果斯硕佳股权投资</w:t>
      </w:r>
      <w:r>
        <w:rPr>
          <w:spacing w:val="-56"/>
        </w:rPr>
        <w:t> </w:t>
      </w:r>
      <w:r>
        <w:rPr>
          <w:spacing w:val="-56"/>
        </w:rPr>
      </w:r>
      <w:r>
        <w:rPr/>
        <w:t>有限公司持有宁波神州开元会计服务有限公司</w:t>
      </w:r>
      <w:r>
        <w:rPr>
          <w:rFonts w:ascii="Times New Roman" w:hAnsi="Times New Roman" w:cs="Times New Roman" w:eastAsia="Times New Roman" w:hint="default"/>
        </w:rPr>
        <w:t>10%</w:t>
      </w:r>
      <w:r>
        <w:rPr/>
        <w:t>股权。上述股权变更的工商登记手续于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日完成。</w:t>
      </w:r>
    </w:p>
    <w:p>
      <w:pPr>
        <w:pStyle w:val="BodyText"/>
        <w:spacing w:line="300" w:lineRule="auto" w:before="13"/>
        <w:ind w:right="1049" w:firstLine="480"/>
        <w:jc w:val="both"/>
      </w:pPr>
      <w:r>
        <w:rPr/>
        <w:t>（</w:t>
      </w:r>
      <w:r>
        <w:rPr>
          <w:rFonts w:ascii="Times New Roman" w:hAnsi="Times New Roman" w:cs="Times New Roman" w:eastAsia="Times New Roman" w:hint="default"/>
        </w:rPr>
        <w:t>11</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日召开第八届董事会</w:t>
      </w:r>
      <w:r>
        <w:rPr>
          <w:rFonts w:ascii="Times New Roman" w:hAnsi="Times New Roman" w:cs="Times New Roman" w:eastAsia="Times New Roman" w:hint="default"/>
        </w:rPr>
        <w:t>2018</w:t>
      </w:r>
      <w:r>
        <w:rPr/>
        <w:t>年第六次临时会议、第八届监事会</w:t>
      </w:r>
      <w:r>
        <w:rPr>
          <w:rFonts w:ascii="Times New Roman" w:hAnsi="Times New Roman" w:cs="Times New Roman" w:eastAsia="Times New Roman" w:hint="default"/>
        </w:rPr>
        <w:t>2018</w:t>
      </w:r>
      <w:r>
        <w:rPr/>
        <w:t>年第六次临时会议，审 议通过了《关于孙公司签署</w:t>
      </w:r>
      <w:r>
        <w:rPr>
          <w:rFonts w:ascii="Times New Roman" w:hAnsi="Times New Roman" w:cs="Times New Roman" w:eastAsia="Times New Roman" w:hint="default"/>
        </w:rPr>
        <w:t>&lt;</w:t>
      </w:r>
      <w:r>
        <w:rPr/>
        <w:t>终止合作协议</w:t>
      </w:r>
      <w:r>
        <w:rPr>
          <w:rFonts w:ascii="Times New Roman" w:hAnsi="Times New Roman" w:cs="Times New Roman" w:eastAsia="Times New Roman" w:hint="default"/>
        </w:rPr>
        <w:t>&gt;</w:t>
      </w:r>
      <w:r>
        <w:rPr/>
        <w:t>的议案》，同意孙公司霍尔果斯易桥快马企业管理咨询有限公司与霍尔果斯神</w:t>
      </w:r>
      <w:r>
        <w:rPr>
          <w:spacing w:val="-28"/>
        </w:rPr>
        <w:t> </w:t>
      </w:r>
      <w:r>
        <w:rPr>
          <w:spacing w:val="-28"/>
        </w:rPr>
      </w:r>
      <w:r>
        <w:rPr/>
        <w:t>州易桥股权投资合伙企业（有限合伙）、部分终端资产合伙人签署《终止合作协议》，截止报告期末终端资产已处置完毕。</w:t>
      </w:r>
    </w:p>
    <w:p>
      <w:pPr>
        <w:pStyle w:val="BodyText"/>
        <w:spacing w:line="307" w:lineRule="auto" w:before="31"/>
        <w:ind w:right="1130" w:firstLine="480"/>
        <w:jc w:val="both"/>
      </w:pPr>
      <w:r>
        <w:rPr>
          <w:spacing w:val="-1"/>
        </w:rPr>
        <w:t>（</w:t>
      </w:r>
      <w:r>
        <w:rPr>
          <w:rFonts w:ascii="Times New Roman" w:hAnsi="Times New Roman" w:cs="Times New Roman" w:eastAsia="Times New Roman" w:hint="default"/>
          <w:spacing w:val="-1"/>
        </w:rPr>
        <w:t>12</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日召开第八届董事会</w:t>
      </w:r>
      <w:r>
        <w:rPr>
          <w:rFonts w:ascii="Times New Roman" w:hAnsi="Times New Roman" w:cs="Times New Roman" w:eastAsia="Times New Roman" w:hint="default"/>
          <w:spacing w:val="-1"/>
        </w:rPr>
        <w:t>2018</w:t>
      </w:r>
      <w:r>
        <w:rPr>
          <w:spacing w:val="-1"/>
        </w:rPr>
        <w:t>年第三次临时会议、第八届监事会</w:t>
      </w:r>
      <w:r>
        <w:rPr>
          <w:rFonts w:ascii="Times New Roman" w:hAnsi="Times New Roman" w:cs="Times New Roman" w:eastAsia="Times New Roman" w:hint="default"/>
          <w:spacing w:val="-1"/>
        </w:rPr>
        <w:t>2018</w:t>
      </w:r>
      <w:r>
        <w:rPr>
          <w:spacing w:val="-1"/>
        </w:rPr>
        <w:t>年第三次临时会议，并</w:t>
      </w:r>
      <w:r>
        <w:rPr/>
        <w:t> 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w:t>
      </w:r>
      <w:r>
        <w:rPr>
          <w:rFonts w:ascii="Times New Roman" w:hAnsi="Times New Roman" w:cs="Times New Roman" w:eastAsia="Times New Roman" w:hint="default"/>
        </w:rPr>
        <w:t>2018</w:t>
      </w:r>
      <w:r>
        <w:rPr/>
        <w:t>年第五次临时股东大会审议通过了《关于子公司签署</w:t>
      </w:r>
      <w:r>
        <w:rPr>
          <w:rFonts w:ascii="Times New Roman" w:hAnsi="Times New Roman" w:cs="Times New Roman" w:eastAsia="Times New Roman" w:hint="default"/>
        </w:rPr>
        <w:t>&lt;</w:t>
      </w:r>
      <w:r>
        <w:rPr/>
        <w:t>终止合作协议</w:t>
      </w:r>
      <w:r>
        <w:rPr>
          <w:rFonts w:ascii="Times New Roman" w:hAnsi="Times New Roman" w:cs="Times New Roman" w:eastAsia="Times New Roman" w:hint="default"/>
        </w:rPr>
        <w:t>&gt;</w:t>
      </w:r>
      <w:r>
        <w:rPr/>
        <w:t>的议案》，同意子公司霍尔果斯</w:t>
      </w:r>
      <w:r>
        <w:rPr>
          <w:spacing w:val="-27"/>
        </w:rPr>
        <w:t> </w:t>
      </w:r>
      <w:r>
        <w:rPr>
          <w:spacing w:val="-27"/>
        </w:rPr>
      </w:r>
      <w:r>
        <w:rPr>
          <w:spacing w:val="-2"/>
        </w:rPr>
        <w:t>快马财税管理服务有限公司与霍尔果斯神州易桥股权投资合伙企业（有限合伙）、部分终端资产合伙人三方共同签署《终止</w:t>
      </w:r>
      <w:r>
        <w:rPr>
          <w:spacing w:val="-66"/>
        </w:rPr>
        <w:t> </w:t>
      </w:r>
      <w:r>
        <w:rPr>
          <w:spacing w:val="-66"/>
        </w:rPr>
      </w:r>
      <w:r>
        <w:rPr/>
        <w:t>合作协议》，截止报告期末终端资产已处置完毕。</w:t>
      </w:r>
    </w:p>
    <w:p>
      <w:pPr>
        <w:pStyle w:val="BodyText"/>
        <w:spacing w:line="300" w:lineRule="auto" w:before="26"/>
        <w:ind w:right="1131" w:firstLine="480"/>
        <w:jc w:val="both"/>
      </w:pPr>
      <w:r>
        <w:rPr>
          <w:spacing w:val="-1"/>
        </w:rPr>
        <w:t>（</w:t>
      </w:r>
      <w:r>
        <w:rPr>
          <w:rFonts w:ascii="Times New Roman" w:hAnsi="Times New Roman" w:cs="Times New Roman" w:eastAsia="Times New Roman" w:hint="default"/>
          <w:spacing w:val="-1"/>
        </w:rPr>
        <w:t>13</w:t>
      </w:r>
      <w:r>
        <w:rPr>
          <w:spacing w:val="-1"/>
        </w:rPr>
        <w:t>）经本公司总裁办公会审议，同意注销参股公司融金狗金融信息服务有限公司及参股公司易桥企业服务股份有限</w:t>
      </w:r>
      <w:r>
        <w:rPr/>
        <w:t> 公司。截止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日，该事项尚未办理完成。</w:t>
      </w:r>
    </w:p>
    <w:p>
      <w:pPr>
        <w:pStyle w:val="BodyText"/>
        <w:spacing w:line="300" w:lineRule="auto" w:before="13"/>
        <w:ind w:right="1131" w:firstLine="480"/>
        <w:jc w:val="both"/>
      </w:pPr>
      <w:r>
        <w:rPr>
          <w:spacing w:val="-1"/>
        </w:rPr>
        <w:t>（</w:t>
      </w:r>
      <w:r>
        <w:rPr>
          <w:rFonts w:ascii="Times New Roman" w:hAnsi="Times New Roman" w:cs="Times New Roman" w:eastAsia="Times New Roman" w:hint="default"/>
          <w:spacing w:val="-1"/>
        </w:rPr>
        <w:t>14</w:t>
      </w:r>
      <w:r>
        <w:rPr>
          <w:spacing w:val="-1"/>
        </w:rPr>
        <w:t>）经本公司总裁办公会审议，同意子公司霍尔果斯快马财税管理服务有限公司收购天津易桥普达财务咨询有限公</w:t>
      </w:r>
      <w:r>
        <w:rPr/>
        <w:t> 司</w:t>
      </w:r>
      <w:r>
        <w:rPr>
          <w:rFonts w:ascii="Times New Roman" w:hAnsi="Times New Roman" w:cs="Times New Roman" w:eastAsia="Times New Roman" w:hint="default"/>
        </w:rPr>
        <w:t>100%</w:t>
      </w:r>
      <w:r>
        <w:rPr/>
        <w:t>股权。上述股权变更的工商登记手续于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日完成。</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left"/>
        <w:rPr>
          <w:b w:val="0"/>
          <w:bCs w:val="0"/>
        </w:rPr>
      </w:pPr>
      <w:bookmarkStart w:name="十七、母公司财务报表主要项目注释" w:id="466"/>
      <w:bookmarkEnd w:id="46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及应收账款" w:id="467"/>
      <w:bookmarkEnd w:id="467"/>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165,614.67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165,614.67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68"/>
      <w:bookmarkEnd w:id="46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69"/>
      <w:bookmarkEnd w:id="469"/>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70"/>
      <w:bookmarkEnd w:id="47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8,716.57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165,614.6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8,716.57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165,614.6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174,331.24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8,716.57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174,331.24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8,716.57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357" w:lineRule="auto" w:before="51"/>
        <w:ind w:right="6432"/>
        <w:jc w:val="left"/>
      </w:pPr>
      <w:r>
        <w:rPr/>
        <w:t>确定该组合依据的说明： 组合中，采用余额百分比法计提坏账准备的应收账款：</w:t>
      </w:r>
    </w:p>
    <w:p>
      <w:pPr>
        <w:spacing w:after="0" w:line="357"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0"/>
        </w:sectPr>
      </w:pPr>
    </w:p>
    <w:p>
      <w:pPr>
        <w:pStyle w:val="BodyText"/>
        <w:spacing w:line="348" w:lineRule="auto" w:before="44"/>
        <w:ind w:right="15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12"/>
        <w:ind w:right="-17"/>
        <w:jc w:val="left"/>
      </w:pPr>
      <w:r>
        <w:rPr/>
        <w:t>本期计提坏账准备金额</w:t>
      </w:r>
      <w:r>
        <w:rPr>
          <w:spacing w:val="-47"/>
        </w:rPr>
        <w:t> </w:t>
      </w:r>
      <w:r>
        <w:rPr>
          <w:rFonts w:ascii="Times New Roman" w:hAnsi="Times New Roman" w:cs="Times New Roman" w:eastAsia="Times New Roman" w:hint="default"/>
        </w:rPr>
        <w:t>8,716.57</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 元</w:t>
      </w:r>
    </w:p>
    <w:p>
      <w:pPr>
        <w:spacing w:after="0" w:line="240" w:lineRule="auto"/>
        <w:jc w:val="left"/>
        <w:sectPr>
          <w:type w:val="continuous"/>
          <w:pgSz w:w="11910" w:h="16840"/>
          <w:pgMar w:top="1060" w:bottom="1160" w:left="980" w:right="0"/>
          <w:cols w:num="2" w:equalWidth="0">
            <w:col w:w="5734" w:space="3096"/>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pStyle w:val="BodyText"/>
        <w:spacing w:line="240" w:lineRule="auto" w:before="102"/>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2"/>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其他应收款" w:id="471"/>
      <w:bookmarkEnd w:id="47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38,216,902.96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20,684,719.07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39,466,902.96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20,684,719.07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72"/>
      <w:bookmarkEnd w:id="47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收股利" w:id="473"/>
      <w:bookmarkEnd w:id="47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广州网融信息技术有限公司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74"/>
      <w:bookmarkEnd w:id="47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8,114,29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8,114,2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8,114,294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45,697,9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7,481,00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38,216,90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26,832,</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674.28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6,147,955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20,684,719.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544,575</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544,575.0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54,356,7</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80.83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16,139,8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29.69%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38,216,90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35,491,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543.39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14,806,82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41.72%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20,684,719.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西藏泰达厚生医药有限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5"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2"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可收回性存在明显风险</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97"/>
        <w:gridCol w:w="1838"/>
        <w:gridCol w:w="1913"/>
        <w:gridCol w:w="1913"/>
        <w:gridCol w:w="1901"/>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8,114,294.07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5"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24,171,395.25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1,208,652.97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7,794,169.33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779,416.93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13,732,347.14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5,492,938.86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45,697,911.72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7,481,008.76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374"/>
        <w:jc w:val="left"/>
      </w:pPr>
      <w:r>
        <w:rPr/>
        <w:t>确定该组合依据的说明： 组合中，采用余额百分比法计提坏账准备的其他应收款：</w:t>
      </w:r>
    </w:p>
    <w:p>
      <w:pPr>
        <w:pStyle w:val="BodyText"/>
        <w:spacing w:line="338" w:lineRule="auto" w:before="26"/>
        <w:ind w:right="1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13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37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7"/>
        <w:jc w:val="left"/>
      </w:pPr>
      <w:r>
        <w:rPr/>
        <w:t>本期计提坏账准备金额</w:t>
      </w:r>
      <w:r>
        <w:rPr>
          <w:spacing w:val="-47"/>
        </w:rPr>
        <w:t> </w:t>
      </w:r>
      <w:r>
        <w:rPr>
          <w:rFonts w:ascii="Times New Roman" w:hAnsi="Times New Roman" w:cs="Times New Roman" w:eastAsia="Times New Roman" w:hint="default"/>
        </w:rPr>
        <w:t>1,333,053.55</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32,048,504.54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13,207,269.33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垫付货款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1,486,185.37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1,429,235.15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16,490.43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42,538.42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14,106.42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14,106.42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54,356,780.83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35,491,543.39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18,747,794.33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1,326,738.18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13,130,410.21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1,589,238.18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应收投资转让款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12,670,000.00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8,114,294.07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8,114,294.07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613,832.85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245,533.14</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53,276,331.46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16,343,803.57</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75"/>
      <w:bookmarkEnd w:id="47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2,725,533,900.00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2,725,533,900.00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1,679,033,900.00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1,679,033,900.00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238,544,564.24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238,544,564.24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142,834,276.38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142,834,276.38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2,964,078,464.24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2,964,078,464.24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1,821,868,176.38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1,821,868,176.38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76"/>
      <w:bookmarkEnd w:id="47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9"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青海宁达创业投 资有限责任公司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30,033,900.00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神州易桥（北京） 财税科技有限公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企业管家（北京） 科技服务有限公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北京办饭餐饮管 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霍尔果斯快马财 税管理有限公司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1,679,033,900.00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1,046,500,000.00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2,725,533,900.00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77"/>
      <w:bookmarkEnd w:id="47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吉林省嘉 孚化学工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7,936,682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-1,230,43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河北兴石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32,624,71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-292,353.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32,332,35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广西海东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20,942,59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-1,408,06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19,534,53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广州网融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51,000,28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1,963,824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51,714,10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洛阳蓝宝 氟业有限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30,330,00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-491,663.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29,838,33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4,000,000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131,347.7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4,131,347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61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中企易桥 股权投资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霍尔果斯 易桥快马 企业管理 咨询有限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-5,712,36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94,287,63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142,834,2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-7,039,71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238,544,5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142,834,2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76.38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-7,039,71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238,544,5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64.24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78"/>
      <w:bookmarkEnd w:id="47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79"/>
      <w:bookmarkEnd w:id="47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27,738.22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1,672,524.70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570,992.16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376,297.30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1,700,262.92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570,992.16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376,297.30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480"/>
      <w:bookmarkEnd w:id="48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-7,039,712.14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1,558,529.19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-165,874,318.81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620,689.50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12,498,373.09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110,272,632.38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2,589,622.64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3,414,302.79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8,048,283.59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-50,008,164.95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481"/>
      <w:bookmarkEnd w:id="48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82"/>
      <w:bookmarkEnd w:id="482"/>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83"/>
      <w:bookmarkEnd w:id="48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-82,585,044.79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3,641,940.00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3,854,317.38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12,498,373.09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12,097,348.15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购买日之前持有的股权按照公允价值重新 计量产生的利得</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35,592,646.95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-6,769,654.18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622,814.98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-8,753,580.02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84"/>
      <w:bookmarkEnd w:id="48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0.1218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0.1332</w:t>
            </w:r>
          </w:p>
        </w:tc>
      </w:tr>
    </w:tbl>
    <w:p>
      <w:pPr>
        <w:spacing w:after="0" w:line="240" w:lineRule="auto"/>
        <w:jc w:val="right"/>
        <w:rPr>
          <w:rFonts w:ascii="Times New Roman" w:hAnsi="Times New Roman" w:cs="Times New Roman" w:eastAsia="Times New Roman" w:hint="default"/>
          <w:sz w:val="18"/>
          <w:szCs w:val="18"/>
        </w:rPr>
        <w:sectPr>
          <w:footerReference w:type="default" r:id="rId34"/>
          <w:pgSz w:w="11910" w:h="16840"/>
          <w:pgMar w:footer="979" w:header="877" w:top="1060" w:bottom="1160" w:left="980" w:right="0"/>
          <w:pgNumType w:start="20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境内外会计准则下会计数据差异" w:id="485"/>
      <w:bookmarkEnd w:id="48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6"/>
      <w:bookmarkEnd w:id="48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7"/>
      <w:bookmarkEnd w:id="48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88"/>
      <w:bookmarkEnd w:id="48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89"/>
      <w:bookmarkEnd w:id="48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490"/>
      <w:bookmarkStart w:name="第十二节 备查文件目录" w:id="491"/>
      <w:r>
        <w:rPr>
          <w:b w:val="0"/>
          <w:bCs w:val="0"/>
        </w:rPr>
      </w:r>
      <w:r>
        <w:rPr/>
        <w:t>第十二节</w:t>
      </w:r>
      <w:r>
        <w:rPr>
          <w:spacing w:val="-8"/>
        </w:rPr>
        <w:t> </w:t>
      </w:r>
      <w:r>
        <w:rPr/>
        <w:t>备查文件目录</w:t>
      </w:r>
      <w:bookmarkEnd w:id="490"/>
      <w:r>
        <w:rPr>
          <w:b w:val="0"/>
          <w:bCs w:val="0"/>
        </w:rPr>
      </w:r>
    </w:p>
    <w:p>
      <w:pPr>
        <w:spacing w:line="240" w:lineRule="auto" w:before="7"/>
        <w:rPr>
          <w:rFonts w:ascii="宋体" w:hAnsi="宋体" w:cs="宋体" w:eastAsia="宋体" w:hint="default"/>
          <w:b/>
          <w:bCs/>
          <w:sz w:val="40"/>
          <w:szCs w:val="40"/>
        </w:rPr>
      </w:pPr>
    </w:p>
    <w:p>
      <w:pPr>
        <w:pStyle w:val="Heading4"/>
        <w:spacing w:line="376" w:lineRule="auto"/>
        <w:ind w:right="2562"/>
        <w:jc w:val="left"/>
      </w:pPr>
      <w:r>
        <w:rPr/>
        <w:t>一、载有公司负责人、主管会计工作负责人、会计机构负责人签名并盖章的会计报表。 二、载有会计师事务所盖章、注册会计师签名并盖章的审计报告原件。 三、报告期内在中国证监会指定网站上公开披露过的所有公司文件的正本及公告的原稿。</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840" type="#_x0000_t75" stroked="false">
          <v:imagedata r:id="rId1" o:title=""/>
        </v:shape>
      </w:pict>
    </w:r>
    <w:r>
      <w:rPr/>
      <w:pict>
        <v:shape style="position:absolute;margin-left:533.179993pt;margin-top:795.517944pt;width:6.5pt;height:11pt;mso-position-horizontal-relative:page;mso-position-vertical-relative:page;z-index:-1039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168" type="#_x0000_t75" stroked="false">
          <v:imagedata r:id="rId1" o:title=""/>
        </v:shape>
      </w:pict>
    </w:r>
    <w:r>
      <w:rPr/>
      <w:pict>
        <v:shape style="position:absolute;margin-left:755.47998pt;margin-top:535.357971pt;width:15.5pt;height:11pt;mso-position-horizontal-relative:page;mso-position-vertical-relative:page;z-index:-1039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120" type="#_x0000_t75" stroked="false">
          <v:imagedata r:id="rId1" o:title=""/>
        </v:shape>
      </w:pict>
    </w:r>
    <w:r>
      <w:rPr/>
      <w:pict>
        <v:shape style="position:absolute;margin-left:754.47998pt;margin-top:535.357971pt;width:17.5pt;height:11pt;mso-position-horizontal-relative:page;mso-position-vertical-relative:page;z-index:-1039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024" type="#_x0000_t75" stroked="false">
          <v:imagedata r:id="rId1" o:title=""/>
        </v:shape>
      </w:pict>
    </w:r>
    <w:r>
      <w:rPr/>
      <w:pict>
        <v:shape style="position:absolute;margin-left:523.179993pt;margin-top:781.957947pt;width:17.5pt;height:11pt;mso-position-horizontal-relative:page;mso-position-vertical-relative:page;z-index:-1039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8976" type="#_x0000_t75" stroked="false">
          <v:imagedata r:id="rId1" o:title=""/>
        </v:shape>
      </w:pict>
    </w:r>
    <w:r>
      <w:rPr/>
      <w:pict>
        <v:shape style="position:absolute;margin-left:523.179993pt;margin-top:781.957947pt;width:17.5pt;height:11pt;mso-position-horizontal-relative:page;mso-position-vertical-relative:page;z-index:-1038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8928" type="#_x0000_t75" stroked="false">
          <v:imagedata r:id="rId1" o:title=""/>
        </v:shape>
      </w:pict>
    </w:r>
    <w:r>
      <w:rPr/>
      <w:pict>
        <v:shape style="position:absolute;margin-left:523.179993pt;margin-top:781.957947pt;width:17.5pt;height:11pt;mso-position-horizontal-relative:page;mso-position-vertical-relative:page;z-index:-1038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792" type="#_x0000_t75" stroked="false">
          <v:imagedata r:id="rId1" o:title=""/>
        </v:shape>
      </w:pict>
    </w:r>
    <w:r>
      <w:rPr/>
      <w:pict>
        <v:shape style="position:absolute;margin-left:527.679993pt;margin-top:781.957947pt;width:13pt;height:11pt;mso-position-horizontal-relative:page;mso-position-vertical-relative:page;z-index:-1039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720" type="#_x0000_t75" stroked="false">
          <v:imagedata r:id="rId1" o:title=""/>
        </v:shape>
      </w:pict>
    </w:r>
    <w:r>
      <w:rPr/>
      <w:pict>
        <v:shape style="position:absolute;margin-left:758.97998pt;margin-top:535.357971pt;width:13pt;height:11pt;mso-position-horizontal-relative:page;mso-position-vertical-relative:page;z-index:-103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624" type="#_x0000_t75" stroked="false">
          <v:imagedata r:id="rId1" o:title=""/>
        </v:shape>
      </w:pict>
    </w:r>
    <w:r>
      <w:rPr/>
      <w:pict>
        <v:shape style="position:absolute;margin-left:527.679993pt;margin-top:781.957947pt;width:13pt;height:11pt;mso-position-horizontal-relative:page;mso-position-vertical-relative:page;z-index:-1039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552" type="#_x0000_t75" stroked="false">
          <v:imagedata r:id="rId1" o:title=""/>
        </v:shape>
      </w:pict>
    </w:r>
    <w:r>
      <w:rPr/>
      <w:pict>
        <v:shape style="position:absolute;margin-left:758.97998pt;margin-top:535.357971pt;width:13pt;height:11pt;mso-position-horizontal-relative:page;mso-position-vertical-relative:page;z-index:-1039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456" type="#_x0000_t75" stroked="false">
          <v:imagedata r:id="rId1" o:title=""/>
        </v:shape>
      </w:pict>
    </w:r>
    <w:r>
      <w:rPr/>
      <w:pict>
        <v:shape style="position:absolute;margin-left:527.679993pt;margin-top:781.957947pt;width:13pt;height:11pt;mso-position-horizontal-relative:page;mso-position-vertical-relative:page;z-index:-1039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384" type="#_x0000_t75" stroked="false">
          <v:imagedata r:id="rId1" o:title=""/>
        </v:shape>
      </w:pict>
    </w:r>
    <w:r>
      <w:rPr/>
      <w:pict>
        <v:shape style="position:absolute;margin-left:758.97998pt;margin-top:535.357971pt;width:13pt;height:11pt;mso-position-horizontal-relative:page;mso-position-vertical-relative:page;z-index:-103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39288" type="#_x0000_t75" stroked="false">
          <v:imagedata r:id="rId1" o:title=""/>
        </v:shape>
      </w:pict>
    </w:r>
    <w:r>
      <w:rPr/>
      <w:pict>
        <v:shape style="position:absolute;margin-left:527.679993pt;margin-top:781.957947pt;width:13pt;height:11pt;mso-position-horizontal-relative:page;mso-position-vertical-relative:page;z-index:-1039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39216" type="#_x0000_t75" stroked="false">
          <v:imagedata r:id="rId1" o:title=""/>
        </v:shape>
      </w:pict>
    </w:r>
    <w:r>
      <w:rPr/>
      <w:pict>
        <v:shape style="position:absolute;margin-left:759.97998pt;margin-top:535.357971pt;width:11pt;height:11pt;mso-position-horizontal-relative:page;mso-position-vertical-relative:page;z-index:-1039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39864"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39744"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396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39648"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39576"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395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39480"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39408"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3933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39312"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39240"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390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39048" type="#_x0000_t202" filled="false" stroked="false">
          <v:textbox inset="0,0,0,0">
            <w:txbxContent>
              <w:p>
                <w:pPr>
                  <w:pStyle w:val="BodyText"/>
                  <w:spacing w:line="214" w:lineRule="exact"/>
                  <w:ind w:left="20" w:right="0"/>
                  <w:jc w:val="left"/>
                </w:pPr>
                <w:r>
                  <w:rPr/>
                  <w:t>顺利办信息服务股份有限公司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60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hunliban.com/" TargetMode="External"/><Relationship Id="rId9" Type="http://schemas.openxmlformats.org/officeDocument/2006/relationships/hyperlink" Target="mailto:zhengq@my0606.com.cn" TargetMode="External"/><Relationship Id="rId10" Type="http://schemas.openxmlformats.org/officeDocument/2006/relationships/hyperlink" Target="mailto:huanghy@12366.com" TargetMode="External"/><Relationship Id="rId11" Type="http://schemas.openxmlformats.org/officeDocument/2006/relationships/hyperlink" Target="mailto:kouyc@12366.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yperlink" Target="http://irm.cninfo.com.cn/"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image" Target="media/image2.jpeg"/><Relationship Id="rId27" Type="http://schemas.openxmlformats.org/officeDocument/2006/relationships/header" Target="head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顺利办信息服务股份有限公司</dc:creator>
  <dc:title>顺利办信息服务股份有限公司2018年年度报告全文</dc:title>
  <dcterms:created xsi:type="dcterms:W3CDTF">2020-05-05T04:51:25Z</dcterms:created>
  <dcterms:modified xsi:type="dcterms:W3CDTF">2020-05-05T04:51:25Z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Office Word 2007</vt:lpwstr>
  </property>
  <property fmtid="{D5CDD505-2E9C-101B-9397-08002B2CF9AE}" pid="4" name="LastSaved">
    <vt:filetime>2020-05-04T00:00:00Z</vt:filetime>
  </property>
</Properties>
</file>