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155" w:right="1141"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顺利办信息服务股份有限公司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155" w:right="11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55" w:right="113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第一节重要提示、目录和释义"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公司负责人彭聪、主管会计工作负责人黄海勇及会计机构负责人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任峰声明：保证年度报告中财务报告的真实、准确、完整。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本报告中所涉及的未来计划、发展战略等前瞻性描述不构成公司对投资者</w:t>
      </w:r>
      <w:r>
        <w:rPr>
          <w:rFonts w:ascii="宋体" w:hAnsi="宋体" w:cs="宋体" w:eastAsia="宋体" w:hint="default"/>
          <w:spacing w:val="2"/>
          <w:sz w:val="28"/>
          <w:szCs w:val="28"/>
        </w:rPr>
      </w:r>
    </w:p>
    <w:p>
      <w:pPr>
        <w:spacing w:line="475" w:lineRule="auto" w:before="0"/>
        <w:ind w:left="714" w:right="1123" w:hanging="563"/>
        <w:jc w:val="left"/>
        <w:rPr>
          <w:rFonts w:ascii="宋体" w:hAnsi="宋体" w:cs="宋体" w:eastAsia="宋体" w:hint="default"/>
          <w:sz w:val="28"/>
          <w:szCs w:val="28"/>
        </w:rPr>
      </w:pPr>
      <w:r>
        <w:rPr>
          <w:rFonts w:ascii="宋体" w:hAnsi="宋体" w:cs="宋体" w:eastAsia="宋体" w:hint="default"/>
          <w:b/>
          <w:bCs/>
          <w:sz w:val="28"/>
          <w:szCs w:val="28"/>
        </w:rPr>
        <w:t>的实质承诺，敬请投资者注意投资风险。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公司已在本报告中详细描述可能存在的风险，具体内容详见本报告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w:t>
      </w:r>
      <w:r>
        <w:rPr>
          <w:rFonts w:ascii="宋体" w:hAnsi="宋体" w:cs="宋体" w:eastAsia="宋体" w:hint="default"/>
          <w:spacing w:val="-2"/>
          <w:sz w:val="28"/>
          <w:szCs w:val="28"/>
        </w:rPr>
      </w:r>
    </w:p>
    <w:p>
      <w:pPr>
        <w:spacing w:line="321" w:lineRule="exact" w:before="0"/>
        <w:ind w:left="152" w:right="1133" w:firstLine="0"/>
        <w:jc w:val="left"/>
        <w:rPr>
          <w:rFonts w:ascii="宋体" w:hAnsi="宋体" w:cs="宋体" w:eastAsia="宋体" w:hint="default"/>
          <w:sz w:val="28"/>
          <w:szCs w:val="28"/>
        </w:rPr>
      </w:pP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before="0"/>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55" w:right="113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8"/>
              </w:rPr>
              <w:t> </w:t>
            </w:r>
            <w:r>
              <w:rPr/>
              <w:t>可转换公司债券相关情况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第九节</w:t>
            </w:r>
            <w:r>
              <w:rPr>
                <w:spacing w:val="-18"/>
              </w:rPr>
              <w:t> </w:t>
            </w:r>
            <w:r>
              <w:rPr/>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18"/>
              </w:rPr>
              <w:t> </w:t>
            </w:r>
            <w:r>
              <w:rPr/>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第十一节</w:t>
            </w:r>
            <w:r>
              <w:rPr>
                <w:spacing w:val="-18"/>
              </w:rPr>
              <w:t> </w:t>
            </w:r>
            <w:r>
              <w:rPr/>
              <w:t>公司债券相关情况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17"/>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w:t>
            </w:r>
            <w:r>
              <w:rPr>
                <w:spacing w:val="-18"/>
              </w:rPr>
              <w:t> </w:t>
            </w:r>
            <w:r>
              <w:rPr/>
              <w:t>备查文件目录</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before="945"/>
        <w:ind w:left="155" w:right="113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公司、本公司、顺利办</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顺利办信息服务股份有限公司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易桥财税科技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神州易桥（北京）财税科技有限公司（公司子公司）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企业管家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企业管家（北京）科技服务有限公司（公司子公司）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快马财税</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霍尔果斯快马财税管理服务有限公司（公司子公司）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快马咨询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霍尔果斯易桥快马企业管理咨询有限公司（公司子公司之子公司）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青海宁达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青海宁达创业投资有限公司（公司子公司）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北京办饭</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北京办饭餐饮管理有限公司（公司子公司）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809998pt;width:361.55pt;height:19.6pt;mso-position-horizontal-relative:page;mso-position-vertical-relative:page;z-index:-1013752"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33"/>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顺利办</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000606</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顺利办信息服务股份有限公司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顺利办</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Shunliban Information Service</w:t>
            </w:r>
            <w:r>
              <w:rPr>
                <w:rFonts w:ascii="Times New Roman"/>
                <w:spacing w:val="-11"/>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Shunliban</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彭聪</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青海省西宁市城西区五四西路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810008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青海省西宁市城西区五四西路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810008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www.shunliban.com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zhengq@12366.com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寇永仓</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7"/>
              <w:jc w:val="left"/>
              <w:rPr>
                <w:rFonts w:ascii="宋体" w:hAnsi="宋体" w:cs="宋体" w:eastAsia="宋体" w:hint="default"/>
                <w:sz w:val="18"/>
                <w:szCs w:val="18"/>
              </w:rPr>
            </w:pPr>
            <w:r>
              <w:rPr>
                <w:rFonts w:ascii="宋体" w:hAnsi="宋体" w:cs="宋体" w:eastAsia="宋体" w:hint="default"/>
                <w:sz w:val="18"/>
                <w:szCs w:val="18"/>
              </w:rPr>
              <w:t>青海省西宁市城西区五四西路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 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青海省西宁市城西区五四西路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 楼</w:t>
            </w:r>
          </w:p>
        </w:tc>
      </w:tr>
      <w:tr>
        <w:trPr>
          <w:trHeight w:val="394"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0971-8013495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0971-8013495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0971-5226338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0971-5226338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huanghy@12366.com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kouyc@12366.com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中国证券报、证券时报、证券日报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青海省西宁市城西区五四西路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bookmarkStart w:name="四、注册变更情况" w:id="7"/>
      <w:bookmarkEnd w:id="7"/>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BodyText"/>
        <w:spacing w:line="240" w:lineRule="auto" w:before="44"/>
        <w:ind w:left="0" w:right="1138"/>
        <w:jc w:val="right"/>
      </w:pPr>
      <w:r>
        <w:rPr/>
        <w:pict>
          <v:shape style="position:absolute;margin-left:56.459999pt;margin-top:-137.048294pt;width:479.2pt;height:274.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53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47"/>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月，公司完成重大资产重组发行股份购买资产事项，形成</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企业互联网 服务业务为主导，制造业务为支撑</w:t>
                        </w:r>
                        <w:r>
                          <w:rPr>
                            <w:rFonts w:ascii="Times New Roman" w:hAnsi="Times New Roman" w:cs="Times New Roman" w:eastAsia="Times New Roman" w:hint="default"/>
                            <w:sz w:val="18"/>
                            <w:szCs w:val="18"/>
                          </w:rPr>
                          <w:t>"</w:t>
                        </w:r>
                        <w:r>
                          <w:rPr>
                            <w:rFonts w:ascii="宋体" w:hAnsi="宋体" w:cs="宋体" w:eastAsia="宋体" w:hint="default"/>
                            <w:sz w:val="18"/>
                            <w:szCs w:val="18"/>
                          </w:rPr>
                          <w:t>的双主业发展模式。</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月，公司完成 重大资产出售暨关联交易事项，公司主业变更为企业互联网服务业务为主的发展 模式。</w:t>
                        </w:r>
                      </w:p>
                    </w:tc>
                  </w:tr>
                  <w:tr>
                    <w:trPr>
                      <w:trHeight w:val="355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月，公司第一大股东变更为青海企业技术创新投资管理有限责任公司。</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年初，公司第一大股东变更为天津泰达科技风险投资股份有限公司（后更名</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天津泰达科技投资股份有</w:t>
                        </w:r>
                        <w:r>
                          <w:rPr>
                            <w:rFonts w:ascii="宋体" w:hAnsi="宋体" w:cs="宋体" w:eastAsia="宋体" w:hint="default"/>
                            <w:spacing w:val="2"/>
                            <w:sz w:val="18"/>
                            <w:szCs w:val="18"/>
                          </w:rPr>
                          <w:t>限</w:t>
                        </w:r>
                        <w:r>
                          <w:rPr>
                            <w:rFonts w:ascii="宋体" w:hAnsi="宋体" w:cs="宋体" w:eastAsia="宋体" w:hint="default"/>
                            <w:sz w:val="18"/>
                            <w:szCs w:val="18"/>
                          </w:rPr>
                          <w:t>公司</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sz w:val="18"/>
                            <w:szCs w:val="18"/>
                          </w:rPr>
                          <w:t>）</w:t>
                        </w:r>
                        <w:r>
                          <w:rPr>
                            <w:rFonts w:ascii="宋体" w:hAnsi="宋体" w:cs="宋体" w:eastAsia="宋体" w:hint="default"/>
                            <w:spacing w:val="-80"/>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3"/>
                            <w:sz w:val="18"/>
                            <w:szCs w:val="18"/>
                          </w:rPr>
                          <w:t>变</w:t>
                        </w:r>
                        <w:r>
                          <w:rPr>
                            <w:rFonts w:ascii="宋体" w:hAnsi="宋体" w:cs="宋体" w:eastAsia="宋体" w:hint="default"/>
                            <w:sz w:val="18"/>
                            <w:szCs w:val="18"/>
                          </w:rPr>
                          <w:t>更为无实际控制人</w:t>
                        </w:r>
                      </w:p>
                      <w:p>
                        <w:pPr>
                          <w:pStyle w:val="TableParagraph"/>
                          <w:spacing w:line="309"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天津泰达科技投资股份有限公司仍为第一大股东。</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日第一大股东 变更为连良桂，由于与天津泰达科技投资股份有限公司为一致行动人，在无实际 控制人情况下，仍由天津泰达科技投资股份有限公司行使控股股东权利和义务。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日，公司收到股东连良桂先生向股东天津泰达科技投资股份有限公 </w:t>
                        </w:r>
                        <w:r>
                          <w:rPr>
                            <w:rFonts w:ascii="宋体" w:hAnsi="宋体" w:cs="宋体" w:eastAsia="宋体" w:hint="default"/>
                            <w:spacing w:val="-3"/>
                            <w:sz w:val="18"/>
                            <w:szCs w:val="18"/>
                          </w:rPr>
                          <w:t>司发出的《解除</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一致行动协议</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通知书》，连良桂先生决定即日起解除与天津泰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达科技投资股份有限公司及其关联企业的一致行动关系，公司变更为无控股股东 和实际控制人。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before="26"/>
        <w:ind w:right="1133"/>
        <w:jc w:val="left"/>
        <w:rPr>
          <w:b w:val="0"/>
          <w:bCs w:val="0"/>
        </w:rPr>
      </w:pPr>
      <w:bookmarkStart w:name="五、其他有关资料" w:id="8"/>
      <w:bookmarkEnd w:id="8"/>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北京市朝阳区安定路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号楼中海国际中心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王首一、王磊</w:t>
            </w:r>
          </w:p>
        </w:tc>
      </w:tr>
    </w:tbl>
    <w:p>
      <w:pPr>
        <w:pStyle w:val="BodyText"/>
        <w:spacing w:line="240" w:lineRule="auto" w:before="49"/>
        <w:ind w:right="113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9"/>
              <w:jc w:val="righ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北京市东城区建国门内大街</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号民生金融中心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77"/>
              <w:jc w:val="right"/>
              <w:rPr>
                <w:rFonts w:ascii="宋体" w:hAnsi="宋体" w:cs="宋体" w:eastAsia="宋体" w:hint="default"/>
                <w:sz w:val="18"/>
                <w:szCs w:val="18"/>
              </w:rPr>
            </w:pPr>
            <w:r>
              <w:rPr>
                <w:rFonts w:ascii="宋体" w:hAnsi="宋体" w:cs="宋体" w:eastAsia="宋体" w:hint="default"/>
                <w:sz w:val="18"/>
                <w:szCs w:val="18"/>
              </w:rPr>
              <w:t>杜存兵、毕孝动、吕彦峰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2,025,037,868.90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735,139,995.00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515,934,484.75</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-1,016,178,672.40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93,282,489.53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-1,189.36%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64,215,586.67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-883,211,476.96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102,036,069.55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-965.59%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-112,158,537.52</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162,715,160.06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53,874,961.75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-30,910,947.64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0.1218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0.0839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0.0839</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-44.91%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-48.28%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2.27%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2,783,863,353.80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4,166,375,290.20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3,838,043,648.14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1,660,102,047.05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2,783,928,517.26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2,745,459,301.11</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384,460,229.42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390,250,411.25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468,370,193.27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781,957,034.96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71,113,162.73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23,718,022.03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14,030,044.01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-1,125,039,901.17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69,895,127.55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22,824,394.21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18,684,830.10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-994,615,828.82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2,906,903.19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9,817,374.04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33,267,537.02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116,723,345.81</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-159,181,999.97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-82,585,044.79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31,020,911.35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24,072,325.49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7,550,102.39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3,641,940.00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3,515,119.40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37,075,053.74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3,854,317.38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4,973,960.26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2,099,001.54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12,498,373.09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110,272,632.38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-9,290,830.72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12,097,348.15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-10,026,448.05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购买日之前持有的股权按照公允价值重新 计量产生的利得</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35,592,646.95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-1,814,214.50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-6,769,654.18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190,096.48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30,008.67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622,814.98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267,008.41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-132,967,195.44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-8,753,580.02</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176,374,124.19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第三节公司业务概要" w:id="15"/>
      <w:bookmarkEnd w:id="15"/>
      <w:r>
        <w:rPr>
          <w:b w:val="0"/>
          <w:bCs w:val="0"/>
        </w:rPr>
      </w:r>
      <w:bookmarkStart w:name="_bookmark1" w:id="16"/>
      <w:bookmarkEnd w:id="16"/>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434" w:lineRule="auto"/>
        <w:ind w:left="578" w:right="7808"/>
        <w:jc w:val="left"/>
      </w:pPr>
      <w:r>
        <w:rPr/>
        <w:t>（一）公司主要业务及经营模式 </w:t>
      </w:r>
      <w:r>
        <w:rPr>
          <w:rFonts w:ascii="宋体" w:hAnsi="宋体" w:cs="宋体" w:eastAsia="宋体" w:hint="default"/>
        </w:rPr>
        <w:t>1</w:t>
      </w:r>
      <w:r>
        <w:rPr/>
        <w:t>、公司主要业务</w:t>
      </w:r>
    </w:p>
    <w:p>
      <w:pPr>
        <w:pStyle w:val="BodyText"/>
        <w:spacing w:line="357" w:lineRule="auto" w:before="125"/>
        <w:ind w:right="1133" w:firstLine="425"/>
        <w:jc w:val="both"/>
      </w:pPr>
      <w:r>
        <w:rPr/>
        <w:t>公司从事企业互联网服务业务，提供企业注册、财税、知识产权、投融资等多项服务，是解决所有企业发展过程中面 临的“人、财、物、税、事”等方方面面的问题。基于企业服务的业务体系，公司构建了“线上</w:t>
      </w:r>
      <w:r>
        <w:rPr>
          <w:rFonts w:ascii="宋体" w:hAnsi="宋体" w:cs="宋体" w:eastAsia="宋体" w:hint="default"/>
        </w:rPr>
        <w:t>+</w:t>
      </w:r>
      <w:r>
        <w:rPr/>
        <w:t>线下”一体联动的企业服 务平台，线上依靠公司自主研发的办</w:t>
      </w:r>
      <w:r>
        <w:rPr>
          <w:rFonts w:ascii="宋体" w:hAnsi="宋体" w:cs="宋体" w:eastAsia="宋体" w:hint="default"/>
        </w:rPr>
        <w:t>+</w:t>
      </w:r>
      <w:r>
        <w:rPr/>
        <w:t>、管</w:t>
      </w:r>
      <w:r>
        <w:rPr>
          <w:rFonts w:ascii="宋体" w:hAnsi="宋体" w:cs="宋体" w:eastAsia="宋体" w:hint="default"/>
        </w:rPr>
        <w:t>+</w:t>
      </w:r>
      <w:r>
        <w:rPr/>
        <w:t>、精算</w:t>
      </w:r>
      <w:r>
        <w:rPr>
          <w:rFonts w:ascii="宋体" w:hAnsi="宋体" w:cs="宋体" w:eastAsia="宋体" w:hint="default"/>
        </w:rPr>
        <w:t>+</w:t>
      </w:r>
      <w:r>
        <w:rPr/>
        <w:t>、政务</w:t>
      </w:r>
      <w:r>
        <w:rPr>
          <w:rFonts w:ascii="宋体" w:hAnsi="宋体" w:cs="宋体" w:eastAsia="宋体" w:hint="default"/>
        </w:rPr>
        <w:t>+</w:t>
      </w:r>
      <w:r>
        <w:rPr/>
        <w:t>、行业</w:t>
      </w:r>
      <w:r>
        <w:rPr>
          <w:rFonts w:ascii="宋体" w:hAnsi="宋体" w:cs="宋体" w:eastAsia="宋体" w:hint="default"/>
        </w:rPr>
        <w:t>+</w:t>
      </w:r>
      <w:r>
        <w:rPr/>
        <w:t>等服务管理系统，实现规模化销售获客、专业化业务流 </w:t>
      </w:r>
      <w:r>
        <w:rPr>
          <w:spacing w:val="-2"/>
        </w:rPr>
        <w:t>程、规范化服务监管的功能，线下则依靠全国布局的百城千店，形成了各类服务产品推广的渠道终端和直接触达用户的庞大</w:t>
      </w:r>
      <w:r>
        <w:rPr>
          <w:spacing w:val="-65"/>
        </w:rPr>
        <w:t> </w:t>
      </w:r>
      <w:r>
        <w:rPr>
          <w:spacing w:val="-65"/>
        </w:rPr>
      </w:r>
      <w:r>
        <w:rPr/>
        <w:t>网络。公司以助力国家富强、企业繁荣、劳动者安居乐业为愿景，为企业提供有温度的企业服务。</w:t>
      </w:r>
    </w:p>
    <w:p>
      <w:pPr>
        <w:spacing w:line="240" w:lineRule="auto" w:before="13"/>
        <w:rPr>
          <w:rFonts w:ascii="宋体" w:hAnsi="宋体" w:cs="宋体" w:eastAsia="宋体" w:hint="default"/>
          <w:sz w:val="13"/>
          <w:szCs w:val="13"/>
        </w:rPr>
      </w:pPr>
    </w:p>
    <w:p>
      <w:pPr>
        <w:pStyle w:val="BodyText"/>
        <w:spacing w:line="240" w:lineRule="auto"/>
        <w:ind w:left="578" w:right="1133"/>
        <w:jc w:val="left"/>
      </w:pPr>
      <w:r>
        <w:rPr>
          <w:rFonts w:ascii="宋体" w:hAnsi="宋体" w:cs="宋体" w:eastAsia="宋体" w:hint="default"/>
        </w:rPr>
        <w:t>2</w:t>
      </w:r>
      <w:r>
        <w:rPr/>
        <w:t>、公司经营模式</w:t>
      </w:r>
    </w:p>
    <w:p>
      <w:pPr>
        <w:spacing w:line="240" w:lineRule="auto" w:before="7"/>
        <w:rPr>
          <w:rFonts w:ascii="宋体" w:hAnsi="宋体" w:cs="宋体" w:eastAsia="宋体" w:hint="default"/>
          <w:sz w:val="20"/>
          <w:szCs w:val="20"/>
        </w:rPr>
      </w:pPr>
    </w:p>
    <w:p>
      <w:pPr>
        <w:pStyle w:val="BodyText"/>
        <w:spacing w:line="357" w:lineRule="auto"/>
        <w:ind w:right="1133" w:firstLine="425"/>
        <w:jc w:val="both"/>
      </w:pPr>
      <w:r>
        <w:rPr/>
        <w:t>销售模式：公司线下连锁服务网点遍布于全国各主要城市，通过在各地设立的分支机构及加盟、合作机构，由各网点 </w:t>
      </w:r>
      <w:r>
        <w:rPr>
          <w:spacing w:val="-2"/>
        </w:rPr>
        <w:t>人员直接对区域内客户进行服务推介及相关的市场推广工作。同时，公司通过线上平台，提供便捷的异地跨区服务，吸引大</w:t>
      </w:r>
      <w:r>
        <w:rPr>
          <w:spacing w:val="-66"/>
        </w:rPr>
        <w:t> </w:t>
      </w:r>
      <w:r>
        <w:rPr>
          <w:spacing w:val="-66"/>
        </w:rPr>
      </w:r>
      <w:r>
        <w:rPr/>
        <w:t>量客户，有效提升公司品牌影响力。</w:t>
      </w:r>
    </w:p>
    <w:p>
      <w:pPr>
        <w:spacing w:line="240" w:lineRule="auto" w:before="13"/>
        <w:rPr>
          <w:rFonts w:ascii="宋体" w:hAnsi="宋体" w:cs="宋体" w:eastAsia="宋体" w:hint="default"/>
          <w:sz w:val="13"/>
          <w:szCs w:val="13"/>
        </w:rPr>
      </w:pPr>
    </w:p>
    <w:p>
      <w:pPr>
        <w:pStyle w:val="BodyText"/>
        <w:spacing w:line="240" w:lineRule="auto"/>
        <w:ind w:left="578" w:right="1133"/>
        <w:jc w:val="left"/>
      </w:pPr>
      <w:r>
        <w:rPr/>
        <w:t>服务模式：</w:t>
      </w:r>
    </w:p>
    <w:p>
      <w:pPr>
        <w:spacing w:line="240" w:lineRule="auto" w:before="9"/>
        <w:rPr>
          <w:rFonts w:ascii="宋体" w:hAnsi="宋体" w:cs="宋体" w:eastAsia="宋体" w:hint="default"/>
          <w:sz w:val="20"/>
          <w:szCs w:val="20"/>
        </w:rPr>
      </w:pPr>
    </w:p>
    <w:p>
      <w:pPr>
        <w:pStyle w:val="BodyText"/>
        <w:spacing w:line="357" w:lineRule="auto"/>
        <w:ind w:right="1133" w:firstLine="425"/>
        <w:jc w:val="both"/>
      </w:pPr>
      <w:r>
        <w:rPr/>
        <w:t>⑴人力资本业务：基于企业目前亟待解决的用工难、人力成本高、运营风险大等问题，创建以灵活用工、任务众包、 </w:t>
      </w:r>
      <w:r>
        <w:rPr>
          <w:spacing w:val="-2"/>
        </w:rPr>
        <w:t>个体创业等业务为核心的服务体系，建立人才数据库，服务广大企业和雇员。让中小企业和雇员享受和大型企业同样专业的</w:t>
      </w:r>
      <w:r>
        <w:rPr>
          <w:spacing w:val="-66"/>
        </w:rPr>
        <w:t> </w:t>
      </w:r>
      <w:r>
        <w:rPr>
          <w:spacing w:val="-66"/>
        </w:rPr>
      </w:r>
      <w:r>
        <w:rPr/>
        <w:t>人力资本服务。</w:t>
      </w:r>
    </w:p>
    <w:p>
      <w:pPr>
        <w:spacing w:line="240" w:lineRule="auto" w:before="13"/>
        <w:rPr>
          <w:rFonts w:ascii="宋体" w:hAnsi="宋体" w:cs="宋体" w:eastAsia="宋体" w:hint="default"/>
          <w:sz w:val="13"/>
          <w:szCs w:val="13"/>
        </w:rPr>
      </w:pPr>
    </w:p>
    <w:p>
      <w:pPr>
        <w:pStyle w:val="BodyText"/>
        <w:spacing w:line="355" w:lineRule="auto"/>
        <w:ind w:right="1136" w:firstLine="425"/>
        <w:jc w:val="both"/>
      </w:pPr>
      <w:r>
        <w:rPr/>
        <w:t>⑵顾问咨询业务：链接城市与企业，集约化获得政府扶持。资深的税务师、会计师、内控专家团队，精研全国各地政 </w:t>
      </w:r>
      <w:r>
        <w:rPr>
          <w:spacing w:val="-2"/>
        </w:rPr>
        <w:t>策，全方位、多角度、多渠道为企业提供专业筹划咨询、架构设计、交易设计、业务落地全案服务，服务于企业的弹性可持</w:t>
      </w:r>
      <w:r>
        <w:rPr>
          <w:spacing w:val="-73"/>
        </w:rPr>
        <w:t> </w:t>
      </w:r>
      <w:r>
        <w:rPr>
          <w:spacing w:val="-73"/>
        </w:rPr>
      </w:r>
      <w:r>
        <w:rPr/>
        <w:t>续发展。</w:t>
      </w:r>
    </w:p>
    <w:p>
      <w:pPr>
        <w:spacing w:line="240" w:lineRule="auto" w:before="1"/>
        <w:rPr>
          <w:rFonts w:ascii="宋体" w:hAnsi="宋体" w:cs="宋体" w:eastAsia="宋体" w:hint="default"/>
          <w:sz w:val="14"/>
          <w:szCs w:val="14"/>
        </w:rPr>
      </w:pPr>
    </w:p>
    <w:p>
      <w:pPr>
        <w:pStyle w:val="BodyText"/>
        <w:spacing w:line="357" w:lineRule="auto"/>
        <w:ind w:right="1162" w:firstLine="425"/>
        <w:jc w:val="both"/>
      </w:pPr>
      <w:r>
        <w:rPr/>
        <w:t>⑶无形资产业务：构建虚拟资产交易平台，服务覆盖知识产权和资质两大领域在内的知识产权全</w:t>
      </w:r>
      <w:r>
        <w:rPr>
          <w:rFonts w:ascii="宋体" w:hAnsi="宋体" w:cs="宋体" w:eastAsia="宋体" w:hint="default"/>
        </w:rPr>
        <w:t>IP</w:t>
      </w:r>
      <w:r>
        <w:rPr/>
        <w:t>链条。助力增强企 业知识产权管理能力，增加知识产权变现及融资通道，为客户提供更专业的无形资产服务。</w:t>
      </w:r>
    </w:p>
    <w:p>
      <w:pPr>
        <w:spacing w:line="240" w:lineRule="auto" w:before="13"/>
        <w:rPr>
          <w:rFonts w:ascii="宋体" w:hAnsi="宋体" w:cs="宋体" w:eastAsia="宋体" w:hint="default"/>
          <w:sz w:val="13"/>
          <w:szCs w:val="13"/>
        </w:rPr>
      </w:pPr>
    </w:p>
    <w:p>
      <w:pPr>
        <w:pStyle w:val="BodyText"/>
        <w:spacing w:line="357" w:lineRule="auto"/>
        <w:ind w:right="1166" w:firstLine="425"/>
        <w:jc w:val="both"/>
      </w:pPr>
      <w:r>
        <w:rPr/>
        <w:t>⑷金融保险业务：以财税数据、线下场景为优势，构建企业画像，打造风控体系，将普惠金融及保险产品精确嫁接至 企业，解决中小企业的资金及风控问题。</w:t>
      </w:r>
    </w:p>
    <w:p>
      <w:pPr>
        <w:spacing w:line="240" w:lineRule="auto" w:before="0"/>
        <w:rPr>
          <w:rFonts w:ascii="宋体" w:hAnsi="宋体" w:cs="宋体" w:eastAsia="宋体" w:hint="default"/>
          <w:sz w:val="14"/>
          <w:szCs w:val="14"/>
        </w:rPr>
      </w:pPr>
    </w:p>
    <w:p>
      <w:pPr>
        <w:pStyle w:val="BodyText"/>
        <w:spacing w:line="357" w:lineRule="auto"/>
        <w:ind w:right="1133" w:firstLine="425"/>
        <w:jc w:val="both"/>
      </w:pPr>
      <w:r>
        <w:rPr/>
        <w:t>⑸全国通办业务：以线上网站（</w:t>
      </w:r>
      <w:hyperlink r:id="rId13">
        <w:r>
          <w:rPr>
            <w:rFonts w:ascii="宋体" w:hAnsi="宋体" w:cs="宋体" w:eastAsia="宋体" w:hint="default"/>
          </w:rPr>
          <w:t>www.12366.com</w:t>
        </w:r>
      </w:hyperlink>
      <w:r>
        <w:rPr/>
        <w:t>）及“办</w:t>
      </w:r>
      <w:r>
        <w:rPr>
          <w:rFonts w:ascii="宋体" w:hAnsi="宋体" w:cs="宋体" w:eastAsia="宋体" w:hint="default"/>
        </w:rPr>
        <w:t>+</w:t>
      </w:r>
      <w:r>
        <w:rPr/>
        <w:t>”平台为载体，百城千店线下服务运营中心为支撑，为企业 </w:t>
      </w:r>
      <w:r>
        <w:rPr>
          <w:spacing w:val="-2"/>
        </w:rPr>
        <w:t>提供全国范围内的工商注册及变更年检、银行开户、税务报到、代理记账、资质申领、汇算清缴等企业代理服务。解决企业</w:t>
      </w:r>
      <w:r>
        <w:rPr>
          <w:spacing w:val="-68"/>
        </w:rPr>
        <w:t> </w:t>
      </w:r>
      <w:r>
        <w:rPr>
          <w:spacing w:val="-68"/>
        </w:rPr>
      </w:r>
      <w:r>
        <w:rPr/>
        <w:t>基础事务托管，助力企业精耕主营业务，实现快速发展。</w:t>
      </w:r>
    </w:p>
    <w:p>
      <w:pPr>
        <w:spacing w:line="240" w:lineRule="auto" w:before="13"/>
        <w:rPr>
          <w:rFonts w:ascii="宋体" w:hAnsi="宋体" w:cs="宋体" w:eastAsia="宋体" w:hint="default"/>
          <w:sz w:val="13"/>
          <w:szCs w:val="13"/>
        </w:rPr>
      </w:pPr>
    </w:p>
    <w:p>
      <w:pPr>
        <w:pStyle w:val="BodyText"/>
        <w:spacing w:line="355" w:lineRule="auto"/>
        <w:ind w:right="1130" w:firstLine="425"/>
        <w:jc w:val="both"/>
      </w:pPr>
      <w:r>
        <w:rPr/>
        <w:t>盈利模式：人力资本等业务参照同行业同类业务并结合自身资源优势报价，以服务项目为单位进行计费。全国通办业 </w:t>
      </w:r>
      <w:r>
        <w:rPr>
          <w:spacing w:val="-2"/>
        </w:rPr>
        <w:t>务主要参考市场同类业务收费情况，结合公司产品优势和技术优势进行市场化定价，并根据客户规模按年、按季或者按月收</w:t>
      </w:r>
      <w:r>
        <w:rPr>
          <w:spacing w:val="-63"/>
        </w:rPr>
        <w:t> </w:t>
      </w:r>
      <w:r>
        <w:rPr>
          <w:spacing w:val="-63"/>
        </w:rPr>
      </w:r>
      <w:r>
        <w:rPr/>
        <w:t>费。</w:t>
      </w:r>
    </w:p>
    <w:p>
      <w:pPr>
        <w:spacing w:line="240" w:lineRule="auto" w:before="1"/>
        <w:rPr>
          <w:rFonts w:ascii="宋体" w:hAnsi="宋体" w:cs="宋体" w:eastAsia="宋体" w:hint="default"/>
          <w:sz w:val="14"/>
          <w:szCs w:val="14"/>
        </w:rPr>
      </w:pPr>
    </w:p>
    <w:p>
      <w:pPr>
        <w:pStyle w:val="BodyText"/>
        <w:spacing w:line="240" w:lineRule="auto"/>
        <w:ind w:left="578" w:right="1133"/>
        <w:jc w:val="left"/>
      </w:pPr>
      <w:r>
        <w:rPr/>
        <w:t>（二）所属行业发展阶段及公司所处的行业地位</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2"/>
          <w:szCs w:val="22"/>
        </w:rPr>
      </w:pPr>
    </w:p>
    <w:p>
      <w:pPr>
        <w:pStyle w:val="BodyText"/>
        <w:spacing w:line="357" w:lineRule="auto" w:before="44"/>
        <w:ind w:right="1034" w:firstLine="425"/>
        <w:jc w:val="left"/>
      </w:pPr>
      <w:r>
        <w:rPr/>
        <w:t>随着中小微企业发展政策环境的不断优化，以及大众创业、万众创新持续深化，中小微企业的内生动力和活力进一步 </w:t>
      </w:r>
      <w:r>
        <w:rPr>
          <w:spacing w:val="-2"/>
        </w:rPr>
        <w:t>释放。根据国家统计局发布的《</w:t>
      </w:r>
      <w:r>
        <w:rPr>
          <w:rFonts w:ascii="宋体" w:hAnsi="宋体" w:cs="宋体" w:eastAsia="宋体" w:hint="default"/>
          <w:spacing w:val="-2"/>
        </w:rPr>
        <w:t>2019</w:t>
      </w:r>
      <w:r>
        <w:rPr>
          <w:spacing w:val="-2"/>
        </w:rPr>
        <w:t>年国民经济和社会发展统计公报》，</w:t>
      </w:r>
      <w:r>
        <w:rPr>
          <w:rFonts w:ascii="宋体" w:hAnsi="宋体" w:cs="宋体" w:eastAsia="宋体" w:hint="default"/>
          <w:spacing w:val="-2"/>
        </w:rPr>
        <w:t>2019</w:t>
      </w:r>
      <w:r>
        <w:rPr>
          <w:spacing w:val="-2"/>
        </w:rPr>
        <w:t>年全年新登记市场主体</w:t>
      </w:r>
      <w:r>
        <w:rPr>
          <w:rFonts w:ascii="宋体" w:hAnsi="宋体" w:cs="宋体" w:eastAsia="宋体" w:hint="default"/>
          <w:spacing w:val="-2"/>
        </w:rPr>
        <w:t>2377</w:t>
      </w:r>
      <w:r>
        <w:rPr>
          <w:spacing w:val="-2"/>
        </w:rPr>
        <w:t>万户，日均新登记</w:t>
      </w:r>
      <w:r>
        <w:rPr>
          <w:spacing w:val="-60"/>
        </w:rPr>
        <w:t> </w:t>
      </w:r>
      <w:r>
        <w:rPr>
          <w:spacing w:val="-60"/>
        </w:rPr>
      </w:r>
      <w:r>
        <w:rPr/>
        <w:t>企业</w:t>
      </w:r>
      <w:r>
        <w:rPr>
          <w:rFonts w:ascii="宋体" w:hAnsi="宋体" w:cs="宋体" w:eastAsia="宋体" w:hint="default"/>
        </w:rPr>
        <w:t>2</w:t>
      </w:r>
      <w:r>
        <w:rPr/>
        <w:t>万户，年末市场主体总数达</w:t>
      </w:r>
      <w:r>
        <w:rPr>
          <w:rFonts w:ascii="宋体" w:hAnsi="宋体" w:cs="宋体" w:eastAsia="宋体" w:hint="default"/>
        </w:rPr>
        <w:t>1.2</w:t>
      </w:r>
      <w:r>
        <w:rPr/>
        <w:t>亿户。企业数量的持续增长推动了企业服务市场的快速发展，各大资本力量争相布局， </w:t>
      </w:r>
      <w:r>
        <w:rPr>
          <w:spacing w:val="-2"/>
        </w:rPr>
        <w:t>互联网巨头持续加码，以互联网、云计算、大数据、人工智能以及物联网等为代表的新一代信息技术改变着企业服务领域的</w:t>
      </w:r>
      <w:r>
        <w:rPr>
          <w:spacing w:val="-66"/>
        </w:rPr>
        <w:t> </w:t>
      </w:r>
      <w:r>
        <w:rPr>
          <w:spacing w:val="-66"/>
        </w:rPr>
      </w:r>
      <w:r>
        <w:rPr>
          <w:spacing w:val="-2"/>
        </w:rPr>
        <w:t>业务模式、发展格局，加快推进企业的信息化、自动化、智能化和数字化进程，企业服务市场得到快速发展，并推动了传统</w:t>
      </w:r>
      <w:r>
        <w:rPr>
          <w:spacing w:val="-67"/>
        </w:rPr>
        <w:t> </w:t>
      </w:r>
      <w:r>
        <w:rPr>
          <w:spacing w:val="-67"/>
        </w:rPr>
      </w:r>
      <w:r>
        <w:rPr/>
        <w:t>业态与新兴业态融合进程的加快。与此同时，传统企业服务依然存在门槛低、市场散乱、信息不对称、服务不完善等问题。</w:t>
      </w:r>
    </w:p>
    <w:p>
      <w:pPr>
        <w:spacing w:line="240" w:lineRule="auto" w:before="13"/>
        <w:rPr>
          <w:rFonts w:ascii="宋体" w:hAnsi="宋体" w:cs="宋体" w:eastAsia="宋体" w:hint="default"/>
          <w:sz w:val="13"/>
          <w:szCs w:val="13"/>
        </w:rPr>
      </w:pPr>
    </w:p>
    <w:p>
      <w:pPr>
        <w:pStyle w:val="BodyText"/>
        <w:spacing w:line="357" w:lineRule="auto"/>
        <w:ind w:right="1034" w:firstLine="425"/>
        <w:jc w:val="left"/>
      </w:pPr>
      <w:r>
        <w:rPr/>
        <w:t>公司积极响应国家政策指引与号召，审时度势，在发挥原有企业财税服务优势的基础上，基于企业互联网化发展的大 </w:t>
      </w:r>
      <w:r>
        <w:rPr>
          <w:spacing w:val="-2"/>
        </w:rPr>
        <w:t>趋势，确定了服务于中小微企业互联网化，构建智慧企业服务生态圈的战略选择，打造包括用户、企业大数据等元素在内的</w:t>
      </w:r>
      <w:r>
        <w:rPr>
          <w:spacing w:val="-65"/>
        </w:rPr>
        <w:t> </w:t>
      </w:r>
      <w:r>
        <w:rPr>
          <w:spacing w:val="-65"/>
        </w:rPr>
      </w:r>
      <w:r>
        <w:rPr/>
        <w:t>智慧企业互联网复合生态服务体系。分布广泛、数量众多的中小微企业是公司核心服务圈层。作为企业服务行业的深耕者， </w:t>
      </w:r>
      <w:r>
        <w:rPr>
          <w:spacing w:val="-4"/>
        </w:rPr>
        <w:t>公司对上链接区域政府和园区，通过精准招商帮助政府促进当地经济发展；对下链接中小微企业，利用自身的百城千店布局，</w:t>
      </w:r>
      <w:r>
        <w:rPr>
          <w:spacing w:val="-43"/>
        </w:rPr>
        <w:t> </w:t>
      </w:r>
      <w:r>
        <w:rPr>
          <w:spacing w:val="-43"/>
        </w:rPr>
      </w:r>
      <w:r>
        <w:rPr/>
        <w:t>组织优秀企业服务提供商，全方位服务于企业各类需求。公司致力于向企业提供全周期一站式服务，从企业注册环节入手， </w:t>
      </w:r>
      <w:r>
        <w:rPr>
          <w:spacing w:val="-2"/>
        </w:rPr>
        <w:t>解决所有企业发展过程中面临的“人、财、物、税、事”等问题，实现企业服务的互联网化和标准化，助力企业专注于主营</w:t>
      </w:r>
      <w:r>
        <w:rPr>
          <w:spacing w:val="-70"/>
        </w:rPr>
        <w:t> </w:t>
      </w:r>
      <w:r>
        <w:rPr>
          <w:spacing w:val="-70"/>
        </w:rPr>
      </w:r>
      <w:r>
        <w:rPr/>
        <w:t>业务实现健康稳定发展。</w:t>
      </w:r>
    </w:p>
    <w:p>
      <w:pPr>
        <w:spacing w:line="240" w:lineRule="auto" w:before="7"/>
        <w:rPr>
          <w:rFonts w:ascii="宋体" w:hAnsi="宋体" w:cs="宋体" w:eastAsia="宋体" w:hint="default"/>
          <w:sz w:val="24"/>
          <w:szCs w:val="24"/>
        </w:rPr>
      </w:pPr>
    </w:p>
    <w:p>
      <w:pPr>
        <w:pStyle w:val="Heading2"/>
        <w:spacing w:line="240" w:lineRule="auto"/>
        <w:ind w:right="1133"/>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spacing w:line="240" w:lineRule="auto" w:before="44"/>
        <w:ind w:left="0" w:right="1151"/>
        <w:jc w:val="right"/>
      </w:pPr>
      <w:r>
        <w:rPr/>
        <w:pict>
          <v:shape style="position:absolute;margin-left:56.400002pt;margin-top:-159.50824pt;width:479.3pt;height:219.6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32.19%</w:t>
                        </w:r>
                        <w:r>
                          <w:rPr>
                            <w:rFonts w:ascii="宋体" w:hAnsi="宋体" w:cs="宋体" w:eastAsia="宋体" w:hint="default"/>
                            <w:sz w:val="18"/>
                            <w:szCs w:val="18"/>
                          </w:rPr>
                          <w:t>，主要是本期处置和报废部分固定资产导致减少。</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47.28%</w:t>
                        </w:r>
                        <w:r>
                          <w:rPr>
                            <w:rFonts w:ascii="宋体" w:hAnsi="宋体" w:cs="宋体" w:eastAsia="宋体" w:hint="default"/>
                            <w:sz w:val="18"/>
                            <w:szCs w:val="18"/>
                          </w:rPr>
                          <w:t>，主要是本期计提部分减值导致。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89.07%</w:t>
                        </w:r>
                        <w:r>
                          <w:rPr>
                            <w:rFonts w:ascii="宋体" w:hAnsi="宋体" w:cs="宋体" w:eastAsia="宋体" w:hint="default"/>
                            <w:sz w:val="18"/>
                            <w:szCs w:val="18"/>
                          </w:rPr>
                          <w:t>，主要是本期公司募投项目结项所致。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45.57%</w:t>
                        </w:r>
                        <w:r>
                          <w:rPr>
                            <w:rFonts w:ascii="宋体" w:hAnsi="宋体" w:cs="宋体" w:eastAsia="宋体" w:hint="default"/>
                            <w:sz w:val="18"/>
                            <w:szCs w:val="18"/>
                          </w:rPr>
                          <w:t>，主要是本期计提商誉减值和剥离部分终端资产所致。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，主要是预付软件款。</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，为理财产品由其他流动资产重分类至该项目所致。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50.37%</w:t>
                        </w:r>
                        <w:r>
                          <w:rPr>
                            <w:rFonts w:ascii="宋体" w:hAnsi="宋体" w:cs="宋体" w:eastAsia="宋体" w:hint="default"/>
                            <w:sz w:val="18"/>
                            <w:szCs w:val="18"/>
                          </w:rPr>
                          <w:t>，主要是公司本期剥离部分终端资产应收已支付的股权款增加</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31.74%</w:t>
                        </w:r>
                        <w:r>
                          <w:rPr>
                            <w:rFonts w:ascii="宋体" w:hAnsi="宋体" w:cs="宋体" w:eastAsia="宋体" w:hint="default"/>
                            <w:sz w:val="18"/>
                            <w:szCs w:val="18"/>
                          </w:rPr>
                          <w:t>，主要是本期对联营企业的投资处置及计提减值导致。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较年初增加主要是本期公司新增非交易性投资所致。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before="36"/>
        <w:ind w:right="1133"/>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三、核心竞争力分析" w:id="21"/>
      <w:bookmarkEnd w:id="21"/>
      <w:r>
        <w:rPr>
          <w:b w:val="0"/>
          <w:bCs w:val="0"/>
        </w:rPr>
      </w:r>
      <w:r>
        <w:rPr/>
        <w:t>三、核心竞争力分析</w:t>
      </w:r>
      <w:r>
        <w:rPr>
          <w:b w:val="0"/>
          <w:bCs w:val="0"/>
        </w:rPr>
      </w:r>
    </w:p>
    <w:p>
      <w:pPr>
        <w:pStyle w:val="BodyText"/>
        <w:spacing w:line="500" w:lineRule="atLeast" w:before="41"/>
        <w:ind w:left="578" w:right="1058"/>
        <w:jc w:val="left"/>
      </w:pPr>
      <w:r>
        <w:rPr>
          <w:rFonts w:ascii="宋体" w:hAnsi="宋体" w:cs="宋体" w:eastAsia="宋体" w:hint="default"/>
        </w:rPr>
        <w:t>1</w:t>
      </w:r>
      <w:r>
        <w:rPr/>
        <w:t>、领先的经营模式 公司率先推出企业服务互联网化，构建“线上</w:t>
      </w:r>
      <w:r>
        <w:rPr>
          <w:rFonts w:ascii="宋体" w:hAnsi="宋体" w:cs="宋体" w:eastAsia="宋体" w:hint="default"/>
        </w:rPr>
        <w:t>+</w:t>
      </w:r>
      <w:r>
        <w:rPr/>
        <w:t>线下”一体联动的企业服务平台，线上依靠公司自主研发的办</w:t>
      </w:r>
      <w:r>
        <w:rPr>
          <w:rFonts w:ascii="宋体" w:hAnsi="宋体" w:cs="宋体" w:eastAsia="宋体" w:hint="default"/>
        </w:rPr>
        <w:t>+</w:t>
      </w:r>
      <w:r>
        <w:rPr/>
        <w:t>、管</w:t>
      </w:r>
      <w:r>
        <w:rPr>
          <w:rFonts w:ascii="宋体" w:hAnsi="宋体" w:cs="宋体" w:eastAsia="宋体" w:hint="default"/>
        </w:rPr>
        <w:t>+</w:t>
      </w:r>
      <w:r>
        <w:rPr/>
        <w:t>、</w:t>
      </w:r>
    </w:p>
    <w:p>
      <w:pPr>
        <w:pStyle w:val="BodyText"/>
        <w:spacing w:line="240" w:lineRule="auto" w:before="115"/>
        <w:ind w:right="0"/>
        <w:jc w:val="left"/>
      </w:pPr>
      <w:r>
        <w:rPr/>
        <w:t>精算</w:t>
      </w:r>
      <w:r>
        <w:rPr>
          <w:rFonts w:ascii="宋体" w:hAnsi="宋体" w:cs="宋体" w:eastAsia="宋体" w:hint="default"/>
        </w:rPr>
        <w:t>+</w:t>
      </w:r>
      <w:r>
        <w:rPr/>
        <w:t>、政务</w:t>
      </w:r>
      <w:r>
        <w:rPr>
          <w:rFonts w:ascii="宋体" w:hAnsi="宋体" w:cs="宋体" w:eastAsia="宋体" w:hint="default"/>
        </w:rPr>
        <w:t>+</w:t>
      </w:r>
      <w:r>
        <w:rPr/>
        <w:t>、行业</w:t>
      </w:r>
      <w:r>
        <w:rPr>
          <w:rFonts w:ascii="宋体" w:hAnsi="宋体" w:cs="宋体" w:eastAsia="宋体" w:hint="default"/>
        </w:rPr>
        <w:t>+</w:t>
      </w:r>
      <w:r>
        <w:rPr/>
        <w:t>等生态网络服务平台，实现规模化销售获客、专业化业务流程、规范化服务监管的功能，线下依靠全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2"/>
          <w:szCs w:val="22"/>
        </w:rPr>
      </w:pPr>
    </w:p>
    <w:p>
      <w:pPr>
        <w:pStyle w:val="BodyText"/>
        <w:spacing w:line="516" w:lineRule="auto" w:before="44"/>
        <w:ind w:left="578" w:right="6434" w:hanging="426"/>
        <w:jc w:val="left"/>
      </w:pPr>
      <w:r>
        <w:rPr/>
        <w:t>国百城千店的布局，形成了直接触达用户的庞大网络。 </w:t>
      </w:r>
      <w:r>
        <w:rPr>
          <w:rFonts w:ascii="宋体" w:hAnsi="宋体" w:cs="宋体" w:eastAsia="宋体" w:hint="default"/>
        </w:rPr>
        <w:t>2</w:t>
      </w:r>
      <w:r>
        <w:rPr/>
        <w:t>、便捷的服务平台</w:t>
      </w:r>
    </w:p>
    <w:p>
      <w:pPr>
        <w:pStyle w:val="BodyText"/>
        <w:spacing w:line="357" w:lineRule="auto" w:before="64"/>
        <w:ind w:right="1134" w:firstLine="425"/>
        <w:jc w:val="both"/>
      </w:pPr>
      <w:r>
        <w:rPr/>
        <w:t>公司深入了解企业发展过程中的痛点及需求，与政府、企业和各类组织机构合作，整合多方社会优质资源，建立企业 </w:t>
      </w:r>
      <w:r>
        <w:rPr>
          <w:spacing w:val="-2"/>
        </w:rPr>
        <w:t>公共服务平台，在跨区域协作等方面独具优势。通过市场推广传播、政府支持、政策扶持等，解决服务过程中信息不对称问</w:t>
      </w:r>
      <w:r>
        <w:rPr>
          <w:spacing w:val="-67"/>
        </w:rPr>
        <w:t> </w:t>
      </w:r>
      <w:r>
        <w:rPr>
          <w:spacing w:val="-67"/>
        </w:rPr>
      </w:r>
      <w:r>
        <w:rPr/>
        <w:t>题，成为政府、企业、劳动者间良性互动的桥梁。</w:t>
      </w:r>
    </w:p>
    <w:p>
      <w:pPr>
        <w:spacing w:line="240" w:lineRule="auto" w:before="10"/>
        <w:rPr>
          <w:rFonts w:ascii="宋体" w:hAnsi="宋体" w:cs="宋体" w:eastAsia="宋体" w:hint="default"/>
          <w:sz w:val="13"/>
          <w:szCs w:val="13"/>
        </w:rPr>
      </w:pPr>
    </w:p>
    <w:p>
      <w:pPr>
        <w:pStyle w:val="BodyText"/>
        <w:spacing w:line="240" w:lineRule="auto"/>
        <w:ind w:left="578" w:right="1133"/>
        <w:jc w:val="left"/>
      </w:pPr>
      <w:r>
        <w:rPr>
          <w:rFonts w:ascii="宋体" w:hAnsi="宋体" w:cs="宋体" w:eastAsia="宋体" w:hint="default"/>
        </w:rPr>
        <w:t>3</w:t>
      </w:r>
      <w:r>
        <w:rPr/>
        <w:t>、丰富的产品经验</w:t>
      </w:r>
    </w:p>
    <w:p>
      <w:pPr>
        <w:spacing w:line="240" w:lineRule="auto" w:before="9"/>
        <w:rPr>
          <w:rFonts w:ascii="宋体" w:hAnsi="宋体" w:cs="宋体" w:eastAsia="宋体" w:hint="default"/>
          <w:sz w:val="20"/>
          <w:szCs w:val="20"/>
        </w:rPr>
      </w:pPr>
    </w:p>
    <w:p>
      <w:pPr>
        <w:pStyle w:val="BodyText"/>
        <w:spacing w:line="357" w:lineRule="auto"/>
        <w:ind w:right="1135" w:firstLine="425"/>
        <w:jc w:val="both"/>
      </w:pPr>
      <w:r>
        <w:rPr/>
        <w:t>公司深耕企业服务领域多年，拥有丰富的产品开发和落地能力。通过业务平台化，公司以企业注册、代理记账、商标 </w:t>
      </w:r>
      <w:r>
        <w:rPr>
          <w:spacing w:val="-2"/>
        </w:rPr>
        <w:t>申请等全国通办基础业务为价值原点，延伸至人力资本、顾问咨询、无形资产、金融保险等企业生命全周期一站式服务，满</w:t>
      </w:r>
      <w:r>
        <w:rPr>
          <w:spacing w:val="-67"/>
        </w:rPr>
        <w:t> </w:t>
      </w:r>
      <w:r>
        <w:rPr>
          <w:spacing w:val="-67"/>
        </w:rPr>
      </w:r>
      <w:r>
        <w:rPr/>
        <w:t>足企业发展过程中的标准化服务和定制化服务的全部需求。</w:t>
      </w:r>
    </w:p>
    <w:p>
      <w:pPr>
        <w:spacing w:line="240" w:lineRule="auto" w:before="0"/>
        <w:rPr>
          <w:rFonts w:ascii="宋体" w:hAnsi="宋体" w:cs="宋体" w:eastAsia="宋体" w:hint="default"/>
          <w:sz w:val="14"/>
          <w:szCs w:val="14"/>
        </w:rPr>
      </w:pPr>
    </w:p>
    <w:p>
      <w:pPr>
        <w:pStyle w:val="BodyText"/>
        <w:spacing w:line="240" w:lineRule="auto"/>
        <w:ind w:left="578" w:right="1133"/>
        <w:jc w:val="left"/>
      </w:pPr>
      <w:r>
        <w:rPr>
          <w:rFonts w:ascii="宋体" w:hAnsi="宋体" w:cs="宋体" w:eastAsia="宋体" w:hint="default"/>
        </w:rPr>
        <w:t>4</w:t>
      </w:r>
      <w:r>
        <w:rPr/>
        <w:t>、成熟的线下体系</w:t>
      </w:r>
    </w:p>
    <w:p>
      <w:pPr>
        <w:spacing w:line="240" w:lineRule="auto" w:before="9"/>
        <w:rPr>
          <w:rFonts w:ascii="宋体" w:hAnsi="宋体" w:cs="宋体" w:eastAsia="宋体" w:hint="default"/>
          <w:sz w:val="20"/>
          <w:szCs w:val="20"/>
        </w:rPr>
      </w:pPr>
    </w:p>
    <w:p>
      <w:pPr>
        <w:pStyle w:val="BodyText"/>
        <w:spacing w:line="357" w:lineRule="auto"/>
        <w:ind w:right="1131" w:firstLine="425"/>
        <w:jc w:val="both"/>
      </w:pPr>
      <w:r>
        <w:rPr/>
        <w:t>公司经过多年的行业积累、技术发展、服务经验，业务覆盖</w:t>
      </w:r>
      <w:r>
        <w:rPr>
          <w:rFonts w:ascii="宋体" w:hAnsi="宋体" w:cs="宋体" w:eastAsia="宋体" w:hint="default"/>
        </w:rPr>
        <w:t>31</w:t>
      </w:r>
      <w:r>
        <w:rPr/>
        <w:t>个省、市、自治区，进行全国布局。通过品牌支持、增 </w:t>
      </w:r>
      <w:r>
        <w:rPr>
          <w:spacing w:val="-2"/>
        </w:rPr>
        <w:t>值产品、技术支撑的升级，整合更多的资源进入公司的服务体系；通过品牌升级打开服务的广度和深度，增强公司的获客能</w:t>
      </w:r>
      <w:r>
        <w:rPr>
          <w:spacing w:val="-64"/>
        </w:rPr>
        <w:t> </w:t>
      </w:r>
      <w:r>
        <w:rPr>
          <w:spacing w:val="-64"/>
        </w:rPr>
      </w:r>
      <w:r>
        <w:rPr/>
        <w:t>力。</w:t>
      </w:r>
    </w:p>
    <w:p>
      <w:pPr>
        <w:spacing w:line="240" w:lineRule="auto" w:before="13"/>
        <w:rPr>
          <w:rFonts w:ascii="宋体" w:hAnsi="宋体" w:cs="宋体" w:eastAsia="宋体" w:hint="default"/>
          <w:sz w:val="13"/>
          <w:szCs w:val="13"/>
        </w:rPr>
      </w:pPr>
    </w:p>
    <w:p>
      <w:pPr>
        <w:pStyle w:val="BodyText"/>
        <w:spacing w:line="240" w:lineRule="auto"/>
        <w:ind w:left="578" w:right="1133"/>
        <w:jc w:val="left"/>
      </w:pPr>
      <w:r>
        <w:rPr>
          <w:rFonts w:ascii="宋体" w:hAnsi="宋体" w:cs="宋体" w:eastAsia="宋体" w:hint="default"/>
        </w:rPr>
        <w:t>5</w:t>
      </w:r>
      <w:r>
        <w:rPr/>
        <w:t>、广泛的用户基础</w:t>
      </w:r>
    </w:p>
    <w:p>
      <w:pPr>
        <w:spacing w:line="240" w:lineRule="auto" w:before="9"/>
        <w:rPr>
          <w:rFonts w:ascii="宋体" w:hAnsi="宋体" w:cs="宋体" w:eastAsia="宋体" w:hint="default"/>
          <w:sz w:val="20"/>
          <w:szCs w:val="20"/>
        </w:rPr>
      </w:pPr>
    </w:p>
    <w:p>
      <w:pPr>
        <w:pStyle w:val="BodyText"/>
        <w:spacing w:line="355" w:lineRule="auto"/>
        <w:ind w:right="1149" w:firstLine="425"/>
        <w:jc w:val="left"/>
      </w:pPr>
      <w:r>
        <w:rPr/>
        <w:t>公司发展至今，全方位满足企业标准化和定制化的服务需求。聚集了大量高粘度企业用户，而公司的线上线下一体化 联动平台进一步提高客户的忠诚度，并通过合伙人</w:t>
      </w:r>
      <w:r>
        <w:rPr>
          <w:rFonts w:ascii="宋体" w:hAnsi="宋体" w:cs="宋体" w:eastAsia="宋体" w:hint="default"/>
        </w:rPr>
        <w:t>+</w:t>
      </w:r>
      <w:r>
        <w:rPr/>
        <w:t>企业服务平台模式扩张服务网点，用户规模亦快速增长。</w:t>
      </w:r>
    </w:p>
    <w:p>
      <w:pPr>
        <w:spacing w:line="240" w:lineRule="auto" w:before="1"/>
        <w:rPr>
          <w:rFonts w:ascii="宋体" w:hAnsi="宋体" w:cs="宋体" w:eastAsia="宋体" w:hint="default"/>
          <w:sz w:val="14"/>
          <w:szCs w:val="14"/>
        </w:rPr>
      </w:pPr>
    </w:p>
    <w:p>
      <w:pPr>
        <w:pStyle w:val="BodyText"/>
        <w:spacing w:line="240" w:lineRule="auto"/>
        <w:ind w:left="578" w:right="1133"/>
        <w:jc w:val="left"/>
      </w:pPr>
      <w:r>
        <w:rPr>
          <w:rFonts w:ascii="宋体" w:hAnsi="宋体" w:cs="宋体" w:eastAsia="宋体" w:hint="default"/>
        </w:rPr>
        <w:t>6</w:t>
      </w:r>
      <w:r>
        <w:rPr/>
        <w:t>、优质的人才团队</w:t>
      </w:r>
    </w:p>
    <w:p>
      <w:pPr>
        <w:spacing w:line="240" w:lineRule="auto" w:before="10"/>
        <w:rPr>
          <w:rFonts w:ascii="宋体" w:hAnsi="宋体" w:cs="宋体" w:eastAsia="宋体" w:hint="default"/>
          <w:sz w:val="20"/>
          <w:szCs w:val="20"/>
        </w:rPr>
      </w:pPr>
    </w:p>
    <w:p>
      <w:pPr>
        <w:pStyle w:val="BodyText"/>
        <w:spacing w:line="357" w:lineRule="auto"/>
        <w:ind w:right="1034" w:firstLine="425"/>
        <w:jc w:val="left"/>
      </w:pPr>
      <w:r>
        <w:rPr/>
        <w:t>通过内部培养和外部吸收相结合的方式，公司储备了大量的科技服务人才，具备十多年的技术沉淀和行业解决方案经 验。通过长期的沟通协作，依据公司创建技术创新的良性互动平台，为持续提高专业能力和拓展产业链奠定了坚实的基础， 为科技能力的持续发展提供了强有力的人才保障。</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第四节经营情况讨论与分析" w:id="22"/>
      <w:bookmarkEnd w:id="22"/>
      <w:r>
        <w:rPr>
          <w:b w:val="0"/>
          <w:bCs w:val="0"/>
        </w:rPr>
      </w:r>
      <w:bookmarkStart w:name="_bookmark2"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pStyle w:val="BodyText"/>
        <w:spacing w:line="450" w:lineRule="atLeast" w:before="93"/>
        <w:ind w:left="578" w:right="1148"/>
        <w:jc w:val="left"/>
      </w:pPr>
      <w:r>
        <w:rPr/>
        <w:t>（一）报告期主要经营情况分析 </w:t>
      </w:r>
      <w:r>
        <w:rPr>
          <w:rFonts w:ascii="宋体" w:hAnsi="宋体" w:cs="宋体" w:eastAsia="宋体" w:hint="default"/>
        </w:rPr>
        <w:t>2019</w:t>
      </w:r>
      <w:r>
        <w:rPr/>
        <w:t>年对于公司而言，充满市场机会但又面临宏观经济风险和行业竞争挑战。一方面，在商事制度改革和“双创”的</w:t>
      </w:r>
    </w:p>
    <w:p>
      <w:pPr>
        <w:pStyle w:val="BodyText"/>
        <w:spacing w:line="240" w:lineRule="auto" w:before="55"/>
        <w:ind w:right="0"/>
        <w:jc w:val="both"/>
      </w:pPr>
      <w:r>
        <w:rPr/>
        <w:t>推动下</w:t>
      </w:r>
      <w:r>
        <w:rPr>
          <w:spacing w:val="-70"/>
        </w:rPr>
        <w:t>，</w:t>
      </w:r>
      <w:r>
        <w:rPr/>
        <w:t>数量庞大且快速增长的中小微企业为企业服务市场提供了可观的市场需求</w:t>
      </w:r>
      <w:r>
        <w:rPr>
          <w:spacing w:val="-70"/>
        </w:rPr>
        <w:t>。</w:t>
      </w:r>
      <w:r>
        <w:rPr/>
        <w:t>政策层面</w:t>
      </w:r>
      <w:r>
        <w:rPr>
          <w:spacing w:val="-69"/>
        </w:rPr>
        <w:t>，</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2"/>
        </w:rPr>
        <w:t>9</w:t>
      </w:r>
      <w:r>
        <w:rPr/>
        <w:t>年来随</w:t>
      </w:r>
      <w:r>
        <w:rPr>
          <w:spacing w:val="-72"/>
        </w:rPr>
        <w:t>着</w:t>
      </w:r>
      <w:r>
        <w:rPr/>
        <w:t>《电子商务法</w:t>
      </w:r>
      <w:r>
        <w:rPr>
          <w:spacing w:val="-70"/>
        </w:rPr>
        <w:t>》</w:t>
      </w:r>
      <w:r>
        <w:rPr/>
        <w:t>、</w:t>
      </w:r>
    </w:p>
    <w:p>
      <w:pPr>
        <w:pStyle w:val="BodyText"/>
        <w:spacing w:line="297" w:lineRule="auto" w:before="57"/>
        <w:ind w:right="1130"/>
        <w:jc w:val="both"/>
      </w:pPr>
      <w:r>
        <w:rPr>
          <w:spacing w:val="-2"/>
        </w:rPr>
        <w:t>《个人所得税法》的正式实行，《代理记账管理办法》和《会计基础工作规范》的修订，以及社保入税、金税三期等全国集</w:t>
      </w:r>
      <w:r>
        <w:rPr>
          <w:spacing w:val="-65"/>
        </w:rPr>
        <w:t> </w:t>
      </w:r>
      <w:r>
        <w:rPr>
          <w:spacing w:val="-65"/>
        </w:rPr>
      </w:r>
      <w:r>
        <w:rPr>
          <w:spacing w:val="-2"/>
        </w:rPr>
        <w:t>中大数据税收征管手段加强，同时国家密集出台减费降税政策，“合规、降负、增利”的新记账报税服务需求持续涌现。另</w:t>
      </w:r>
      <w:r>
        <w:rPr>
          <w:spacing w:val="-65"/>
        </w:rPr>
        <w:t> </w:t>
      </w:r>
      <w:r>
        <w:rPr>
          <w:spacing w:val="-65"/>
        </w:rPr>
      </w:r>
      <w:r>
        <w:rPr/>
        <w:t>一方面，公司所处行业竞争日益激烈，从业机构快速增长，市场份额被分割的压力进一步增加。</w:t>
      </w:r>
    </w:p>
    <w:p>
      <w:pPr>
        <w:spacing w:line="240" w:lineRule="auto" w:before="11"/>
        <w:rPr>
          <w:rFonts w:ascii="宋体" w:hAnsi="宋体" w:cs="宋体" w:eastAsia="宋体" w:hint="default"/>
          <w:sz w:val="12"/>
          <w:szCs w:val="12"/>
        </w:rPr>
      </w:pPr>
    </w:p>
    <w:p>
      <w:pPr>
        <w:pStyle w:val="BodyText"/>
        <w:spacing w:line="297" w:lineRule="auto"/>
        <w:ind w:right="1041" w:firstLine="425"/>
        <w:jc w:val="left"/>
      </w:pPr>
      <w:r>
        <w:rPr>
          <w:spacing w:val="-2"/>
        </w:rPr>
        <w:t>报告期内，公司创新迭代精算</w:t>
      </w:r>
      <w:r>
        <w:rPr>
          <w:rFonts w:ascii="宋体" w:hAnsi="宋体" w:cs="宋体" w:eastAsia="宋体" w:hint="default"/>
          <w:spacing w:val="-2"/>
        </w:rPr>
        <w:t>+</w:t>
      </w:r>
      <w:r>
        <w:rPr>
          <w:spacing w:val="-2"/>
        </w:rPr>
        <w:t>、办</w:t>
      </w:r>
      <w:r>
        <w:rPr>
          <w:rFonts w:ascii="宋体" w:hAnsi="宋体" w:cs="宋体" w:eastAsia="宋体" w:hint="default"/>
          <w:spacing w:val="-2"/>
        </w:rPr>
        <w:t>+</w:t>
      </w:r>
      <w:r>
        <w:rPr>
          <w:spacing w:val="-2"/>
        </w:rPr>
        <w:t>等线上应用，不断完善管理应用系统，优化管理流程，全面应用于百城千店体系，</w:t>
      </w:r>
      <w:r>
        <w:rPr/>
        <w:t> 通过科技</w:t>
      </w:r>
      <w:r>
        <w:rPr>
          <w:rFonts w:ascii="宋体" w:hAnsi="宋体" w:cs="宋体" w:eastAsia="宋体" w:hint="default"/>
        </w:rPr>
        <w:t>+</w:t>
      </w:r>
      <w:r>
        <w:rPr/>
        <w:t>数据的能力，不断迭代竞争壁垒，构建企业服务生态闭环。同时，为加强公司内部协同提升工作效率，根据公司 </w:t>
      </w:r>
      <w:r>
        <w:rPr>
          <w:spacing w:val="-2"/>
        </w:rPr>
        <w:t>发展战略需要，调整内部管理架构，形成“前台</w:t>
      </w:r>
      <w:r>
        <w:rPr>
          <w:rFonts w:ascii="宋体" w:hAnsi="宋体" w:cs="宋体" w:eastAsia="宋体" w:hint="default"/>
          <w:spacing w:val="-2"/>
        </w:rPr>
        <w:t>-</w:t>
      </w:r>
      <w:r>
        <w:rPr>
          <w:spacing w:val="-2"/>
        </w:rPr>
        <w:t>中台</w:t>
      </w:r>
      <w:r>
        <w:rPr>
          <w:rFonts w:ascii="宋体" w:hAnsi="宋体" w:cs="宋体" w:eastAsia="宋体" w:hint="default"/>
          <w:spacing w:val="-2"/>
        </w:rPr>
        <w:t>-</w:t>
      </w:r>
      <w:r>
        <w:rPr>
          <w:spacing w:val="-2"/>
        </w:rPr>
        <w:t>后台”管理机制，打破不同部门间的壁垒，促进管理扁平化，不断加</w:t>
      </w:r>
      <w:r>
        <w:rPr>
          <w:spacing w:val="-66"/>
        </w:rPr>
        <w:t> </w:t>
      </w:r>
      <w:r>
        <w:rPr>
          <w:spacing w:val="-66"/>
        </w:rPr>
      </w:r>
      <w:r>
        <w:rPr/>
        <w:t>强企业互联网服务的灵活性和响应速度，为客户提供更加透明、更加快捷、更加优质的服务。</w:t>
      </w:r>
    </w:p>
    <w:p>
      <w:pPr>
        <w:spacing w:line="240" w:lineRule="auto" w:before="13"/>
        <w:rPr>
          <w:rFonts w:ascii="宋体" w:hAnsi="宋体" w:cs="宋体" w:eastAsia="宋体" w:hint="default"/>
          <w:sz w:val="12"/>
          <w:szCs w:val="12"/>
        </w:rPr>
      </w:pPr>
    </w:p>
    <w:p>
      <w:pPr>
        <w:pStyle w:val="BodyText"/>
        <w:spacing w:line="297" w:lineRule="auto"/>
        <w:ind w:right="1130" w:firstLine="425"/>
        <w:jc w:val="both"/>
      </w:pPr>
      <w:r>
        <w:rPr>
          <w:rFonts w:ascii="宋体" w:hAnsi="宋体" w:cs="宋体" w:eastAsia="宋体" w:hint="default"/>
        </w:rPr>
        <w:t>2019</w:t>
      </w:r>
      <w:r>
        <w:rPr/>
        <w:t>年下半年，公司受宏观经济环境、行业竞争加剧的影响较为明显。为稳固现有市场并进一步拓展市场份额，打造 </w:t>
      </w:r>
      <w:r>
        <w:rPr>
          <w:spacing w:val="-2"/>
        </w:rPr>
        <w:t>品牌优势，公司确立了适当降低人力资本业务毛利率，在特定期间内以市场占有率为优先的经营战略，使得公司人力资本业</w:t>
      </w:r>
      <w:r>
        <w:rPr>
          <w:spacing w:val="-63"/>
        </w:rPr>
        <w:t> </w:t>
      </w:r>
      <w:r>
        <w:rPr>
          <w:spacing w:val="-63"/>
        </w:rPr>
      </w:r>
      <w:r>
        <w:rPr/>
        <w:t>务收入同比增加显著，但毛利率偏低，对公司整体业务收益产生影响。</w:t>
      </w:r>
    </w:p>
    <w:p>
      <w:pPr>
        <w:spacing w:line="240" w:lineRule="auto" w:before="13"/>
        <w:rPr>
          <w:rFonts w:ascii="宋体" w:hAnsi="宋体" w:cs="宋体" w:eastAsia="宋体" w:hint="default"/>
          <w:sz w:val="12"/>
          <w:szCs w:val="12"/>
        </w:rPr>
      </w:pPr>
    </w:p>
    <w:p>
      <w:pPr>
        <w:pStyle w:val="BodyText"/>
        <w:spacing w:line="240" w:lineRule="auto"/>
        <w:ind w:left="578" w:right="1133"/>
        <w:jc w:val="left"/>
      </w:pPr>
      <w:r>
        <w:rPr/>
        <w:t>（二）报告期主要财务指标情况</w:t>
      </w:r>
    </w:p>
    <w:p>
      <w:pPr>
        <w:spacing w:line="240" w:lineRule="auto" w:before="1"/>
        <w:rPr>
          <w:rFonts w:ascii="宋体" w:hAnsi="宋体" w:cs="宋体" w:eastAsia="宋体" w:hint="default"/>
          <w:sz w:val="16"/>
          <w:szCs w:val="16"/>
        </w:rPr>
      </w:pPr>
    </w:p>
    <w:p>
      <w:pPr>
        <w:pStyle w:val="BodyText"/>
        <w:spacing w:line="297" w:lineRule="auto"/>
        <w:ind w:right="1163" w:firstLine="425"/>
        <w:jc w:val="left"/>
      </w:pPr>
      <w:r>
        <w:rPr>
          <w:rFonts w:ascii="宋体" w:hAnsi="宋体" w:cs="宋体" w:eastAsia="宋体" w:hint="default"/>
        </w:rPr>
        <w:t>2019</w:t>
      </w:r>
      <w:r>
        <w:rPr/>
        <w:t>年，公司实现营业收入</w:t>
      </w:r>
      <w:r>
        <w:rPr>
          <w:rFonts w:ascii="宋体" w:hAnsi="宋体" w:cs="宋体" w:eastAsia="宋体" w:hint="default"/>
        </w:rPr>
        <w:t>202,503.79</w:t>
      </w:r>
      <w:r>
        <w:rPr/>
        <w:t>万元，较上年同期增长</w:t>
      </w:r>
      <w:r>
        <w:rPr>
          <w:rFonts w:ascii="宋体" w:hAnsi="宋体" w:cs="宋体" w:eastAsia="宋体" w:hint="default"/>
        </w:rPr>
        <w:t>175.46%</w:t>
      </w:r>
      <w:r>
        <w:rPr/>
        <w:t>；净利润</w:t>
      </w:r>
      <w:r>
        <w:rPr>
          <w:rFonts w:ascii="宋体" w:hAnsi="宋体" w:cs="宋体" w:eastAsia="宋体" w:hint="default"/>
        </w:rPr>
        <w:t>-100,877.72</w:t>
      </w:r>
      <w:r>
        <w:rPr/>
        <w:t>万元，其中归属于上市公 司股东净利润</w:t>
      </w:r>
      <w:r>
        <w:rPr>
          <w:rFonts w:ascii="宋体" w:hAnsi="宋体" w:cs="宋体" w:eastAsia="宋体" w:hint="default"/>
        </w:rPr>
        <w:t>-101,617.87</w:t>
      </w:r>
      <w:r>
        <w:rPr/>
        <w:t>万元，较上年同期下降</w:t>
      </w:r>
      <w:r>
        <w:rPr>
          <w:rFonts w:ascii="宋体" w:hAnsi="宋体" w:cs="宋体" w:eastAsia="宋体" w:hint="default"/>
        </w:rPr>
        <w:t>1,189.36%</w:t>
      </w:r>
      <w:r>
        <w:rPr/>
        <w:t>；每股收益</w:t>
      </w:r>
      <w:r>
        <w:rPr>
          <w:rFonts w:ascii="宋体" w:hAnsi="宋体" w:cs="宋体" w:eastAsia="宋体" w:hint="default"/>
        </w:rPr>
        <w:t>-1.3270</w:t>
      </w:r>
      <w:r>
        <w:rPr/>
        <w:t>元。</w:t>
      </w:r>
    </w:p>
    <w:p>
      <w:pPr>
        <w:spacing w:line="240" w:lineRule="auto" w:before="11"/>
        <w:rPr>
          <w:rFonts w:ascii="宋体" w:hAnsi="宋体" w:cs="宋体" w:eastAsia="宋体" w:hint="default"/>
          <w:sz w:val="12"/>
          <w:szCs w:val="12"/>
        </w:rPr>
      </w:pPr>
    </w:p>
    <w:p>
      <w:pPr>
        <w:pStyle w:val="BodyText"/>
        <w:spacing w:line="297" w:lineRule="auto"/>
        <w:ind w:right="1123" w:firstLine="425"/>
        <w:jc w:val="left"/>
      </w:pPr>
      <w:r>
        <w:rPr/>
        <w:t>本报告期亏损的主要原因是根据公司被投资单位或形成商誉的资产实际经营情况及行业因素等原因，经公司财务部门 和评估机构判断，相关商誉及长期股权投资存在减值迹象，并按照《会计监管风险提示第 </w:t>
      </w:r>
      <w:r>
        <w:rPr>
          <w:rFonts w:ascii="宋体" w:hAnsi="宋体" w:cs="宋体" w:eastAsia="宋体" w:hint="default"/>
        </w:rPr>
        <w:t>8</w:t>
      </w:r>
      <w:r>
        <w:rPr>
          <w:rFonts w:ascii="宋体" w:hAnsi="宋体" w:cs="宋体" w:eastAsia="宋体" w:hint="default"/>
          <w:spacing w:val="1"/>
        </w:rPr>
        <w:t> </w:t>
      </w:r>
      <w:r>
        <w:rPr/>
        <w:t>号—商誉减值》、《企业会计</w:t>
      </w:r>
    </w:p>
    <w:p>
      <w:pPr>
        <w:pStyle w:val="BodyText"/>
        <w:spacing w:line="297" w:lineRule="auto" w:before="11"/>
        <w:ind w:right="1130"/>
        <w:jc w:val="both"/>
      </w:pPr>
      <w:r>
        <w:rPr/>
        <w:t>准则第</w:t>
      </w:r>
      <w:r>
        <w:rPr>
          <w:spacing w:val="25"/>
        </w:rPr>
        <w:t> </w:t>
      </w:r>
      <w:r>
        <w:rPr>
          <w:rFonts w:ascii="宋体" w:hAnsi="宋体" w:cs="宋体" w:eastAsia="宋体" w:hint="default"/>
        </w:rPr>
        <w:t>8</w:t>
      </w:r>
      <w:r>
        <w:rPr>
          <w:rFonts w:ascii="宋体" w:hAnsi="宋体" w:cs="宋体" w:eastAsia="宋体" w:hint="default"/>
          <w:spacing w:val="26"/>
        </w:rPr>
        <w:t> </w:t>
      </w:r>
      <w:r>
        <w:rPr>
          <w:spacing w:val="-7"/>
        </w:rPr>
        <w:t>号—资产减值》的相关规定，本着谨慎性原则，公司计提资产减值准备</w:t>
      </w:r>
      <w:r>
        <w:rPr>
          <w:rFonts w:ascii="宋体" w:hAnsi="宋体" w:cs="宋体" w:eastAsia="宋体" w:hint="default"/>
          <w:spacing w:val="-7"/>
        </w:rPr>
        <w:t>95,258.45</w:t>
      </w:r>
      <w:r>
        <w:rPr>
          <w:spacing w:val="-7"/>
        </w:rPr>
        <w:t>万元，其中商誉减值准备</w:t>
      </w:r>
      <w:r>
        <w:rPr>
          <w:rFonts w:ascii="宋体" w:hAnsi="宋体" w:cs="宋体" w:eastAsia="宋体" w:hint="default"/>
          <w:spacing w:val="-7"/>
        </w:rPr>
        <w:t>75,945.70</w:t>
      </w:r>
      <w:r>
        <w:rPr>
          <w:rFonts w:ascii="宋体" w:hAnsi="宋体" w:cs="宋体" w:eastAsia="宋体" w:hint="default"/>
          <w:spacing w:val="-85"/>
        </w:rPr>
        <w:t> </w:t>
      </w:r>
      <w:r>
        <w:rPr>
          <w:rFonts w:ascii="宋体" w:hAnsi="宋体" w:cs="宋体" w:eastAsia="宋体" w:hint="default"/>
          <w:spacing w:val="-85"/>
        </w:rPr>
      </w:r>
      <w:r>
        <w:rPr/>
        <w:t>万元。上述金额是公司聘请的具备证券期货从业资格的评估机构及审计机构进行评估和审计后的结果。</w:t>
      </w:r>
    </w:p>
    <w:p>
      <w:pPr>
        <w:spacing w:line="240" w:lineRule="auto" w:before="13"/>
        <w:rPr>
          <w:rFonts w:ascii="宋体" w:hAnsi="宋体" w:cs="宋体" w:eastAsia="宋体" w:hint="default"/>
          <w:sz w:val="12"/>
          <w:szCs w:val="12"/>
        </w:rPr>
      </w:pPr>
    </w:p>
    <w:p>
      <w:pPr>
        <w:pStyle w:val="BodyText"/>
        <w:spacing w:line="456" w:lineRule="auto"/>
        <w:ind w:left="578" w:right="7358"/>
        <w:jc w:val="left"/>
      </w:pPr>
      <w:r>
        <w:rPr/>
        <w:t>（三）报告期主要工作进展情况 </w:t>
      </w:r>
      <w:r>
        <w:rPr>
          <w:rFonts w:ascii="宋体" w:hAnsi="宋体" w:cs="宋体" w:eastAsia="宋体" w:hint="default"/>
        </w:rPr>
        <w:t>1</w:t>
      </w:r>
      <w:r>
        <w:rPr/>
        <w:t>、募集资金投资项目结项、终止事项</w:t>
      </w:r>
    </w:p>
    <w:p>
      <w:pPr>
        <w:pStyle w:val="BodyText"/>
        <w:spacing w:line="297" w:lineRule="auto" w:before="51"/>
        <w:ind w:right="1034" w:firstLine="425"/>
        <w:jc w:val="left"/>
      </w:pPr>
      <w:r>
        <w:rPr/>
        <w:t>公司</w:t>
      </w:r>
      <w:r>
        <w:rPr>
          <w:rFonts w:ascii="宋体" w:hAnsi="宋体" w:cs="宋体" w:eastAsia="宋体" w:hint="default"/>
        </w:rPr>
        <w:t>2016</w:t>
      </w:r>
      <w:r>
        <w:rPr/>
        <w:t>年发行股票购买资产并募集配套资金之智慧企业孵化云平台、企业大数据中心平台项目在本报告期内结项、 </w:t>
      </w:r>
      <w:r>
        <w:rPr>
          <w:spacing w:val="-4"/>
        </w:rPr>
        <w:t>终止。根据《深圳证券交易所股票上市规则》、《深圳证券交易所上市公司规范运作指引》等关于募集资金管理的相关规定，</w:t>
      </w:r>
      <w:r>
        <w:rPr>
          <w:spacing w:val="-44"/>
        </w:rPr>
        <w:t> </w:t>
      </w:r>
      <w:r>
        <w:rPr>
          <w:spacing w:val="-44"/>
        </w:rPr>
      </w:r>
      <w:r>
        <w:rPr>
          <w:spacing w:val="-3"/>
        </w:rPr>
        <w:t>于</w:t>
      </w:r>
      <w:r>
        <w:rPr>
          <w:rFonts w:ascii="宋体" w:hAnsi="宋体" w:cs="宋体" w:eastAsia="宋体" w:hint="default"/>
          <w:spacing w:val="-3"/>
        </w:rPr>
        <w:t>2019</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8</w:t>
      </w:r>
      <w:r>
        <w:rPr>
          <w:spacing w:val="-3"/>
        </w:rPr>
        <w:t>日经公司第八届董事会</w:t>
      </w:r>
      <w:r>
        <w:rPr>
          <w:rFonts w:ascii="宋体" w:hAnsi="宋体" w:cs="宋体" w:eastAsia="宋体" w:hint="default"/>
          <w:spacing w:val="-3"/>
        </w:rPr>
        <w:t>2019</w:t>
      </w:r>
      <w:r>
        <w:rPr>
          <w:spacing w:val="-3"/>
        </w:rPr>
        <w:t>年第四次临时会议、第八届监事会</w:t>
      </w:r>
      <w:r>
        <w:rPr>
          <w:rFonts w:ascii="宋体" w:hAnsi="宋体" w:cs="宋体" w:eastAsia="宋体" w:hint="default"/>
          <w:spacing w:val="-3"/>
        </w:rPr>
        <w:t>2019</w:t>
      </w:r>
      <w:r>
        <w:rPr>
          <w:spacing w:val="-3"/>
        </w:rPr>
        <w:t>年第四次临时会议，以及</w:t>
      </w:r>
      <w:r>
        <w:rPr>
          <w:rFonts w:ascii="宋体" w:hAnsi="宋体" w:cs="宋体" w:eastAsia="宋体" w:hint="default"/>
          <w:spacing w:val="-3"/>
        </w:rPr>
        <w:t>7</w:t>
      </w:r>
      <w:r>
        <w:rPr>
          <w:spacing w:val="-3"/>
        </w:rPr>
        <w:t>月</w:t>
      </w:r>
      <w:r>
        <w:rPr>
          <w:rFonts w:ascii="宋体" w:hAnsi="宋体" w:cs="宋体" w:eastAsia="宋体" w:hint="default"/>
          <w:spacing w:val="-3"/>
        </w:rPr>
        <w:t>24</w:t>
      </w:r>
      <w:r>
        <w:rPr>
          <w:spacing w:val="-3"/>
        </w:rPr>
        <w:t>日召开的</w:t>
      </w:r>
      <w:r>
        <w:rPr>
          <w:rFonts w:ascii="宋体" w:hAnsi="宋体" w:cs="宋体" w:eastAsia="宋体" w:hint="default"/>
          <w:spacing w:val="-3"/>
        </w:rPr>
        <w:t>2019</w:t>
      </w:r>
      <w:r>
        <w:rPr>
          <w:rFonts w:ascii="宋体" w:hAnsi="宋体" w:cs="宋体" w:eastAsia="宋体" w:hint="default"/>
          <w:spacing w:val="-78"/>
        </w:rPr>
        <w:t> </w:t>
      </w:r>
      <w:r>
        <w:rPr>
          <w:rFonts w:ascii="宋体" w:hAnsi="宋体" w:cs="宋体" w:eastAsia="宋体" w:hint="default"/>
          <w:spacing w:val="-78"/>
        </w:rPr>
      </w:r>
      <w:r>
        <w:rPr>
          <w:spacing w:val="-2"/>
        </w:rPr>
        <w:t>年第一次临时股东大会审议，同意公司募集资金投资项目结项、终止并将剩余募集资金永久补充流动资金，用于公司日常经</w:t>
      </w:r>
      <w:r>
        <w:rPr>
          <w:spacing w:val="-63"/>
        </w:rPr>
        <w:t> </w:t>
      </w:r>
      <w:r>
        <w:rPr>
          <w:spacing w:val="-63"/>
        </w:rPr>
      </w:r>
      <w:r>
        <w:rPr/>
        <w:t>营。</w:t>
      </w:r>
    </w:p>
    <w:p>
      <w:pPr>
        <w:spacing w:line="240" w:lineRule="auto" w:before="13"/>
        <w:rPr>
          <w:rFonts w:ascii="宋体" w:hAnsi="宋体" w:cs="宋体" w:eastAsia="宋体" w:hint="default"/>
          <w:sz w:val="12"/>
          <w:szCs w:val="12"/>
        </w:rPr>
      </w:pPr>
    </w:p>
    <w:p>
      <w:pPr>
        <w:pStyle w:val="BodyText"/>
        <w:spacing w:line="456" w:lineRule="auto"/>
        <w:ind w:left="578" w:right="7088"/>
        <w:jc w:val="left"/>
      </w:pPr>
      <w:r>
        <w:rPr/>
        <w:t>截至本报告期末，上述事项已实施完毕。 </w:t>
      </w:r>
      <w:r>
        <w:rPr>
          <w:rFonts w:ascii="宋体" w:hAnsi="宋体" w:cs="宋体" w:eastAsia="宋体" w:hint="default"/>
        </w:rPr>
        <w:t>2</w:t>
      </w:r>
      <w:r>
        <w:rPr/>
        <w:t>、非公开发行股票事项</w:t>
      </w:r>
    </w:p>
    <w:p>
      <w:pPr>
        <w:pStyle w:val="BodyText"/>
        <w:spacing w:line="295" w:lineRule="auto" w:before="51"/>
        <w:ind w:right="1149" w:firstLine="425"/>
        <w:jc w:val="left"/>
      </w:pPr>
      <w:r>
        <w:rPr/>
        <w:t>为了进一步满足公司业务发展的资金需求，改善财务状况，优化资产结构，公司正在积极筹划非公开发行股票事项， 募集资金拟用于偿还银行贷款、补充公司流动资金等。</w:t>
      </w:r>
    </w:p>
    <w:p>
      <w:pPr>
        <w:spacing w:line="240" w:lineRule="auto" w:before="2"/>
        <w:rPr>
          <w:rFonts w:ascii="宋体" w:hAnsi="宋体" w:cs="宋体" w:eastAsia="宋体" w:hint="default"/>
          <w:sz w:val="13"/>
          <w:szCs w:val="13"/>
        </w:rPr>
      </w:pPr>
    </w:p>
    <w:p>
      <w:pPr>
        <w:pStyle w:val="BodyText"/>
        <w:spacing w:line="458" w:lineRule="auto"/>
        <w:ind w:left="578" w:right="6728"/>
        <w:jc w:val="left"/>
      </w:pPr>
      <w:r>
        <w:rPr/>
        <w:t>截至本报告披露日，该事项正在推进过程中。 </w:t>
      </w:r>
      <w:r>
        <w:rPr>
          <w:rFonts w:ascii="宋体" w:hAnsi="宋体" w:cs="宋体" w:eastAsia="宋体" w:hint="default"/>
        </w:rPr>
        <w:t>3</w:t>
      </w:r>
      <w:r>
        <w:rPr/>
        <w:t>、资产处置事项</w:t>
      </w:r>
    </w:p>
    <w:p>
      <w:pPr>
        <w:spacing w:after="0" w:line="458" w:lineRule="auto"/>
        <w:jc w:val="left"/>
        <w:sectPr>
          <w:pgSz w:w="11910" w:h="16840"/>
          <w:pgMar w:header="745" w:footer="980" w:top="1060" w:bottom="1160" w:left="980" w:right="0"/>
        </w:sectPr>
      </w:pPr>
    </w:p>
    <w:p>
      <w:pPr>
        <w:spacing w:line="240" w:lineRule="auto" w:before="10"/>
        <w:rPr>
          <w:rFonts w:ascii="宋体" w:hAnsi="宋体" w:cs="宋体" w:eastAsia="宋体" w:hint="default"/>
          <w:sz w:val="22"/>
          <w:szCs w:val="22"/>
        </w:rPr>
      </w:pPr>
    </w:p>
    <w:p>
      <w:pPr>
        <w:pStyle w:val="BodyText"/>
        <w:spacing w:line="297" w:lineRule="auto" w:before="44"/>
        <w:ind w:right="1034" w:firstLine="425"/>
        <w:jc w:val="left"/>
      </w:pPr>
      <w:r>
        <w:rPr/>
        <w:t>公司子公司霍尔果斯快马财税管理服务有限公司在运营过程中，基于业务协同性、财务安全性等多方面考虑，对其终 </w:t>
      </w:r>
      <w:r>
        <w:rPr>
          <w:spacing w:val="-7"/>
        </w:rPr>
        <w:t>端资产人员、业务、管理等多方面进行了整合优化，并经友好协商，分别与霍尔果斯神州易桥股权投资合伙企业（有限合伙）、</w:t>
      </w:r>
      <w:r>
        <w:rPr>
          <w:spacing w:val="-49"/>
        </w:rPr>
        <w:t> </w:t>
      </w:r>
      <w:r>
        <w:rPr>
          <w:spacing w:val="-49"/>
        </w:rPr>
      </w:r>
      <w:r>
        <w:rPr>
          <w:spacing w:val="-2"/>
        </w:rPr>
        <w:t>部分终端资产合伙人共同决定签署《终止合作协议》。签署该协议将导致子公司终端资产范围相应减少，公司财务状况更加</w:t>
      </w:r>
      <w:r>
        <w:rPr>
          <w:spacing w:val="-66"/>
        </w:rPr>
        <w:t> </w:t>
      </w:r>
      <w:r>
        <w:rPr>
          <w:spacing w:val="-66"/>
        </w:rPr>
      </w:r>
      <w:r>
        <w:rPr/>
        <w:t>合理。</w:t>
      </w:r>
    </w:p>
    <w:p>
      <w:pPr>
        <w:spacing w:line="240" w:lineRule="auto" w:before="11"/>
        <w:rPr>
          <w:rFonts w:ascii="宋体" w:hAnsi="宋体" w:cs="宋体" w:eastAsia="宋体" w:hint="default"/>
          <w:sz w:val="12"/>
          <w:szCs w:val="12"/>
        </w:rPr>
      </w:pPr>
    </w:p>
    <w:p>
      <w:pPr>
        <w:pStyle w:val="BodyText"/>
        <w:spacing w:line="240" w:lineRule="auto"/>
        <w:ind w:left="578" w:right="1133"/>
        <w:jc w:val="left"/>
      </w:pPr>
      <w:r>
        <w:rPr/>
        <w:t>截至本报告期末，上述终端资产已处置完毕。</w:t>
      </w:r>
    </w:p>
    <w:p>
      <w:pPr>
        <w:spacing w:line="240" w:lineRule="auto" w:before="9"/>
        <w:rPr>
          <w:rFonts w:ascii="宋体" w:hAnsi="宋体" w:cs="宋体" w:eastAsia="宋体" w:hint="default"/>
          <w:sz w:val="26"/>
          <w:szCs w:val="26"/>
        </w:rPr>
      </w:pPr>
    </w:p>
    <w:p>
      <w:pPr>
        <w:pStyle w:val="Heading2"/>
        <w:spacing w:line="240" w:lineRule="auto"/>
        <w:ind w:right="1133"/>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after="0" w:line="547" w:lineRule="auto"/>
        <w:jc w:val="left"/>
        <w:rPr>
          <w:rFonts w:ascii="宋体" w:hAnsi="宋体" w:cs="宋体" w:eastAsia="宋体" w:hint="default"/>
          <w:sz w:val="21"/>
          <w:szCs w:val="21"/>
        </w:rPr>
        <w:sectPr>
          <w:pgSz w:w="11910" w:h="16840"/>
          <w:pgMar w:header="745" w:footer="980" w:top="1060" w:bottom="1160" w:left="980" w:right="0"/>
        </w:sectPr>
      </w:pPr>
    </w:p>
    <w:p>
      <w:pPr>
        <w:pStyle w:val="Heading3"/>
        <w:spacing w:line="240" w:lineRule="auto" w:before="4"/>
        <w:ind w:right="-16"/>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1"/>
          <w:szCs w:val="21"/>
        </w:rPr>
      </w:pPr>
      <w:r>
        <w:rPr/>
        <w:br w:type="column"/>
      </w:r>
      <w:r>
        <w:rPr>
          <w:rFonts w:ascii="宋体"/>
          <w:b/>
          <w:sz w:val="21"/>
        </w:rPr>
      </w: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949" w:space="6971"/>
            <w:col w:w="2010"/>
          </w:cols>
        </w:sectPr>
      </w:pP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2,025,037,868.90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735,139,995.00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企业互联网服务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2,022,690,017.02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99.88%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732,603,420.49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2,347,851.88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2,536,574.51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人力资本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1,487,327,015.76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284,449,302.65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38.69%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422.88%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企业综合服务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479,186,516.62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400,386,774.60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顾问咨询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56,176,484.64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47,767,343.24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2,347,851.88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2,536,574.51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539,030,500.08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238,424,810.90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82,828,971.42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38,333,536.49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116.07%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17,254,134.45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92,166.00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18,620.72%</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20,618,125.63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113,141,551.42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15.39%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-81.78%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88,521,183.65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6,052,863.31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1,362.47%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1,276,784,953.67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63.05%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339,095,066.88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46.13%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276.53%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419"/>
        <w:gridCol w:w="1611"/>
        <w:gridCol w:w="1661"/>
        <w:gridCol w:w="1004"/>
        <w:gridCol w:w="1368"/>
        <w:gridCol w:w="1369"/>
        <w:gridCol w:w="1291"/>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0" w:right="9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3" w:hRule="exact"/>
        </w:trPr>
        <w:tc>
          <w:tcPr>
            <w:tcW w:w="972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企业互联网服务</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2,022,690,017.02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1,651,221,355.39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-23.19%</w:t>
            </w:r>
          </w:p>
        </w:tc>
      </w:tr>
      <w:tr>
        <w:trPr>
          <w:trHeight w:val="403" w:hRule="exact"/>
        </w:trPr>
        <w:tc>
          <w:tcPr>
            <w:tcW w:w="972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人力资本</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1,487,327,015.76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1,453,930,627.20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企业综合服务</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479,186,516.62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184,536,401.44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r>
      <w:tr>
        <w:trPr>
          <w:trHeight w:val="401" w:hRule="exact"/>
        </w:trPr>
        <w:tc>
          <w:tcPr>
            <w:tcW w:w="972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539,030,500.08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329,614,218.73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-19.42%</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1,276,784,953.67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1,249,215,845.32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341.64%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-14.42%</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产品分类</w:t>
      </w:r>
    </w:p>
    <w:p>
      <w:pPr>
        <w:pStyle w:val="BodyText"/>
        <w:spacing w:line="240" w:lineRule="auto" w:before="117"/>
        <w:ind w:left="0" w:right="1131"/>
        <w:jc w:val="right"/>
      </w:pPr>
      <w:r>
        <w:rPr/>
        <w:pict>
          <v:group style="position:absolute;margin-left:212.929993pt;margin-top:63.761703pt;width:75.4pt;height:28pt;mso-position-horizontal-relative:page;mso-position-vertical-relative:paragraph;z-index:-1013680" coordorigin="4259,1275" coordsize="1508,560">
            <v:group style="position:absolute;left:4259;top:1275;width:1508;height:156" coordorigin="4259,1275" coordsize="1508,156">
              <v:shape style="position:absolute;left:4259;top:1275;width:1508;height:156" coordorigin="4259,1275" coordsize="1508,156" path="m4259,1431l5766,1431,5766,1275,4259,1275,4259,1431xe" filled="true" fillcolor="#ffffff" stroked="false">
                <v:path arrowok="t"/>
                <v:fill type="solid"/>
              </v:shape>
            </v:group>
            <v:group style="position:absolute;left:4271;top:1431;width:2;height:392" coordorigin="4271,1431" coordsize="2,392">
              <v:shape style="position:absolute;left:4271;top:1431;width:2;height:392" coordorigin="4271,1431" coordsize="0,392" path="m4271,1431l4271,1822e" filled="false" stroked="true" strokeweight="1.2pt" strokecolor="#ffffff">
                <v:path arrowok="t"/>
              </v:shape>
            </v:group>
            <v:group style="position:absolute;left:4283;top:1431;width:1460;height:392" coordorigin="4283,1431" coordsize="1460,392">
              <v:shape style="position:absolute;left:4283;top:1431;width:1460;height:392" coordorigin="4283,1431" coordsize="1460,392" path="m4283,1822l5742,1822,5742,1431,4283,1431,4283,1822xe" filled="true" fillcolor="#ffffff" stroked="false">
                <v:path arrowok="t"/>
                <v:fill type="solid"/>
              </v:shape>
            </v:group>
            <w10:wrap type="none"/>
          </v:group>
        </w:pict>
      </w: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753"/>
        <w:gridCol w:w="1517"/>
        <w:gridCol w:w="1366"/>
        <w:gridCol w:w="1368"/>
        <w:gridCol w:w="1366"/>
        <w:gridCol w:w="1003"/>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7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753"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71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人力资本</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111"/>
              <w:jc w:val="left"/>
              <w:rPr>
                <w:rFonts w:ascii="宋体" w:hAnsi="宋体" w:cs="宋体" w:eastAsia="宋体" w:hint="default"/>
                <w:sz w:val="18"/>
                <w:szCs w:val="18"/>
              </w:rPr>
            </w:pPr>
            <w:r>
              <w:rPr>
                <w:rFonts w:ascii="宋体" w:hAnsi="宋体" w:cs="宋体" w:eastAsia="宋体" w:hint="default"/>
                <w:spacing w:val="-2"/>
                <w:sz w:val="18"/>
                <w:szCs w:val="18"/>
              </w:rPr>
              <w:t>人工费用、外包服务</w:t>
            </w:r>
            <w:r>
              <w:rPr>
                <w:rFonts w:ascii="宋体" w:hAnsi="宋体" w:cs="宋体" w:eastAsia="宋体" w:hint="default"/>
                <w:sz w:val="18"/>
                <w:szCs w:val="18"/>
              </w:rPr>
              <w:t> 办公辅材采购等</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53"/>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25" w:right="0"/>
              <w:jc w:val="left"/>
              <w:rPr>
                <w:rFonts w:ascii="Times New Roman" w:hAnsi="Times New Roman" w:cs="Times New Roman" w:eastAsia="Times New Roman" w:hint="default"/>
                <w:sz w:val="18"/>
                <w:szCs w:val="18"/>
              </w:rPr>
            </w:pPr>
            <w:r>
              <w:rPr>
                <w:rFonts w:ascii="Times New Roman"/>
                <w:sz w:val="18"/>
              </w:rPr>
              <w:t>1,453,930,627.20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264,548,485.03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61.47%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449.59%</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企业综合服务</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11"/>
              <w:jc w:val="left"/>
              <w:rPr>
                <w:rFonts w:ascii="宋体" w:hAnsi="宋体" w:cs="宋体" w:eastAsia="宋体" w:hint="default"/>
                <w:sz w:val="18"/>
                <w:szCs w:val="18"/>
              </w:rPr>
            </w:pPr>
            <w:r>
              <w:rPr>
                <w:rFonts w:ascii="宋体" w:hAnsi="宋体" w:cs="宋体" w:eastAsia="宋体" w:hint="default"/>
                <w:spacing w:val="-2"/>
                <w:sz w:val="18"/>
                <w:szCs w:val="18"/>
              </w:rPr>
              <w:t>人工费用、外包服务</w:t>
            </w:r>
            <w:r>
              <w:rPr>
                <w:rFonts w:ascii="宋体" w:hAnsi="宋体" w:cs="宋体" w:eastAsia="宋体" w:hint="default"/>
                <w:sz w:val="18"/>
                <w:szCs w:val="18"/>
              </w:rPr>
              <w:t> 办公辅材采购等</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359" w:right="0"/>
              <w:jc w:val="left"/>
              <w:rPr>
                <w:rFonts w:ascii="Times New Roman" w:hAnsi="Times New Roman" w:cs="Times New Roman" w:eastAsia="Times New Roman" w:hint="default"/>
                <w:sz w:val="18"/>
                <w:szCs w:val="18"/>
              </w:rPr>
            </w:pPr>
            <w:r>
              <w:rPr>
                <w:rFonts w:ascii="Times New Roman"/>
                <w:sz w:val="18"/>
              </w:rPr>
              <w:t>184,536,401.44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156,538,939.72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36.38%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顾问咨询</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11"/>
              <w:jc w:val="left"/>
              <w:rPr>
                <w:rFonts w:ascii="宋体" w:hAnsi="宋体" w:cs="宋体" w:eastAsia="宋体" w:hint="default"/>
                <w:sz w:val="18"/>
                <w:szCs w:val="18"/>
              </w:rPr>
            </w:pPr>
            <w:r>
              <w:rPr>
                <w:rFonts w:ascii="宋体" w:hAnsi="宋体" w:cs="宋体" w:eastAsia="宋体" w:hint="default"/>
                <w:spacing w:val="-2"/>
                <w:sz w:val="18"/>
                <w:szCs w:val="18"/>
              </w:rPr>
              <w:t>人工费用、外包服务</w:t>
            </w:r>
            <w:r>
              <w:rPr>
                <w:rFonts w:ascii="宋体" w:hAnsi="宋体" w:cs="宋体" w:eastAsia="宋体" w:hint="default"/>
                <w:sz w:val="18"/>
                <w:szCs w:val="18"/>
              </w:rPr>
              <w:t> 办公辅材采购等</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451" w:right="0"/>
              <w:jc w:val="left"/>
              <w:rPr>
                <w:rFonts w:ascii="Times New Roman" w:hAnsi="Times New Roman" w:cs="Times New Roman" w:eastAsia="Times New Roman" w:hint="default"/>
                <w:sz w:val="18"/>
                <w:szCs w:val="18"/>
              </w:rPr>
            </w:pPr>
            <w:r>
              <w:rPr>
                <w:rFonts w:ascii="Times New Roman"/>
                <w:sz w:val="18"/>
              </w:rPr>
              <w:t>12,754,326.75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7,099,167.06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79.66%</w:t>
            </w:r>
          </w:p>
        </w:tc>
      </w:tr>
    </w:tbl>
    <w:p>
      <w:pPr>
        <w:pStyle w:val="BodyText"/>
        <w:spacing w:line="240" w:lineRule="auto" w:before="49"/>
        <w:ind w:right="1133"/>
        <w:jc w:val="left"/>
      </w:pPr>
      <w:r>
        <w:rPr/>
        <w:pict>
          <v:group style="position:absolute;margin-left:212.929993pt;margin-top:-71.428284pt;width:75.4pt;height:28.15pt;mso-position-horizontal-relative:page;mso-position-vertical-relative:paragraph;z-index:-1013656" coordorigin="4259,-1429" coordsize="1508,563">
            <v:group style="position:absolute;left:4259;top:-1429;width:1508;height:156" coordorigin="4259,-1429" coordsize="1508,156">
              <v:shape style="position:absolute;left:4259;top:-1429;width:1508;height:156" coordorigin="4259,-1429" coordsize="1508,156" path="m4259,-1273l5766,-1273,5766,-1429,4259,-1429,4259,-1273xe" filled="true" fillcolor="#ffffff" stroked="false">
                <v:path arrowok="t"/>
                <v:fill type="solid"/>
              </v:shape>
            </v:group>
            <v:group style="position:absolute;left:4271;top:-1272;width:2;height:395" coordorigin="4271,-1272" coordsize="2,395">
              <v:shape style="position:absolute;left:4271;top:-1272;width:2;height:395" coordorigin="4271,-1272" coordsize="0,395" path="m4271,-1272l4271,-878e" filled="false" stroked="true" strokeweight="1.2pt" strokecolor="#ffffff">
                <v:path arrowok="t"/>
              </v:shape>
            </v:group>
            <v:group style="position:absolute;left:4283;top:-1272;width:1460;height:395" coordorigin="4283,-1272" coordsize="1460,395">
              <v:shape style="position:absolute;left:4283;top:-1272;width:1460;height:395" coordorigin="4283,-1272" coordsize="1460,395" path="m4283,-878l5742,-878,5742,-1272,4283,-1272,4283,-878xe" filled="true" fillcolor="#ffffff" stroked="false">
                <v:path arrowok="t"/>
                <v:fill type="solid"/>
              </v:shape>
            </v:group>
            <w10:wrap type="none"/>
          </v:group>
        </w:pict>
      </w:r>
      <w:r>
        <w:rPr/>
        <w:pict>
          <v:group style="position:absolute;margin-left:212.929993pt;margin-top:-35.638287pt;width:75.4pt;height:28pt;mso-position-horizontal-relative:page;mso-position-vertical-relative:paragraph;z-index:-1013632" coordorigin="4259,-713" coordsize="1508,560">
            <v:group style="position:absolute;left:4259;top:-713;width:1508;height:156" coordorigin="4259,-713" coordsize="1508,156">
              <v:shape style="position:absolute;left:4259;top:-713;width:1508;height:156" coordorigin="4259,-713" coordsize="1508,156" path="m4259,-557l5766,-557,5766,-713,4259,-713,4259,-557xe" filled="true" fillcolor="#ffffff" stroked="false">
                <v:path arrowok="t"/>
                <v:fill type="solid"/>
              </v:shape>
            </v:group>
            <v:group style="position:absolute;left:4271;top:-557;width:2;height:392" coordorigin="4271,-557" coordsize="2,392">
              <v:shape style="position:absolute;left:4271;top:-557;width:2;height:392" coordorigin="4271,-557" coordsize="0,392" path="m4271,-557l4271,-166e" filled="false" stroked="true" strokeweight="1.2pt" strokecolor="#ffffff">
                <v:path arrowok="t"/>
              </v:shape>
            </v:group>
            <v:group style="position:absolute;left:4283;top:-557;width:1460;height:392" coordorigin="4283,-557" coordsize="1460,392">
              <v:shape style="position:absolute;left:4283;top:-557;width:1460;height:392" coordorigin="4283,-557" coordsize="1460,392" path="m4283,-166l5742,-166,5742,-557,4283,-557,4283,-166xe" filled="true" fillcolor="#ffffff" stroked="false">
                <v:path arrowok="t"/>
                <v:fill type="solid"/>
              </v:shape>
            </v:group>
            <w10:wrap type="none"/>
          </v:group>
        </w:pict>
      </w:r>
      <w:r>
        <w:rPr/>
        <w:t>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本报告期，公司子公司等部分终端资产因终止合作等原因不再纳入相关合并主体。</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419,777,279.74</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20.73%</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155,709,365.72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22"/>
                <w:szCs w:val="22"/>
              </w:rPr>
            </w:pPr>
            <w:r>
              <w:rPr>
                <w:rFonts w:ascii="Times New Roman"/>
                <w:sz w:val="22"/>
              </w:rPr>
              <w:t>7.69%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92,772,868.53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22"/>
                <w:szCs w:val="22"/>
              </w:rPr>
            </w:pPr>
            <w:r>
              <w:rPr>
                <w:rFonts w:ascii="Times New Roman"/>
                <w:sz w:val="22"/>
              </w:rPr>
              <w:t>4.58%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76,876,156.22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22"/>
                <w:szCs w:val="22"/>
              </w:rPr>
            </w:pPr>
            <w:r>
              <w:rPr>
                <w:rFonts w:ascii="Times New Roman"/>
                <w:sz w:val="22"/>
              </w:rPr>
              <w:t>3.80%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49,700,891.37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22"/>
                <w:szCs w:val="22"/>
              </w:rPr>
            </w:pPr>
            <w:r>
              <w:rPr>
                <w:rFonts w:ascii="Times New Roman"/>
                <w:sz w:val="22"/>
              </w:rPr>
              <w:t>2.45%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44,717,997.90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22"/>
                <w:szCs w:val="22"/>
              </w:rPr>
            </w:pPr>
            <w:r>
              <w:rPr>
                <w:rFonts w:ascii="Times New Roman"/>
                <w:sz w:val="22"/>
              </w:rPr>
              <w:t>2.21%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419,777,279.74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20.73%</w:t>
            </w:r>
          </w:p>
        </w:tc>
      </w:tr>
    </w:tbl>
    <w:p>
      <w:pPr>
        <w:pStyle w:val="BodyText"/>
        <w:spacing w:line="240" w:lineRule="auto" w:before="49"/>
        <w:ind w:right="1133"/>
        <w:jc w:val="left"/>
      </w:pPr>
      <w:r>
        <w:rPr/>
        <w:t>主要客户其他情况说明</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270,146,649.82</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16.34%</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252,497,161.17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15.27%</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2,294,765.73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6,897,175.75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6,857,547.17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270,146,649.82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16.34%</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637"/>
        <w:gridCol w:w="1637"/>
        <w:gridCol w:w="1462"/>
        <w:gridCol w:w="3344"/>
      </w:tblGrid>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94,674,557.96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54,528,706.77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73.62%</w:t>
            </w:r>
          </w:p>
        </w:tc>
        <w:tc>
          <w:tcPr>
            <w:tcW w:w="334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本期较上年同期增加，主要是本期公司对 人力资本业务市场开拓导致费用增加。</w:t>
            </w:r>
          </w:p>
        </w:tc>
      </w:tr>
      <w:tr>
        <w:trPr>
          <w:trHeight w:val="39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3344"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3344" w:type="dxa"/>
            <w:vMerge/>
            <w:tcBorders>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140,439,386.88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132,415,913.90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w:t>
            </w:r>
          </w:p>
        </w:tc>
        <w:tc>
          <w:tcPr>
            <w:tcW w:w="334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5,734,945.83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876,692.86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554.16%</w:t>
            </w:r>
          </w:p>
        </w:tc>
        <w:tc>
          <w:tcPr>
            <w:tcW w:w="334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本期较上年同期增加，主要是本期公司新 增短期借款导致利息支出增加。</w:t>
            </w:r>
          </w:p>
        </w:tc>
      </w:tr>
      <w:tr>
        <w:trPr>
          <w:trHeight w:val="39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3344"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3344" w:type="dxa"/>
            <w:vMerge/>
            <w:tcBorders>
              <w:left w:val="single" w:sz="4" w:space="0" w:color="000000"/>
              <w:bottom w:val="single" w:sz="4" w:space="0" w:color="000000"/>
              <w:right w:val="single" w:sz="4" w:space="0" w:color="000000"/>
            </w:tcBorders>
          </w:tcPr>
          <w:p>
            <w:pP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1,854,023.23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727,422.96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154.88%</w:t>
            </w:r>
          </w:p>
        </w:tc>
        <w:tc>
          <w:tcPr>
            <w:tcW w:w="334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本期较上年同期增加，主要是本期公司研 发服务费增加。</w:t>
            </w:r>
          </w:p>
        </w:tc>
      </w:tr>
      <w:tr>
        <w:trPr>
          <w:trHeight w:val="394"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3344"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3344" w:type="dxa"/>
            <w:vMerge/>
            <w:tcBorders>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13,319,249.63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5,540,483.28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140.40%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本期较上年同期增加，主要是本期公司销 售收入增加导致。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355" w:lineRule="auto"/>
        <w:ind w:right="1131" w:firstLine="425"/>
        <w:jc w:val="both"/>
      </w:pPr>
      <w:r>
        <w:rPr/>
        <w:t>公司致力于服务中小微企业全生命周期的孵化，在研发投入方面以自主研发和外包相结合，本期智慧企业孵化云平台 </w:t>
      </w:r>
      <w:r>
        <w:rPr>
          <w:spacing w:val="-2"/>
        </w:rPr>
        <w:t>和企业大数据中心平台已经结项，能够进一步实施公司的发展战略，树立公司在企业互联网和现代服务业市场领先的行业地</w:t>
      </w:r>
      <w:r>
        <w:rPr>
          <w:spacing w:val="-63"/>
        </w:rPr>
        <w:t> </w:t>
      </w:r>
      <w:r>
        <w:rPr>
          <w:spacing w:val="-63"/>
        </w:rPr>
      </w:r>
      <w:r>
        <w:rPr/>
        <w:t>位。</w:t>
      </w:r>
    </w:p>
    <w:p>
      <w:pPr>
        <w:spacing w:line="240" w:lineRule="auto" w:before="3"/>
        <w:rPr>
          <w:rFonts w:ascii="宋体" w:hAnsi="宋体" w:cs="宋体" w:eastAsia="宋体" w:hint="default"/>
          <w:sz w:val="17"/>
          <w:szCs w:val="17"/>
        </w:rPr>
      </w:pPr>
    </w:p>
    <w:p>
      <w:pPr>
        <w:pStyle w:val="BodyText"/>
        <w:spacing w:line="240" w:lineRule="auto"/>
        <w:ind w:right="1133"/>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80"/>
        <w:gridCol w:w="2156"/>
        <w:gridCol w:w="2126"/>
        <w:gridCol w:w="1966"/>
      </w:tblGrid>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-52.44%</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16,837,276.17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31,927,257.03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-47.26%</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14,983,252.94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31,199,834.07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-51.98%</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97.72%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w:t>
            </w:r>
          </w:p>
        </w:tc>
      </w:tr>
    </w:tbl>
    <w:p>
      <w:pPr>
        <w:pStyle w:val="BodyText"/>
        <w:spacing w:line="240" w:lineRule="auto" w:before="49"/>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40"/>
        <w:gridCol w:w="2402"/>
        <w:gridCol w:w="2393"/>
        <w:gridCol w:w="1613"/>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36"/>
              <w:jc w:val="right"/>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16"/>
              <w:jc w:val="righ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104" w:right="0"/>
              <w:jc w:val="left"/>
              <w:rPr>
                <w:rFonts w:ascii="Times New Roman" w:hAnsi="Times New Roman" w:cs="Times New Roman" w:eastAsia="Times New Roman" w:hint="default"/>
                <w:sz w:val="18"/>
                <w:szCs w:val="18"/>
              </w:rPr>
            </w:pPr>
            <w:r>
              <w:rPr>
                <w:rFonts w:ascii="Times New Roman"/>
                <w:sz w:val="18"/>
              </w:rPr>
              <w:t>2,214,389,262.87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788,076,992.10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180.99%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89" w:type="dxa"/>
        <w:tblLayout w:type="fixed"/>
        <w:tblCellMar>
          <w:top w:w="0" w:type="dxa"/>
          <w:left w:w="0" w:type="dxa"/>
          <w:bottom w:w="0" w:type="dxa"/>
          <w:right w:w="0" w:type="dxa"/>
        </w:tblCellMar>
        <w:tblLook w:val="01E0"/>
      </w:tblPr>
      <w:tblGrid>
        <w:gridCol w:w="3261"/>
        <w:gridCol w:w="2391"/>
        <w:gridCol w:w="2393"/>
        <w:gridCol w:w="1613"/>
      </w:tblGrid>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2,051,674,102.81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734,202,030.35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179.44%</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162,715,160.06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53,874,961.75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202.02%</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246,369,689.82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365,373,409.79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-32.57%</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386,848,237.59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685,539,028.78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-43.57%</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-140,478,547.77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-320,165,618.99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56.12%</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141,198,103.00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146,993,252.36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-3.94%</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170,624,272.05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505,949,335.55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-66.28%</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-29,426,169.05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-358,956,083.19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91.80%</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-7,189,556.76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-625,246,740.43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98.85%</w:t>
            </w:r>
          </w:p>
        </w:tc>
      </w:tr>
    </w:tbl>
    <w:p>
      <w:pPr>
        <w:pStyle w:val="BodyText"/>
        <w:spacing w:line="240" w:lineRule="auto" w:before="49"/>
        <w:ind w:left="292" w:right="0"/>
        <w:jc w:val="left"/>
      </w:pPr>
      <w:r>
        <w:rPr/>
        <w:t>相关数据同比发生重大变动的主要影响因素说明</w:t>
      </w:r>
    </w:p>
    <w:p>
      <w:pPr>
        <w:pStyle w:val="BodyText"/>
        <w:spacing w:line="240" w:lineRule="auto" w:before="115"/>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355" w:lineRule="auto"/>
        <w:ind w:left="292" w:right="1129" w:firstLine="497"/>
        <w:jc w:val="both"/>
      </w:pPr>
      <w:r>
        <w:rPr>
          <w:spacing w:val="-1"/>
        </w:rPr>
        <w:t>本报告期，公司因人力资本业务收入增加，导致经营活动产生的现金流量净额较上年同期增加较高；同时，本期对外</w:t>
      </w:r>
      <w:r>
        <w:rPr/>
        <w:t> </w:t>
      </w:r>
      <w:r>
        <w:rPr>
          <w:spacing w:val="-2"/>
        </w:rPr>
        <w:t>投资减少，导致投资活动产生的现金流量净额较上年同期有所改善；筹资活动中因连续剥离终端资产，导致后续股权应付款</w:t>
      </w:r>
      <w:r>
        <w:rPr>
          <w:spacing w:val="-62"/>
        </w:rPr>
        <w:t> </w:t>
      </w:r>
      <w:r>
        <w:rPr>
          <w:spacing w:val="-62"/>
        </w:rPr>
      </w:r>
      <w:r>
        <w:rPr/>
        <w:t>流出减少，从而使筹资活动产生的现金流量净额有所改善。综上体现出现金及现金等价物净增加额较上年同期向好。</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BodyText"/>
        <w:spacing w:line="240" w:lineRule="auto"/>
        <w:ind w:left="292" w:right="0"/>
        <w:jc w:val="left"/>
      </w:pPr>
      <w:r>
        <w:rPr/>
        <w:t>报告期内公司经营活动产生的现金净流量与本年度净利润存在重大差异的原因说明</w:t>
      </w:r>
    </w:p>
    <w:p>
      <w:pPr>
        <w:pStyle w:val="BodyText"/>
        <w:spacing w:line="240" w:lineRule="auto" w:before="115"/>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92"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679"/>
        <w:gridCol w:w="1571"/>
        <w:gridCol w:w="1622"/>
        <w:gridCol w:w="3339"/>
        <w:gridCol w:w="1810"/>
      </w:tblGrid>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10,545,739.35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-1.09%</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主要是权益法核算的长期股权投资收益。</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559,786.67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主要是理财产品预期收益。</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959,289,350.11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98.96%</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含信用减值，主要是本期商誉减值影响。</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46,980,719.29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主要是业绩补偿和扶持款。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188,612,300.96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19.46%</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主要是处置终端资产损失。</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7,414,102.39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主要是政府补助和减免税。</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left="292"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92"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2" w:right="0"/>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84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357" w:type="dxa"/>
        <w:tblLayout w:type="fixed"/>
        <w:tblCellMar>
          <w:top w:w="0" w:type="dxa"/>
          <w:left w:w="0" w:type="dxa"/>
          <w:bottom w:w="0" w:type="dxa"/>
          <w:right w:w="0" w:type="dxa"/>
        </w:tblCellMar>
        <w:tblLook w:val="01E0"/>
      </w:tblPr>
      <w:tblGrid>
        <w:gridCol w:w="1346"/>
        <w:gridCol w:w="1478"/>
        <w:gridCol w:w="1416"/>
        <w:gridCol w:w="1488"/>
        <w:gridCol w:w="1418"/>
        <w:gridCol w:w="1066"/>
        <w:gridCol w:w="1541"/>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8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9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894" w:type="dxa"/>
            <w:gridSpan w:val="2"/>
            <w:vMerge/>
            <w:tcBorders>
              <w:left w:val="single" w:sz="4" w:space="0" w:color="000000"/>
              <w:bottom w:val="single" w:sz="4" w:space="0" w:color="000000"/>
              <w:right w:val="single" w:sz="4" w:space="0" w:color="000000"/>
            </w:tcBorders>
            <w:shd w:val="clear" w:color="auto" w:fill="D2D2D2"/>
          </w:tcPr>
          <w:p>
            <w:pPr/>
          </w:p>
        </w:tc>
        <w:tc>
          <w:tcPr>
            <w:tcW w:w="2907" w:type="dxa"/>
            <w:gridSpan w:val="2"/>
            <w:vMerge/>
            <w:tcBorders>
              <w:left w:val="single" w:sz="4" w:space="0" w:color="000000"/>
              <w:bottom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066" w:type="dxa"/>
            <w:vMerge/>
            <w:tcBorders>
              <w:left w:val="single" w:sz="4" w:space="0" w:color="000000"/>
              <w:bottom w:val="nil" w:sz="6" w:space="0" w:color="auto"/>
              <w:right w:val="single" w:sz="4" w:space="0" w:color="000000"/>
            </w:tcBorders>
            <w:shd w:val="clear" w:color="auto" w:fill="D2D2D2"/>
          </w:tcPr>
          <w:p>
            <w:pPr/>
          </w:p>
        </w:tc>
        <w:tc>
          <w:tcPr>
            <w:tcW w:w="154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8"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8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344,204,044.88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348,732,469.00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3.99%</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99,251,167.74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102,484,792.97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4,236.38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105,354.13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51,037,928.96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52,582,320.80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0.57%</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242,277,039.04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354,905,679.69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0.18%</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27,434,876.07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40,458,413.53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0.02%</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3.60%</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26,248,168.73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28,980,225.14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0.24%</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1,550,953,655.20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2,849,493,500.83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68.39%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-12.68%</w:t>
            </w:r>
          </w:p>
        </w:tc>
        <w:tc>
          <w:tcPr>
            <w:tcW w:w="15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412"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4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772"/>
        <w:gridCol w:w="1190"/>
        <w:gridCol w:w="1084"/>
        <w:gridCol w:w="1258"/>
        <w:gridCol w:w="698"/>
        <w:gridCol w:w="1216"/>
        <w:gridCol w:w="521"/>
        <w:gridCol w:w="1219"/>
        <w:gridCol w:w="1277"/>
      </w:tblGrid>
      <w:tr>
        <w:trPr>
          <w:trHeight w:val="16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1190" w:type="dxa"/>
            <w:vMerge w:val="restart"/>
            <w:tcBorders>
              <w:top w:val="single" w:sz="4" w:space="0" w:color="000000"/>
              <w:left w:val="single" w:sz="4" w:space="0" w:color="000000"/>
              <w:right w:val="single" w:sz="4" w:space="0" w:color="000000"/>
            </w:tcBorders>
            <w:shd w:val="clear" w:color="auto" w:fill="D2D2D2"/>
          </w:tcPr>
          <w:p>
            <w:pPr/>
          </w:p>
        </w:tc>
        <w:tc>
          <w:tcPr>
            <w:tcW w:w="1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3" w:right="82"/>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6" w:right="69"/>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216" w:type="dxa"/>
            <w:vMerge w:val="restart"/>
            <w:tcBorders>
              <w:top w:val="single" w:sz="4" w:space="0" w:color="000000"/>
              <w:left w:val="single" w:sz="4" w:space="0" w:color="000000"/>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5" w:right="73"/>
              <w:jc w:val="both"/>
              <w:rPr>
                <w:rFonts w:ascii="宋体" w:hAnsi="宋体" w:cs="宋体" w:eastAsia="宋体" w:hint="default"/>
                <w:sz w:val="18"/>
                <w:szCs w:val="18"/>
              </w:rPr>
            </w:pPr>
            <w:r>
              <w:rPr>
                <w:rFonts w:ascii="宋体" w:hAnsi="宋体" w:cs="宋体" w:eastAsia="宋体" w:hint="default"/>
                <w:sz w:val="18"/>
                <w:szCs w:val="18"/>
              </w:rPr>
              <w:t>本期 出售 金额</w:t>
            </w: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0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5" w:right="8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58"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1216"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4" w:type="dxa"/>
            <w:vMerge/>
            <w:tcBorders>
              <w:left w:val="single" w:sz="4" w:space="0" w:color="000000"/>
              <w:right w:val="single" w:sz="4" w:space="0" w:color="000000"/>
            </w:tcBorders>
            <w:shd w:val="clear" w:color="auto" w:fill="D2D2D2"/>
          </w:tcPr>
          <w:p>
            <w:pPr/>
          </w:p>
        </w:tc>
        <w:tc>
          <w:tcPr>
            <w:tcW w:w="1258"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1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1"/>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521"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772" w:type="dxa"/>
            <w:vMerge w:val="restart"/>
            <w:tcBorders>
              <w:top w:val="nil" w:sz="6" w:space="0" w:color="auto"/>
              <w:left w:val="single" w:sz="4" w:space="0" w:color="000000"/>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
        </w:tc>
        <w:tc>
          <w:tcPr>
            <w:tcW w:w="1084" w:type="dxa"/>
            <w:vMerge/>
            <w:tcBorders>
              <w:left w:val="single" w:sz="4" w:space="0" w:color="000000"/>
              <w:bottom w:val="nil" w:sz="6" w:space="0" w:color="auto"/>
              <w:right w:val="single" w:sz="4" w:space="0" w:color="000000"/>
            </w:tcBorders>
            <w:shd w:val="clear" w:color="auto" w:fill="D2D2D2"/>
          </w:tcPr>
          <w:p>
            <w:pPr/>
          </w:p>
        </w:tc>
        <w:tc>
          <w:tcPr>
            <w:tcW w:w="1258"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1216" w:type="dxa"/>
            <w:vMerge w:val="restart"/>
            <w:tcBorders>
              <w:top w:val="nil" w:sz="6" w:space="0" w:color="auto"/>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1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8"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1216"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62"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交易性金融资产（不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含衍生金融资产）</w:t>
            </w:r>
          </w:p>
        </w:tc>
        <w:tc>
          <w:tcPr>
            <w:tcW w:w="1190" w:type="dxa"/>
            <w:tcBorders>
              <w:top w:val="single" w:sz="4" w:space="0" w:color="000000"/>
              <w:left w:val="single" w:sz="13" w:space="0" w:color="D2D2D2"/>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559,786.67</w:t>
            </w:r>
          </w:p>
        </w:tc>
        <w:tc>
          <w:tcPr>
            <w:tcW w:w="125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95,543,497.68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95,543,497.68</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其他权益工具投资</w:t>
            </w:r>
          </w:p>
        </w:tc>
        <w:tc>
          <w:tcPr>
            <w:tcW w:w="1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40,263,140.39</w:t>
            </w:r>
          </w:p>
        </w:tc>
        <w:tc>
          <w:tcPr>
            <w:tcW w:w="10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-38,793,382.44</w:t>
            </w:r>
          </w:p>
        </w:tc>
        <w:tc>
          <w:tcPr>
            <w:tcW w:w="698"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68,863,382.44</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70,333,140.39</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40,263,140.39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559,786.67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-38,793,382.44</w:t>
            </w:r>
          </w:p>
        </w:tc>
        <w:tc>
          <w:tcPr>
            <w:tcW w:w="698"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68,863,382.44</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95,543,497.68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165,876,638.07</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40,263,140.39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559,786.67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-38,793,382.44</w:t>
            </w:r>
          </w:p>
        </w:tc>
        <w:tc>
          <w:tcPr>
            <w:tcW w:w="698"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68,863,382.44</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95,543,497.68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165,876,638.07</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08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left="412" w:right="0"/>
        <w:jc w:val="left"/>
        <w:rPr>
          <w:rFonts w:ascii="宋体" w:hAnsi="宋体" w:cs="宋体" w:eastAsia="宋体" w:hint="default"/>
        </w:rPr>
      </w:pPr>
      <w:r>
        <w:rPr/>
        <w:t>其他变动的内容 </w:t>
      </w:r>
      <w:r>
        <w:rPr>
          <w:rFonts w:ascii="宋体" w:hAnsi="宋体" w:cs="宋体" w:eastAsia="宋体" w:hint="default"/>
        </w:rPr>
        <w:t>1</w:t>
      </w:r>
      <w:r>
        <w:rPr/>
        <w:t>、截至本期末公司持有对青海弘川化工实业有限公司</w:t>
      </w:r>
      <w:r>
        <w:rPr>
          <w:rFonts w:ascii="宋体" w:hAnsi="宋体" w:cs="宋体" w:eastAsia="宋体" w:hint="default"/>
        </w:rPr>
        <w:t>4.925%</w:t>
      </w:r>
      <w:r>
        <w:rPr/>
        <w:t>股权，该公司以资产不能清偿全部债务为由已于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17</w:t>
      </w:r>
    </w:p>
    <w:p>
      <w:pPr>
        <w:pStyle w:val="BodyText"/>
        <w:spacing w:line="316" w:lineRule="auto"/>
        <w:ind w:left="412" w:right="0"/>
        <w:jc w:val="left"/>
      </w:pPr>
      <w:r>
        <w:rPr>
          <w:spacing w:val="-2"/>
        </w:rPr>
        <w:t>日向青海省海北藏族自治州中级人民法院申请破产重整，本期对该投资的公允价值为</w:t>
      </w:r>
      <w:r>
        <w:rPr>
          <w:rFonts w:ascii="宋体" w:hAnsi="宋体" w:cs="宋体" w:eastAsia="宋体" w:hint="default"/>
          <w:spacing w:val="-2"/>
        </w:rPr>
        <w:t>0</w:t>
      </w:r>
      <w:r>
        <w:rPr>
          <w:spacing w:val="-2"/>
        </w:rPr>
        <w:t>元，公允价值变动计入其他综合收益。</w:t>
      </w:r>
      <w:r>
        <w:rPr>
          <w:spacing w:val="-63"/>
        </w:rPr>
        <w:t> </w:t>
      </w:r>
      <w:r>
        <w:rPr>
          <w:spacing w:val="-63"/>
        </w:rPr>
      </w:r>
      <w:r>
        <w:rPr>
          <w:rFonts w:ascii="宋体" w:hAnsi="宋体" w:cs="宋体" w:eastAsia="宋体" w:hint="default"/>
          <w:spacing w:val="-2"/>
        </w:rPr>
        <w:t>2</w:t>
      </w:r>
      <w:r>
        <w:rPr>
          <w:spacing w:val="-2"/>
        </w:rPr>
        <w:t>、截至本期末公司持有霍尔果斯鸿桥企业管理咨询有限公司</w:t>
      </w:r>
      <w:r>
        <w:rPr>
          <w:rFonts w:ascii="宋体" w:hAnsi="宋体" w:cs="宋体" w:eastAsia="宋体" w:hint="default"/>
          <w:spacing w:val="-2"/>
        </w:rPr>
        <w:t>10.00%</w:t>
      </w:r>
      <w:r>
        <w:rPr>
          <w:spacing w:val="-2"/>
        </w:rPr>
        <w:t>股权，该公司期末账面为</w:t>
      </w:r>
      <w:r>
        <w:rPr>
          <w:rFonts w:ascii="宋体" w:hAnsi="宋体" w:cs="宋体" w:eastAsia="宋体" w:hint="default"/>
          <w:spacing w:val="-2"/>
        </w:rPr>
        <w:t>68,863,382.44</w:t>
      </w:r>
      <w:r>
        <w:rPr>
          <w:spacing w:val="-2"/>
        </w:rPr>
        <w:t>元，经银信资产</w:t>
      </w:r>
      <w:r>
        <w:rPr>
          <w:spacing w:val="-50"/>
        </w:rPr>
        <w:t> </w:t>
      </w:r>
      <w:r>
        <w:rPr>
          <w:spacing w:val="-50"/>
        </w:rPr>
      </w:r>
      <w:r>
        <w:rPr>
          <w:spacing w:val="-3"/>
        </w:rPr>
        <w:t>评估有限公司出具的银信财报字（</w:t>
      </w:r>
      <w:r>
        <w:rPr>
          <w:rFonts w:ascii="宋体" w:hAnsi="宋体" w:cs="宋体" w:eastAsia="宋体" w:hint="default"/>
          <w:spacing w:val="-3"/>
        </w:rPr>
        <w:t>2020</w:t>
      </w:r>
      <w:r>
        <w:rPr>
          <w:spacing w:val="-3"/>
        </w:rPr>
        <w:t>）沪第</w:t>
      </w:r>
      <w:r>
        <w:rPr>
          <w:rFonts w:ascii="宋体" w:hAnsi="宋体" w:cs="宋体" w:eastAsia="宋体" w:hint="default"/>
          <w:spacing w:val="-3"/>
        </w:rPr>
        <w:t>389</w:t>
      </w:r>
      <w:r>
        <w:rPr>
          <w:spacing w:val="-3"/>
        </w:rPr>
        <w:t>号评估确认公允价值为</w:t>
      </w:r>
      <w:r>
        <w:rPr>
          <w:rFonts w:ascii="宋体" w:hAnsi="宋体" w:cs="宋体" w:eastAsia="宋体" w:hint="default"/>
          <w:spacing w:val="-3"/>
        </w:rPr>
        <w:t>49,770,000.00</w:t>
      </w:r>
      <w:r>
        <w:rPr>
          <w:spacing w:val="-3"/>
        </w:rPr>
        <w:t>元，公允价值变动计入其他综合收益。</w:t>
      </w:r>
    </w:p>
    <w:p>
      <w:pPr>
        <w:pStyle w:val="BodyText"/>
        <w:spacing w:line="240" w:lineRule="auto" w:before="59"/>
        <w:ind w:left="412" w:right="0"/>
        <w:jc w:val="left"/>
      </w:pPr>
      <w:r>
        <w:rPr/>
        <w:t>报告期内公司主要资产计量属性是否发生重大变化</w:t>
      </w:r>
    </w:p>
    <w:p>
      <w:pPr>
        <w:pStyle w:val="BodyText"/>
        <w:spacing w:line="240" w:lineRule="auto" w:before="117"/>
        <w:ind w:left="41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left="412"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12" w:right="0"/>
        <w:jc w:val="left"/>
      </w:pPr>
      <w:r>
        <w:rPr/>
        <w:t>本公司有部分货币资金</w:t>
      </w:r>
      <w:r>
        <w:rPr>
          <w:rFonts w:ascii="宋体" w:hAnsi="宋体" w:cs="宋体" w:eastAsia="宋体" w:hint="default"/>
        </w:rPr>
        <w:t>1621</w:t>
      </w:r>
      <w:r>
        <w:rPr/>
        <w:t>万元因涉及诉讼被冻结，部分固定资产和投资性房地产因贷款被抵押。</w:t>
      </w:r>
    </w:p>
    <w:p>
      <w:pPr>
        <w:spacing w:after="0" w:line="240" w:lineRule="auto"/>
        <w:jc w:val="left"/>
        <w:sectPr>
          <w:pgSz w:w="11910" w:h="16840"/>
          <w:pgMar w:header="745" w:footer="980" w:top="1060" w:bottom="1160" w:left="72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pStyle w:val="Heading2"/>
        <w:spacing w:line="240" w:lineRule="auto" w:before="26"/>
        <w:ind w:left="140" w:right="0"/>
        <w:jc w:val="left"/>
        <w:rPr>
          <w:b w:val="0"/>
          <w:bCs w:val="0"/>
        </w:rPr>
      </w:pPr>
      <w:bookmarkStart w:name="五、投资状况" w:id="44"/>
      <w:bookmarkEnd w:id="44"/>
      <w:r>
        <w:rPr>
          <w:b w:val="0"/>
          <w:bCs w:val="0"/>
        </w:rPr>
      </w:r>
      <w:r>
        <w:rPr/>
        <w:t>五、投资状况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142,383,382.44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1,090,000,000.00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-86.94%</w:t>
            </w:r>
          </w:p>
        </w:tc>
      </w:tr>
    </w:tbl>
    <w:p>
      <w:pPr>
        <w:spacing w:line="240" w:lineRule="auto" w:before="3"/>
        <w:rPr>
          <w:rFonts w:ascii="宋体" w:hAnsi="宋体" w:cs="宋体" w:eastAsia="宋体" w:hint="default"/>
          <w:sz w:val="19"/>
          <w:szCs w:val="19"/>
        </w:rPr>
      </w:pPr>
    </w:p>
    <w:p>
      <w:pPr>
        <w:pStyle w:val="Heading3"/>
        <w:spacing w:line="240" w:lineRule="auto" w:before="36"/>
        <w:ind w:left="140"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234"/>
        <w:jc w:val="right"/>
      </w:pPr>
      <w:r>
        <w:rPr/>
        <w:t>单位：元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560"/>
        <w:gridCol w:w="1560"/>
        <w:gridCol w:w="638"/>
        <w:gridCol w:w="1486"/>
        <w:gridCol w:w="852"/>
        <w:gridCol w:w="638"/>
        <w:gridCol w:w="1205"/>
        <w:gridCol w:w="638"/>
        <w:gridCol w:w="638"/>
        <w:gridCol w:w="850"/>
        <w:gridCol w:w="638"/>
        <w:gridCol w:w="1129"/>
        <w:gridCol w:w="641"/>
        <w:gridCol w:w="638"/>
        <w:gridCol w:w="638"/>
      </w:tblGrid>
      <w:tr>
        <w:trPr>
          <w:trHeight w:val="134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0"/>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5" w:right="4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5" w:right="4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 w:right="59"/>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68" w:right="110" w:hanging="361"/>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霍尔果斯鸿桥企业 管理咨询有限公司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代理记账；工商事 务代理及咨询。</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收购</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68,863,382.44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3"/>
              <w:jc w:val="both"/>
              <w:rPr>
                <w:rFonts w:ascii="宋体" w:hAnsi="宋体" w:cs="宋体" w:eastAsia="宋体" w:hint="default"/>
                <w:sz w:val="18"/>
                <w:szCs w:val="18"/>
              </w:rPr>
            </w:pPr>
            <w:r>
              <w:rPr>
                <w:rFonts w:ascii="宋体" w:hAnsi="宋体" w:cs="宋体" w:eastAsia="宋体" w:hint="default"/>
                <w:sz w:val="18"/>
                <w:szCs w:val="18"/>
              </w:rPr>
              <w:t>舟山鸿联投资 合伙企业（有 限合伙）</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财税服 务及咨 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5"/>
              <w:jc w:val="left"/>
              <w:rPr>
                <w:rFonts w:ascii="宋体" w:hAnsi="宋体" w:cs="宋体" w:eastAsia="宋体" w:hint="default"/>
                <w:sz w:val="18"/>
                <w:szCs w:val="18"/>
              </w:rPr>
            </w:pPr>
            <w:r>
              <w:rPr>
                <w:rFonts w:ascii="宋体" w:hAnsi="宋体" w:cs="宋体" w:eastAsia="宋体" w:hint="default"/>
                <w:sz w:val="18"/>
                <w:szCs w:val="18"/>
              </w:rPr>
              <w:t>股权已过 户</w:t>
            </w:r>
          </w:p>
        </w:tc>
        <w:tc>
          <w:tcPr>
            <w:tcW w:w="63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天津易桥普达财务 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218"/>
              <w:jc w:val="left"/>
              <w:rPr>
                <w:rFonts w:ascii="宋体" w:hAnsi="宋体" w:cs="宋体" w:eastAsia="宋体" w:hint="default"/>
                <w:sz w:val="18"/>
                <w:szCs w:val="18"/>
              </w:rPr>
            </w:pPr>
            <w:r>
              <w:rPr>
                <w:rFonts w:ascii="宋体" w:hAnsi="宋体" w:cs="宋体" w:eastAsia="宋体" w:hint="default"/>
                <w:sz w:val="18"/>
                <w:szCs w:val="18"/>
              </w:rPr>
              <w:t>财务咨询</w:t>
            </w:r>
            <w:r>
              <w:rPr>
                <w:rFonts w:ascii="Times New Roman" w:hAnsi="Times New Roman" w:cs="Times New Roman" w:eastAsia="Times New Roman" w:hint="default"/>
                <w:sz w:val="18"/>
                <w:szCs w:val="18"/>
              </w:rPr>
              <w:t>,</w:t>
            </w:r>
            <w:r>
              <w:rPr>
                <w:rFonts w:ascii="宋体" w:hAnsi="宋体" w:cs="宋体" w:eastAsia="宋体" w:hint="default"/>
                <w:sz w:val="18"/>
                <w:szCs w:val="18"/>
              </w:rPr>
              <w:t>代理记 账</w:t>
            </w:r>
            <w:r>
              <w:rPr>
                <w:rFonts w:ascii="Times New Roman" w:hAnsi="Times New Roman" w:cs="Times New Roman" w:eastAsia="Times New Roman" w:hint="default"/>
                <w:sz w:val="18"/>
                <w:szCs w:val="18"/>
              </w:rPr>
              <w:t>,</w:t>
            </w:r>
            <w:r>
              <w:rPr>
                <w:rFonts w:ascii="宋体" w:hAnsi="宋体" w:cs="宋体" w:eastAsia="宋体" w:hint="default"/>
                <w:sz w:val="18"/>
                <w:szCs w:val="18"/>
              </w:rPr>
              <w:t>知识产权服务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收购</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93"/>
              <w:jc w:val="both"/>
              <w:rPr>
                <w:rFonts w:ascii="宋体" w:hAnsi="宋体" w:cs="宋体" w:eastAsia="宋体" w:hint="default"/>
                <w:sz w:val="18"/>
                <w:szCs w:val="18"/>
              </w:rPr>
            </w:pPr>
            <w:r>
              <w:rPr>
                <w:rFonts w:ascii="宋体" w:hAnsi="宋体" w:cs="宋体" w:eastAsia="宋体" w:hint="default"/>
                <w:sz w:val="18"/>
                <w:szCs w:val="18"/>
              </w:rPr>
              <w:t>北京普达财务 顾问股份有限 公司、北京庄 易照明工程有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62"/>
              <w:jc w:val="both"/>
              <w:rPr>
                <w:rFonts w:ascii="宋体" w:hAnsi="宋体" w:cs="宋体" w:eastAsia="宋体" w:hint="default"/>
                <w:sz w:val="18"/>
                <w:szCs w:val="18"/>
              </w:rPr>
            </w:pPr>
            <w:r>
              <w:rPr>
                <w:rFonts w:ascii="宋体" w:hAnsi="宋体" w:cs="宋体" w:eastAsia="宋体" w:hint="default"/>
                <w:sz w:val="18"/>
                <w:szCs w:val="18"/>
              </w:rPr>
              <w:t>财税服 务及咨 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95"/>
              <w:jc w:val="left"/>
              <w:rPr>
                <w:rFonts w:ascii="宋体" w:hAnsi="宋体" w:cs="宋体" w:eastAsia="宋体" w:hint="default"/>
                <w:sz w:val="18"/>
                <w:szCs w:val="18"/>
              </w:rPr>
            </w:pPr>
            <w:r>
              <w:rPr>
                <w:rFonts w:ascii="宋体" w:hAnsi="宋体" w:cs="宋体" w:eastAsia="宋体" w:hint="default"/>
                <w:sz w:val="18"/>
                <w:szCs w:val="18"/>
              </w:rPr>
              <w:t>工商变更 已完成</w:t>
            </w:r>
          </w:p>
        </w:tc>
        <w:tc>
          <w:tcPr>
            <w:tcW w:w="63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5,751,940.61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4"/>
              <w:jc w:val="right"/>
              <w:rPr>
                <w:rFonts w:ascii="Times New Roman" w:hAnsi="Times New Roman" w:cs="Times New Roman" w:eastAsia="Times New Roman" w:hint="default"/>
                <w:sz w:val="18"/>
                <w:szCs w:val="18"/>
              </w:rPr>
            </w:pPr>
            <w:r>
              <w:rPr>
                <w:rFonts w:ascii="Times New Roman"/>
                <w:sz w:val="18"/>
              </w:rPr>
              <w:t>--</w:t>
            </w:r>
          </w:p>
        </w:tc>
        <w:tc>
          <w:tcPr>
            <w:tcW w:w="14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140,863,382.44</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4"/>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5,751,940.61</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14"/>
          <w:footerReference w:type="default" r:id="rId15"/>
          <w:pgSz w:w="16840" w:h="11910" w:orient="landscape"/>
          <w:pgMar w:header="867" w:footer="980" w:top="1060" w:bottom="1160" w:left="1300" w:right="1300"/>
          <w:pgNumType w:start="19"/>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140" w:right="0"/>
        <w:jc w:val="left"/>
        <w:rPr>
          <w:b w:val="0"/>
          <w:bCs w:val="0"/>
        </w:rPr>
      </w:pPr>
      <w:bookmarkStart w:name="4、金融资产投资" w:id="48"/>
      <w:bookmarkEnd w:id="48"/>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0"/>
        <w:jc w:val="left"/>
        <w:rPr>
          <w:b w:val="0"/>
          <w:bCs w:val="0"/>
        </w:rPr>
      </w:pPr>
      <w:bookmarkStart w:name="（1）证券投资情况" w:id="49"/>
      <w:bookmarkEnd w:id="49"/>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140" w:right="117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公司报告期不存在证券投资。</w:t>
      </w:r>
    </w:p>
    <w:p>
      <w:pPr>
        <w:spacing w:line="240" w:lineRule="auto" w:before="3"/>
        <w:rPr>
          <w:rFonts w:ascii="宋体" w:hAnsi="宋体" w:cs="宋体" w:eastAsia="宋体" w:hint="default"/>
          <w:sz w:val="21"/>
          <w:szCs w:val="21"/>
        </w:rPr>
      </w:pPr>
    </w:p>
    <w:p>
      <w:pPr>
        <w:pStyle w:val="Heading3"/>
        <w:spacing w:line="240" w:lineRule="auto"/>
        <w:ind w:left="140" w:right="0"/>
        <w:jc w:val="left"/>
        <w:rPr>
          <w:b w:val="0"/>
          <w:bCs w:val="0"/>
        </w:rPr>
      </w:pPr>
      <w:bookmarkStart w:name="（2）衍生品投资情况" w:id="50"/>
      <w:bookmarkEnd w:id="5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40" w:right="115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公司报告期不存在衍生品投资。</w:t>
      </w:r>
    </w:p>
    <w:p>
      <w:pPr>
        <w:spacing w:line="240" w:lineRule="auto" w:before="6"/>
        <w:rPr>
          <w:rFonts w:ascii="宋体" w:hAnsi="宋体" w:cs="宋体" w:eastAsia="宋体" w:hint="default"/>
          <w:sz w:val="21"/>
          <w:szCs w:val="21"/>
        </w:rPr>
      </w:pPr>
    </w:p>
    <w:p>
      <w:pPr>
        <w:pStyle w:val="Heading3"/>
        <w:spacing w:line="240" w:lineRule="auto"/>
        <w:ind w:left="140"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40" w:right="0"/>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234"/>
        <w:jc w:val="right"/>
      </w:pPr>
      <w:r>
        <w:rPr/>
        <w:t>单位：万元</w:t>
      </w:r>
    </w:p>
    <w:p>
      <w:pPr>
        <w:spacing w:line="240" w:lineRule="auto" w:before="3"/>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867"/>
        <w:gridCol w:w="1402"/>
        <w:gridCol w:w="1135"/>
        <w:gridCol w:w="1275"/>
        <w:gridCol w:w="1418"/>
        <w:gridCol w:w="1277"/>
        <w:gridCol w:w="1275"/>
        <w:gridCol w:w="1135"/>
        <w:gridCol w:w="1277"/>
        <w:gridCol w:w="1558"/>
        <w:gridCol w:w="1274"/>
      </w:tblGrid>
      <w:tr>
        <w:trPr>
          <w:trHeight w:val="102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3"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募集资金总 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79" w:right="92" w:hanging="89"/>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45" w:right="72" w:hanging="272"/>
              <w:jc w:val="left"/>
              <w:rPr>
                <w:rFonts w:ascii="宋体" w:hAnsi="宋体" w:cs="宋体" w:eastAsia="宋体" w:hint="default"/>
                <w:sz w:val="18"/>
                <w:szCs w:val="18"/>
              </w:rPr>
            </w:pPr>
            <w:r>
              <w:rPr>
                <w:rFonts w:ascii="宋体" w:hAnsi="宋体" w:cs="宋体" w:eastAsia="宋体" w:hint="default"/>
                <w:sz w:val="18"/>
                <w:szCs w:val="18"/>
              </w:rPr>
              <w:t>已累计使用募集 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报告期内变更 用途的募集资 金总额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1"/>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2" w:right="110"/>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73" w:right="92" w:hanging="180"/>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21" w:right="53" w:hanging="269"/>
              <w:jc w:val="left"/>
              <w:rPr>
                <w:rFonts w:ascii="宋体" w:hAnsi="宋体" w:cs="宋体" w:eastAsia="宋体" w:hint="default"/>
                <w:sz w:val="18"/>
                <w:szCs w:val="18"/>
              </w:rPr>
            </w:pPr>
            <w:r>
              <w:rPr>
                <w:rFonts w:ascii="宋体" w:hAnsi="宋体" w:cs="宋体" w:eastAsia="宋体" w:hint="default"/>
                <w:sz w:val="18"/>
                <w:szCs w:val="18"/>
              </w:rPr>
              <w:t>尚未使用募集资金 用途及去向</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1" w:right="91"/>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99,325.09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2,466.08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70,176.31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30,662.1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60,362.1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99,325.09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2,466.08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70,176.31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30,662.1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60,362.1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60.77%</w:t>
            </w:r>
          </w:p>
        </w:tc>
        <w:tc>
          <w:tcPr>
            <w:tcW w:w="127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300"/>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3893"/>
      </w:tblGrid>
      <w:tr>
        <w:trPr>
          <w:trHeight w:val="417" w:hRule="exact"/>
        </w:trPr>
        <w:tc>
          <w:tcPr>
            <w:tcW w:w="1389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78" w:hRule="exact"/>
        </w:trPr>
        <w:tc>
          <w:tcPr>
            <w:tcW w:w="1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日，经公司第八届董事会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年第一次临时会议决议、第八届监事会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年第一次临时会议审议，同意使用募集资金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万元对企业管家进行增资，报告期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内实际增资款为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950 </w:t>
            </w:r>
            <w:r>
              <w:rPr>
                <w:rFonts w:ascii="宋体" w:hAnsi="宋体" w:cs="宋体" w:eastAsia="宋体" w:hint="default"/>
                <w:sz w:val="18"/>
                <w:szCs w:val="18"/>
              </w:rPr>
              <w:t>万元。</w:t>
            </w:r>
          </w:p>
          <w:p>
            <w:pPr>
              <w:pStyle w:val="TableParagraph"/>
              <w:spacing w:line="300" w:lineRule="auto" w:before="10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日，经公司第八届董事会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年第四次临时会议、第八届监事会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年第四次临时会议，以及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年第一次临时股东大会审议，同意公司募集 资金投资项目结项、终止并将剩余募集资金永久补充流动资金，用于公司日常经营。</w:t>
            </w:r>
          </w:p>
        </w:tc>
      </w:tr>
    </w:tbl>
    <w:p>
      <w:pPr>
        <w:spacing w:line="240" w:lineRule="auto" w:before="3"/>
        <w:rPr>
          <w:rFonts w:ascii="宋体" w:hAnsi="宋体" w:cs="宋体" w:eastAsia="宋体" w:hint="default"/>
          <w:sz w:val="19"/>
          <w:szCs w:val="19"/>
        </w:rPr>
      </w:pPr>
    </w:p>
    <w:p>
      <w:pPr>
        <w:pStyle w:val="Heading3"/>
        <w:spacing w:line="240" w:lineRule="auto" w:before="36"/>
        <w:ind w:left="120" w:right="0"/>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214"/>
        <w:jc w:val="right"/>
      </w:pPr>
      <w:r>
        <w:rPr/>
        <w:t>单位：万元</w:t>
      </w: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410"/>
        <w:gridCol w:w="1561"/>
        <w:gridCol w:w="1274"/>
        <w:gridCol w:w="1135"/>
        <w:gridCol w:w="994"/>
        <w:gridCol w:w="1133"/>
        <w:gridCol w:w="1274"/>
        <w:gridCol w:w="1558"/>
        <w:gridCol w:w="780"/>
        <w:gridCol w:w="780"/>
        <w:gridCol w:w="994"/>
      </w:tblGrid>
      <w:tr>
        <w:trPr>
          <w:trHeight w:val="1027"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383" w:right="2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是否已变更项目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8" w:right="110"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110"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91"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截至期末投资 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24" w:right="51"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38"/>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1" w:hRule="exact"/>
        </w:trPr>
        <w:tc>
          <w:tcPr>
            <w:tcW w:w="1389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智慧企业孵化云平台项目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70,591.65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70,591.65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2,466.08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68,106.21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企业大数据中心平台项目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32,216.75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32,216.75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13"/>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102,808.4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102,808.4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2,466.08</w:t>
            </w:r>
          </w:p>
        </w:tc>
        <w:tc>
          <w:tcPr>
            <w:tcW w:w="113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70,176.31</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389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13"/>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102,808.4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102,808.4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2,466.08</w:t>
            </w:r>
          </w:p>
        </w:tc>
        <w:tc>
          <w:tcPr>
            <w:tcW w:w="113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70,176.31</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z w:val="18"/>
              </w:rPr>
              <w:t>--</w:t>
            </w:r>
          </w:p>
        </w:tc>
      </w:tr>
      <w:tr>
        <w:trPr>
          <w:trHeight w:val="473"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83"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31"/>
              <w:jc w:val="both"/>
              <w:rPr>
                <w:rFonts w:ascii="宋体" w:hAnsi="宋体" w:cs="宋体" w:eastAsia="宋体" w:hint="default"/>
                <w:sz w:val="18"/>
                <w:szCs w:val="18"/>
              </w:rPr>
            </w:pPr>
            <w:r>
              <w:rPr>
                <w:rFonts w:ascii="宋体" w:hAnsi="宋体" w:cs="宋体" w:eastAsia="宋体" w:hint="default"/>
                <w:sz w:val="18"/>
                <w:szCs w:val="18"/>
              </w:rPr>
              <w:t>企业大数据中心平台项目资金投入较少的原因及合理性：</w:t>
            </w:r>
            <w:r>
              <w:rPr>
                <w:rFonts w:ascii="Times New Roman" w:hAnsi="Times New Roman" w:cs="Times New Roman" w:eastAsia="Times New Roman" w:hint="default"/>
                <w:sz w:val="18"/>
                <w:szCs w:val="18"/>
              </w:rPr>
              <w:t>“</w:t>
            </w:r>
            <w:r>
              <w:rPr>
                <w:rFonts w:ascii="宋体" w:hAnsi="宋体" w:cs="宋体" w:eastAsia="宋体" w:hint="default"/>
                <w:sz w:val="18"/>
                <w:szCs w:val="18"/>
              </w:rPr>
              <w:t>企业大数据中心平台</w:t>
            </w:r>
            <w:r>
              <w:rPr>
                <w:rFonts w:ascii="Times New Roman" w:hAnsi="Times New Roman" w:cs="Times New Roman" w:eastAsia="Times New Roman" w:hint="default"/>
                <w:sz w:val="18"/>
                <w:szCs w:val="18"/>
              </w:rPr>
              <w:t>”</w:t>
            </w:r>
            <w:r>
              <w:rPr>
                <w:rFonts w:ascii="宋体" w:hAnsi="宋体" w:cs="宋体" w:eastAsia="宋体" w:hint="default"/>
                <w:sz w:val="18"/>
                <w:szCs w:val="18"/>
              </w:rPr>
              <w:t>是基于通过</w:t>
            </w:r>
            <w:r>
              <w:rPr>
                <w:rFonts w:ascii="Times New Roman" w:hAnsi="Times New Roman" w:cs="Times New Roman" w:eastAsia="Times New Roman" w:hint="default"/>
                <w:sz w:val="18"/>
                <w:szCs w:val="18"/>
              </w:rPr>
              <w:t>“</w:t>
            </w:r>
            <w:r>
              <w:rPr>
                <w:rFonts w:ascii="宋体" w:hAnsi="宋体" w:cs="宋体" w:eastAsia="宋体" w:hint="default"/>
                <w:sz w:val="18"/>
                <w:szCs w:val="18"/>
              </w:rPr>
              <w:t>智慧企业孵化云平台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对大量企业数据的整合和分析， </w:t>
            </w:r>
            <w:r>
              <w:rPr>
                <w:rFonts w:ascii="宋体" w:hAnsi="宋体" w:cs="宋体" w:eastAsia="宋体" w:hint="default"/>
                <w:spacing w:val="-3"/>
                <w:sz w:val="18"/>
                <w:szCs w:val="18"/>
              </w:rPr>
              <w:t>旨在通过每个企业的行业、规模、财务、税务等不同维度的数据整理分析出企业的画像，为其提供全流程精准服务。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智慧企业孵化云平台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作为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w:t>
            </w:r>
            <w:r>
              <w:rPr>
                <w:rFonts w:ascii="宋体" w:hAnsi="宋体" w:cs="宋体" w:eastAsia="宋体" w:hint="default"/>
                <w:spacing w:val="-51"/>
                <w:sz w:val="18"/>
                <w:szCs w:val="18"/>
              </w:rPr>
              <w:t> </w:t>
            </w:r>
            <w:r>
              <w:rPr>
                <w:rFonts w:ascii="宋体" w:hAnsi="宋体" w:cs="宋体" w:eastAsia="宋体" w:hint="default"/>
                <w:spacing w:val="-4"/>
                <w:w w:val="100"/>
                <w:sz w:val="18"/>
                <w:szCs w:val="18"/>
              </w:rPr>
              <w:t>业大数据中心平台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的基础，实际上是先行通过业务数据的采集及完善，解决</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企业大数据中心平台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未来数据来源及获取问题。公司已逐步完成了</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智</w:t>
            </w:r>
            <w:r>
              <w:rPr>
                <w:rFonts w:ascii="宋体" w:hAnsi="宋体" w:cs="宋体" w:eastAsia="宋体" w:hint="default"/>
                <w:spacing w:val="-58"/>
                <w:w w:val="100"/>
                <w:sz w:val="18"/>
                <w:szCs w:val="18"/>
              </w:rPr>
              <w:t> </w:t>
            </w:r>
            <w:r>
              <w:rPr>
                <w:rFonts w:ascii="宋体" w:hAnsi="宋体" w:cs="宋体" w:eastAsia="宋体" w:hint="default"/>
                <w:sz w:val="18"/>
                <w:szCs w:val="18"/>
              </w:rPr>
              <w:t>慧企业孵化云平台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企业端数据的采集，同时，根据</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年国家针对实体经济、小微企业以及民生问题大力实施减税降费和社保入税等政策，公司 基于企业大数据中心平台数据沉淀量和社保税收政策调整的现实，决定直接驱动数据变现，故大数据项目不再继续投入。</w:t>
            </w:r>
          </w:p>
        </w:tc>
      </w:tr>
      <w:tr>
        <w:trPr>
          <w:trHeight w:val="706"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未达到计划进度或预计收益的 情况和原因（分具体项目）</w:t>
            </w:r>
          </w:p>
        </w:tc>
        <w:tc>
          <w:tcPr>
            <w:tcW w:w="11483" w:type="dxa"/>
            <w:gridSpan w:val="10"/>
            <w:vMerge/>
            <w:tcBorders>
              <w:left w:val="single" w:sz="10" w:space="0" w:color="D2D2D2"/>
              <w:right w:val="single" w:sz="4" w:space="0" w:color="000000"/>
            </w:tcBorders>
          </w:tcPr>
          <w:p>
            <w:pPr/>
          </w:p>
        </w:tc>
      </w:tr>
      <w:tr>
        <w:trPr>
          <w:trHeight w:val="473" w:hRule="exact"/>
        </w:trPr>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83" w:type="dxa"/>
            <w:gridSpan w:val="10"/>
            <w:vMerge/>
            <w:tcBorders>
              <w:left w:val="single" w:sz="10" w:space="0" w:color="D2D2D2"/>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w:t>
            </w:r>
          </w:p>
        </w:tc>
        <w:tc>
          <w:tcPr>
            <w:tcW w:w="1148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参见上述</w:t>
            </w:r>
            <w:r>
              <w:rPr>
                <w:rFonts w:ascii="Times New Roman" w:hAnsi="Times New Roman" w:cs="Times New Roman" w:eastAsia="Times New Roman" w:hint="default"/>
                <w:sz w:val="18"/>
                <w:szCs w:val="18"/>
              </w:rPr>
              <w:t>“</w:t>
            </w:r>
            <w:r>
              <w:rPr>
                <w:rFonts w:ascii="宋体" w:hAnsi="宋体" w:cs="宋体" w:eastAsia="宋体" w:hint="default"/>
                <w:sz w:val="18"/>
                <w:szCs w:val="18"/>
              </w:rPr>
              <w:t>未达到计划进度或预计收益的情况和原因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20" w:right="132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10"/>
        <w:gridCol w:w="11483"/>
      </w:tblGrid>
      <w:tr>
        <w:trPr>
          <w:trHeight w:val="377" w:hRule="exact"/>
        </w:trPr>
        <w:tc>
          <w:tcPr>
            <w:tcW w:w="2410" w:type="dxa"/>
            <w:tcBorders>
              <w:top w:val="single" w:sz="15"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况说明</w:t>
            </w:r>
          </w:p>
        </w:tc>
        <w:tc>
          <w:tcPr>
            <w:tcW w:w="11483" w:type="dxa"/>
            <w:tcBorders>
              <w:top w:val="single" w:sz="15" w:space="0" w:color="000000"/>
              <w:left w:val="single" w:sz="4" w:space="0" w:color="000000"/>
              <w:bottom w:val="single" w:sz="4" w:space="0" w:color="FFFFFF"/>
              <w:right w:val="single" w:sz="4" w:space="0" w:color="000000"/>
            </w:tcBorders>
          </w:tcPr>
          <w:p>
            <w:pPr/>
          </w:p>
        </w:tc>
      </w:tr>
      <w:tr>
        <w:trPr>
          <w:trHeight w:val="403" w:hRule="exact"/>
        </w:trPr>
        <w:tc>
          <w:tcPr>
            <w:tcW w:w="241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3" w:right="34"/>
              <w:jc w:val="left"/>
              <w:rPr>
                <w:rFonts w:ascii="宋体" w:hAnsi="宋体" w:cs="宋体" w:eastAsia="宋体" w:hint="default"/>
                <w:sz w:val="18"/>
                <w:szCs w:val="18"/>
              </w:rPr>
            </w:pPr>
            <w:r>
              <w:rPr>
                <w:rFonts w:ascii="宋体" w:hAnsi="宋体" w:cs="宋体" w:eastAsia="宋体" w:hint="default"/>
                <w:sz w:val="18"/>
                <w:szCs w:val="18"/>
              </w:rPr>
              <w:t>超募资金的金额、用途及使用 进展情况</w:t>
            </w:r>
          </w:p>
        </w:tc>
        <w:tc>
          <w:tcPr>
            <w:tcW w:w="1148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z w:val="18"/>
                <w:szCs w:val="18"/>
              </w:rPr>
              <w:t>募集资金投资项目实施地点变 更情况</w:t>
            </w: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410" w:type="dxa"/>
            <w:vMerge/>
            <w:tcBorders>
              <w:left w:val="single" w:sz="4" w:space="0" w:color="000000"/>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z w:val="18"/>
                <w:szCs w:val="18"/>
              </w:rPr>
              <w:t>募集资金投资项目实施方式调 整情况</w:t>
            </w: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2410" w:type="dxa"/>
            <w:vMerge/>
            <w:tcBorders>
              <w:left w:val="single" w:sz="4" w:space="0" w:color="000000"/>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13"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日，经公司第八届董事会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年第四次临时会议、第八届监事会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年第四次临时会议，以及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时股东大会审议，同意公司募集资金投资项目结项、终止并将剩余募集资金永久补充流动资金，用于公司日常经营。</w:t>
            </w:r>
          </w:p>
        </w:tc>
      </w:tr>
      <w:tr>
        <w:trPr>
          <w:trHeight w:val="403"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z w:val="18"/>
                <w:szCs w:val="18"/>
              </w:rPr>
              <w:t>募集资金投资项目先期投入及 置换情况</w:t>
            </w: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3"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日，经公司第七届董事会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年第十一次临时会议、第七届监事会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年第八次临时会议审议，同意公司以募集资金置换预先已</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3,779.38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4"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z w:val="18"/>
                <w:szCs w:val="18"/>
              </w:rPr>
              <w:t>用闲置募集资金暂时补充流动 资金情况</w:t>
            </w: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3" w:hRule="exact"/>
        </w:trPr>
        <w:tc>
          <w:tcPr>
            <w:tcW w:w="2410" w:type="dxa"/>
            <w:vMerge/>
            <w:tcBorders>
              <w:left w:val="single" w:sz="4" w:space="0" w:color="000000"/>
              <w:bottom w:val="single" w:sz="4" w:space="0" w:color="FFFFFF"/>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7"/>
                <w:sz w:val="18"/>
                <w:szCs w:val="18"/>
              </w:rPr>
              <w:t>，</w:t>
            </w:r>
            <w:r>
              <w:rPr>
                <w:rFonts w:ascii="宋体" w:hAnsi="宋体" w:cs="宋体" w:eastAsia="宋体" w:hint="default"/>
                <w:sz w:val="18"/>
                <w:szCs w:val="18"/>
              </w:rPr>
              <w:t>经公司第七届董事会</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年第十二次临</w:t>
            </w:r>
            <w:r>
              <w:rPr>
                <w:rFonts w:ascii="宋体" w:hAnsi="宋体" w:cs="宋体" w:eastAsia="宋体" w:hint="default"/>
                <w:spacing w:val="-3"/>
                <w:sz w:val="18"/>
                <w:szCs w:val="18"/>
              </w:rPr>
              <w:t>时</w:t>
            </w:r>
            <w:r>
              <w:rPr>
                <w:rFonts w:ascii="宋体" w:hAnsi="宋体" w:cs="宋体" w:eastAsia="宋体" w:hint="default"/>
                <w:sz w:val="18"/>
                <w:szCs w:val="18"/>
              </w:rPr>
              <w:t>会议</w:t>
            </w:r>
            <w:r>
              <w:rPr>
                <w:rFonts w:ascii="宋体" w:hAnsi="宋体" w:cs="宋体" w:eastAsia="宋体" w:hint="default"/>
                <w:spacing w:val="-77"/>
                <w:sz w:val="18"/>
                <w:szCs w:val="18"/>
              </w:rPr>
              <w:t>、</w:t>
            </w:r>
            <w:r>
              <w:rPr>
                <w:rFonts w:ascii="宋体" w:hAnsi="宋体" w:cs="宋体" w:eastAsia="宋体" w:hint="default"/>
                <w:sz w:val="18"/>
                <w:szCs w:val="18"/>
              </w:rPr>
              <w:t>第七届监事会</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第</w:t>
            </w:r>
            <w:r>
              <w:rPr>
                <w:rFonts w:ascii="宋体" w:hAnsi="宋体" w:cs="宋体" w:eastAsia="宋体" w:hint="default"/>
                <w:sz w:val="18"/>
                <w:szCs w:val="18"/>
              </w:rPr>
              <w:t>九次临时会议审议</w:t>
            </w:r>
            <w:r>
              <w:rPr>
                <w:rFonts w:ascii="宋体" w:hAnsi="宋体" w:cs="宋体" w:eastAsia="宋体" w:hint="default"/>
                <w:spacing w:val="-77"/>
                <w:sz w:val="18"/>
                <w:szCs w:val="18"/>
              </w:rPr>
              <w:t>，</w:t>
            </w:r>
            <w:r>
              <w:rPr>
                <w:rFonts w:ascii="宋体" w:hAnsi="宋体" w:cs="宋体" w:eastAsia="宋体" w:hint="default"/>
                <w:sz w:val="18"/>
                <w:szCs w:val="18"/>
              </w:rPr>
              <w:t>同意使用部分闲置募集资金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万元暂时补充流动资金，使用期限为自董事会审议通过之日起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403" w:hRule="exact"/>
        </w:trPr>
        <w:tc>
          <w:tcPr>
            <w:tcW w:w="241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3" w:right="34"/>
              <w:jc w:val="left"/>
              <w:rPr>
                <w:rFonts w:ascii="宋体" w:hAnsi="宋体" w:cs="宋体" w:eastAsia="宋体" w:hint="default"/>
                <w:sz w:val="18"/>
                <w:szCs w:val="18"/>
              </w:rPr>
            </w:pPr>
            <w:r>
              <w:rPr>
                <w:rFonts w:ascii="宋体" w:hAnsi="宋体" w:cs="宋体" w:eastAsia="宋体" w:hint="default"/>
                <w:sz w:val="18"/>
                <w:szCs w:val="18"/>
              </w:rPr>
              <w:t>项目实施出现募集资金结余的 金额及原因</w:t>
            </w:r>
          </w:p>
        </w:tc>
        <w:tc>
          <w:tcPr>
            <w:tcW w:w="1148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14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尚未使用的募集资金用途及去 向</w:t>
            </w: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募集资金使用及披露中存在的 问题或其他情况</w:t>
            </w:r>
          </w:p>
        </w:tc>
        <w:tc>
          <w:tcPr>
            <w:tcW w:w="1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参见上述</w:t>
            </w:r>
            <w:r>
              <w:rPr>
                <w:rFonts w:ascii="Times New Roman" w:hAnsi="Times New Roman" w:cs="Times New Roman" w:eastAsia="Times New Roman" w:hint="default"/>
                <w:sz w:val="18"/>
                <w:szCs w:val="18"/>
              </w:rPr>
              <w:t>“</w:t>
            </w:r>
            <w:r>
              <w:rPr>
                <w:rFonts w:ascii="宋体" w:hAnsi="宋体" w:cs="宋体" w:eastAsia="宋体" w:hint="default"/>
                <w:sz w:val="18"/>
                <w:szCs w:val="18"/>
              </w:rPr>
              <w:t>未达到计划进度或预计收益的情况和原因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120" w:right="0"/>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320" w:right="132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0" w:right="234"/>
        <w:jc w:val="right"/>
      </w:pPr>
      <w:r>
        <w:rPr/>
        <w:t>单位：万元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702"/>
        <w:gridCol w:w="2162"/>
        <w:gridCol w:w="1239"/>
        <w:gridCol w:w="1277"/>
        <w:gridCol w:w="1277"/>
        <w:gridCol w:w="1274"/>
        <w:gridCol w:w="1560"/>
        <w:gridCol w:w="956"/>
        <w:gridCol w:w="958"/>
        <w:gridCol w:w="1488"/>
      </w:tblGrid>
      <w:tr>
        <w:trPr>
          <w:trHeight w:val="1027"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4"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5" w:right="0"/>
              <w:jc w:val="left"/>
              <w:rPr>
                <w:rFonts w:ascii="宋体" w:hAnsi="宋体" w:cs="宋体" w:eastAsia="宋体" w:hint="default"/>
                <w:sz w:val="18"/>
                <w:szCs w:val="18"/>
              </w:rPr>
            </w:pPr>
            <w:r>
              <w:rPr>
                <w:rFonts w:ascii="宋体" w:hAnsi="宋体" w:cs="宋体" w:eastAsia="宋体" w:hint="default"/>
                <w:sz w:val="18"/>
                <w:szCs w:val="18"/>
              </w:rPr>
              <w:t>对应的原承诺项目</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4"/>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变更后项目拟 投入募集资金 总额</w:t>
            </w:r>
            <w:r>
              <w:rPr>
                <w:rFonts w:ascii="Times New Roman" w:hAnsi="Times New Roman" w:cs="Times New Roman" w:eastAsia="Times New Roman"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本报告期实际 投入金额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93" w:right="9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截至期末实际 累计投入金额 </w:t>
            </w:r>
            <w:r>
              <w:rPr>
                <w:rFonts w:ascii="Times New Roman" w:hAnsi="Times New Roman" w:cs="Times New Roman" w:eastAsia="Times New Roman" w:hint="default"/>
                <w:sz w:val="18"/>
                <w:szCs w:val="18"/>
              </w:rPr>
              <w:t>(2)</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58" w:firstLine="31"/>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截至期末投资 进度</w:t>
            </w:r>
            <w:r>
              <w:rPr>
                <w:rFonts w:ascii="Times New Roman" w:hAnsi="Times New Roman" w:cs="Times New Roman" w:eastAsia="Times New Roman" w:hint="default"/>
                <w:sz w:val="18"/>
                <w:szCs w:val="18"/>
              </w:rPr>
              <w:t>(3)=(2)/(1)</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23" w:right="53"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22"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7"/>
              <w:jc w:val="center"/>
              <w:rPr>
                <w:rFonts w:ascii="宋体" w:hAnsi="宋体" w:cs="宋体" w:eastAsia="宋体" w:hint="default"/>
                <w:sz w:val="18"/>
                <w:szCs w:val="18"/>
              </w:rPr>
            </w:pPr>
            <w:r>
              <w:rPr>
                <w:rFonts w:ascii="宋体" w:hAnsi="宋体" w:cs="宋体" w:eastAsia="宋体" w:hint="default"/>
                <w:sz w:val="18"/>
                <w:szCs w:val="18"/>
              </w:rPr>
              <w:t>变更后的项目可 行性是否发生重 大变化</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智慧企业孵化云平台</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智慧企业孵化云平台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70,591.65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2,466.08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68,106.21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4"/>
              <w:jc w:val="left"/>
              <w:rPr>
                <w:rFonts w:ascii="宋体" w:hAnsi="宋体" w:cs="宋体" w:eastAsia="宋体" w:hint="default"/>
                <w:sz w:val="18"/>
                <w:szCs w:val="18"/>
              </w:rPr>
            </w:pPr>
            <w:r>
              <w:rPr>
                <w:rFonts w:ascii="宋体" w:hAnsi="宋体" w:cs="宋体" w:eastAsia="宋体" w:hint="default"/>
                <w:spacing w:val="-5"/>
                <w:sz w:val="18"/>
                <w:szCs w:val="18"/>
              </w:rPr>
              <w:t>智慧企业孵化云平台、企业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大数据中心平台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30,662.1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30,662.1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30,662.1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101,253.75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33,128.18</w:t>
            </w:r>
          </w:p>
        </w:tc>
        <w:tc>
          <w:tcPr>
            <w:tcW w:w="1277"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98,768.31</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227" w:hRule="exact"/>
        </w:trPr>
        <w:tc>
          <w:tcPr>
            <w:tcW w:w="5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8790"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、为了提高募集资金使用效率，加快募集资金投资项目建设，公司在保持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智慧企业孵化云平台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项目投资额不</w:t>
            </w:r>
            <w:r>
              <w:rPr>
                <w:rFonts w:ascii="宋体" w:hAnsi="宋体" w:cs="宋体" w:eastAsia="宋体" w:hint="default"/>
                <w:spacing w:val="-59"/>
                <w:sz w:val="18"/>
                <w:szCs w:val="18"/>
              </w:rPr>
              <w:t> </w:t>
            </w:r>
            <w:r>
              <w:rPr>
                <w:rFonts w:ascii="宋体" w:hAnsi="宋体" w:cs="宋体" w:eastAsia="宋体" w:hint="default"/>
                <w:sz w:val="18"/>
                <w:szCs w:val="18"/>
              </w:rPr>
              <w:t>变的情况下，拟变更该项目线下服务体系的实施方式。由自建方式变更为企业管家根据项目建设进度，通过增 资或收购标的企业以控股的形式建设线下服务网点，进一步保障企业互联网服务线上线下有效结合。</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p>
            <w:pPr>
              <w:pStyle w:val="TableParagraph"/>
              <w:spacing w:line="240" w:lineRule="auto" w:before="5"/>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日，经公司第七届董事会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年第五次临时会议、第七届监事会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年第五次临时会议，以及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309"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日召开的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年第二次临时股东大会审议，同意变更募集资金投资项目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智慧企业孵化云平台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线下服务体系的 </w:t>
            </w:r>
            <w:r>
              <w:rPr>
                <w:rFonts w:ascii="宋体" w:hAnsi="宋体" w:cs="宋体" w:eastAsia="宋体" w:hint="default"/>
                <w:spacing w:val="-2"/>
                <w:sz w:val="18"/>
                <w:szCs w:val="18"/>
              </w:rPr>
              <w:t>实施方式，由自建方式变更为企业管家通过增资方式对霍尔果斯易桥快马企业管理咨询有限公司进行股权并购，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进一步保障企业互联网服务线上线下有效结合。企业管家以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亿元人民币对霍尔果斯易桥快马企业管理咨询有</w:t>
            </w:r>
          </w:p>
          <w:p>
            <w:pPr>
              <w:pStyle w:val="TableParagraph"/>
              <w:spacing w:line="300" w:lineRule="auto" w:before="5"/>
              <w:ind w:left="24" w:right="111"/>
              <w:jc w:val="both"/>
              <w:rPr>
                <w:rFonts w:ascii="宋体" w:hAnsi="宋体" w:cs="宋体" w:eastAsia="宋体" w:hint="default"/>
                <w:sz w:val="18"/>
                <w:szCs w:val="18"/>
              </w:rPr>
            </w:pPr>
            <w:r>
              <w:rPr>
                <w:rFonts w:ascii="宋体" w:hAnsi="宋体" w:cs="宋体" w:eastAsia="宋体" w:hint="default"/>
                <w:sz w:val="18"/>
                <w:szCs w:val="18"/>
              </w:rPr>
              <w:t>限公司进行增资（其中：使用募集资金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29,700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万元，自有资金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万元），增资后企业管家持有霍尔果斯易桥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快马企业管理咨询有限公司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股权。霍尔果斯易桥快马企业管理咨询有限公司将使用本次增资价款及自有资 金进一步对全国优秀企业服务商进行整合并购。</w:t>
            </w:r>
          </w:p>
          <w:p>
            <w:pPr>
              <w:pStyle w:val="TableParagraph"/>
              <w:spacing w:line="240" w:lineRule="auto" w:before="1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日，经公司第八届董事会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年第四次临时会议、第八届监事会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年第四次临时会议，以</w:t>
            </w:r>
          </w:p>
          <w:p>
            <w:pPr>
              <w:pStyle w:val="TableParagraph"/>
              <w:spacing w:line="300" w:lineRule="auto" w:before="60"/>
              <w:ind w:left="24" w:right="20"/>
              <w:jc w:val="both"/>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年第一次临时股东大会审议，同意公司募集资金投资项目结项、终止并将剩余募集资金</w:t>
            </w:r>
            <w:r>
              <w:rPr>
                <w:rFonts w:ascii="宋体" w:hAnsi="宋体" w:cs="宋体" w:eastAsia="宋体" w:hint="default"/>
                <w:sz w:val="18"/>
                <w:szCs w:val="18"/>
              </w:rPr>
              <w:t> 永久补充流动资金，用于公司日常经营。</w:t>
            </w:r>
          </w:p>
        </w:tc>
      </w:tr>
      <w:tr>
        <w:trPr>
          <w:trHeight w:val="401" w:hRule="exact"/>
        </w:trPr>
        <w:tc>
          <w:tcPr>
            <w:tcW w:w="5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87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5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87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300"/>
        </w:sectPr>
      </w:pPr>
    </w:p>
    <w:p>
      <w:pPr>
        <w:pStyle w:val="Heading2"/>
        <w:spacing w:line="240" w:lineRule="auto" w:before="28"/>
        <w:ind w:left="460" w:right="0"/>
        <w:jc w:val="left"/>
        <w:rPr>
          <w:b w:val="0"/>
          <w:bCs w:val="0"/>
        </w:rPr>
      </w:pPr>
      <w:r>
        <w:rPr/>
        <w:pict>
          <v:group style="position:absolute;margin-left:70.559998pt;margin-top:2.195603pt;width:700.9pt;height:.1pt;mso-position-horizontal-relative:page;mso-position-vertical-relative:paragraph;z-index:-1013536" coordorigin="1411,44" coordsize="14018,2">
            <v:shape style="position:absolute;left:1411;top:44;width:14018;height:2" coordorigin="1411,44" coordsize="14018,0" path="m1411,44l15429,44e" filled="false" stroked="true" strokeweight=".72pt" strokecolor="#000000">
              <v:path arrowok="t"/>
            </v:shape>
            <w10:wrap type="none"/>
          </v:group>
        </w:pict>
      </w:r>
      <w:bookmarkStart w:name="六、重大资产和股权出售" w:id="55"/>
      <w:bookmarkEnd w:id="55"/>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460" w:right="0"/>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460" w:right="120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left="460" w:right="0"/>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85"/>
        <w:gridCol w:w="994"/>
        <w:gridCol w:w="682"/>
        <w:gridCol w:w="877"/>
        <w:gridCol w:w="1327"/>
        <w:gridCol w:w="850"/>
        <w:gridCol w:w="1443"/>
        <w:gridCol w:w="684"/>
        <w:gridCol w:w="682"/>
        <w:gridCol w:w="684"/>
        <w:gridCol w:w="684"/>
        <w:gridCol w:w="1429"/>
        <w:gridCol w:w="682"/>
        <w:gridCol w:w="1651"/>
      </w:tblGrid>
      <w:tr>
        <w:trPr>
          <w:trHeight w:val="165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7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9"/>
              <w:jc w:val="center"/>
              <w:rPr>
                <w:rFonts w:ascii="宋体" w:hAnsi="宋体" w:cs="宋体" w:eastAsia="宋体" w:hint="default"/>
                <w:sz w:val="18"/>
                <w:szCs w:val="18"/>
              </w:rPr>
            </w:pPr>
            <w:r>
              <w:rPr>
                <w:rFonts w:ascii="宋体" w:hAnsi="宋体" w:cs="宋体" w:eastAsia="宋体" w:hint="default"/>
                <w:sz w:val="18"/>
                <w:szCs w:val="18"/>
              </w:rPr>
              <w:t>本期初起至出售 日该股权为上市 公司贡献的净利 润（万元）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57" w:right="60"/>
              <w:jc w:val="left"/>
              <w:rPr>
                <w:rFonts w:ascii="宋体" w:hAnsi="宋体" w:cs="宋体" w:eastAsia="宋体" w:hint="default"/>
                <w:sz w:val="18"/>
                <w:szCs w:val="18"/>
              </w:rPr>
            </w:pPr>
            <w:r>
              <w:rPr>
                <w:rFonts w:ascii="宋体" w:hAnsi="宋体" w:cs="宋体" w:eastAsia="宋体" w:hint="default"/>
                <w:sz w:val="18"/>
                <w:szCs w:val="18"/>
              </w:rPr>
              <w:t>出售对公 司的影响</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6" w:right="84"/>
              <w:jc w:val="center"/>
              <w:rPr>
                <w:rFonts w:ascii="宋体" w:hAnsi="宋体" w:cs="宋体" w:eastAsia="宋体" w:hint="default"/>
                <w:sz w:val="18"/>
                <w:szCs w:val="18"/>
              </w:rPr>
            </w:pPr>
            <w:r>
              <w:rPr>
                <w:rFonts w:ascii="宋体" w:hAnsi="宋体" w:cs="宋体" w:eastAsia="宋体" w:hint="default"/>
                <w:sz w:val="18"/>
                <w:szCs w:val="18"/>
              </w:rPr>
              <w:t>股权出售为上市 公司贡献的净利 润占净利润总额 的比例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7"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4"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1" w:right="22" w:hanging="3"/>
              <w:jc w:val="center"/>
              <w:rPr>
                <w:rFonts w:ascii="宋体" w:hAnsi="宋体" w:cs="宋体" w:eastAsia="宋体" w:hint="default"/>
                <w:sz w:val="18"/>
                <w:szCs w:val="18"/>
              </w:rPr>
            </w:pPr>
            <w:r>
              <w:rPr>
                <w:rFonts w:ascii="宋体" w:hAnsi="宋体" w:cs="宋体" w:eastAsia="宋体" w:hint="default"/>
                <w:sz w:val="18"/>
                <w:szCs w:val="18"/>
              </w:rPr>
              <w:t>是否按计划如期 </w:t>
            </w:r>
            <w:r>
              <w:rPr>
                <w:rFonts w:ascii="宋体" w:hAnsi="宋体" w:cs="宋体" w:eastAsia="宋体" w:hint="default"/>
                <w:spacing w:val="-9"/>
                <w:sz w:val="18"/>
                <w:szCs w:val="18"/>
              </w:rPr>
              <w:t>实施，如未按计划</w:t>
            </w:r>
            <w:r>
              <w:rPr>
                <w:rFonts w:ascii="宋体" w:hAnsi="宋体" w:cs="宋体" w:eastAsia="宋体" w:hint="default"/>
                <w:sz w:val="18"/>
                <w:szCs w:val="18"/>
              </w:rPr>
              <w:t> </w:t>
            </w:r>
            <w:r>
              <w:rPr>
                <w:rFonts w:ascii="宋体" w:hAnsi="宋体" w:cs="宋体" w:eastAsia="宋体" w:hint="default"/>
                <w:spacing w:val="-9"/>
                <w:sz w:val="18"/>
                <w:szCs w:val="18"/>
              </w:rPr>
              <w:t>实施，应当说明原</w:t>
            </w:r>
            <w:r>
              <w:rPr>
                <w:rFonts w:ascii="宋体" w:hAnsi="宋体" w:cs="宋体" w:eastAsia="宋体" w:hint="default"/>
                <w:sz w:val="18"/>
                <w:szCs w:val="18"/>
              </w:rPr>
              <w:t> 因及公司已采取 的措施</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z w:val="18"/>
                <w:szCs w:val="18"/>
              </w:rPr>
              <w:t>霍尔果斯神州易桥股权 投资合伙企业（有限合 </w:t>
            </w:r>
            <w:r>
              <w:rPr>
                <w:rFonts w:ascii="宋体" w:hAnsi="宋体" w:cs="宋体" w:eastAsia="宋体" w:hint="default"/>
                <w:spacing w:val="-5"/>
                <w:sz w:val="18"/>
                <w:szCs w:val="18"/>
              </w:rPr>
              <w:t>伙）与终端资产各合伙人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快马财税子 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51,145.59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财务状况 更加合理</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公平市 场原则</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pacing w:val="-9"/>
                <w:sz w:val="18"/>
                <w:szCs w:val="18"/>
              </w:rPr>
              <w:t>部分已完成，部分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在办理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《关于子公司签署</w:t>
            </w:r>
            <w:r>
              <w:rPr>
                <w:rFonts w:ascii="Times New Roman" w:hAnsi="Times New Roman" w:cs="Times New Roman" w:eastAsia="Times New Roman" w:hint="default"/>
                <w:sz w:val="18"/>
                <w:szCs w:val="18"/>
              </w:rPr>
              <w:t>&lt; </w:t>
            </w:r>
            <w:r>
              <w:rPr>
                <w:rFonts w:ascii="宋体" w:hAnsi="宋体" w:cs="宋体" w:eastAsia="宋体" w:hint="default"/>
                <w:sz w:val="18"/>
                <w:szCs w:val="18"/>
              </w:rPr>
              <w:t>终止合作协议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 </w:t>
            </w:r>
            <w:r>
              <w:rPr>
                <w:rFonts w:ascii="宋体" w:hAnsi="宋体" w:cs="宋体" w:eastAsia="宋体" w:hint="default"/>
                <w:spacing w:val="-13"/>
                <w:sz w:val="18"/>
                <w:szCs w:val="18"/>
              </w:rPr>
              <w:t>告》（</w:t>
            </w:r>
            <w:r>
              <w:rPr>
                <w:rFonts w:ascii="Times New Roman" w:hAnsi="Times New Roman" w:cs="Times New Roman" w:eastAsia="Times New Roman" w:hint="default"/>
                <w:spacing w:val="-13"/>
                <w:sz w:val="18"/>
                <w:szCs w:val="18"/>
              </w:rPr>
              <w:t>2019-079</w:t>
            </w:r>
            <w:r>
              <w:rPr>
                <w:rFonts w:ascii="宋体" w:hAnsi="宋体" w:cs="宋体" w:eastAsia="宋体" w:hint="default"/>
                <w:spacing w:val="-13"/>
                <w:sz w:val="18"/>
                <w:szCs w:val="18"/>
              </w:rPr>
              <w:t>）刊载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于《中国证券报》、</w:t>
            </w:r>
          </w:p>
          <w:p>
            <w:pPr>
              <w:pStyle w:val="TableParagraph"/>
              <w:spacing w:line="316" w:lineRule="auto" w:before="31"/>
              <w:ind w:left="24" w:right="19"/>
              <w:jc w:val="both"/>
              <w:rPr>
                <w:rFonts w:ascii="宋体" w:hAnsi="宋体" w:cs="宋体" w:eastAsia="宋体" w:hint="default"/>
                <w:sz w:val="18"/>
                <w:szCs w:val="18"/>
              </w:rPr>
            </w:pPr>
            <w:r>
              <w:rPr>
                <w:rFonts w:ascii="宋体" w:hAnsi="宋体" w:cs="宋体" w:eastAsia="宋体" w:hint="default"/>
                <w:spacing w:val="-21"/>
                <w:sz w:val="18"/>
                <w:szCs w:val="18"/>
              </w:rPr>
              <w:t>《证券时报》、《证券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日报》和巨潮资讯网</w:t>
            </w:r>
          </w:p>
        </w:tc>
      </w:tr>
      <w:tr>
        <w:trPr>
          <w:trHeight w:val="10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z w:val="18"/>
                <w:szCs w:val="18"/>
              </w:rPr>
              <w:t>霍尔果斯神州易桥股权 投资合伙企业（有限合 </w:t>
            </w:r>
            <w:r>
              <w:rPr>
                <w:rFonts w:ascii="宋体" w:hAnsi="宋体" w:cs="宋体" w:eastAsia="宋体" w:hint="default"/>
                <w:spacing w:val="-5"/>
                <w:sz w:val="18"/>
                <w:szCs w:val="18"/>
              </w:rPr>
              <w:t>伙）与终端资产各合伙人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快马咨询子 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8,380.42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-2,678.34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96"/>
              <w:jc w:val="left"/>
              <w:rPr>
                <w:rFonts w:ascii="宋体" w:hAnsi="宋体" w:cs="宋体" w:eastAsia="宋体" w:hint="default"/>
                <w:sz w:val="18"/>
                <w:szCs w:val="18"/>
              </w:rPr>
            </w:pPr>
            <w:r>
              <w:rPr>
                <w:rFonts w:ascii="宋体" w:hAnsi="宋体" w:cs="宋体" w:eastAsia="宋体" w:hint="default"/>
                <w:sz w:val="18"/>
                <w:szCs w:val="18"/>
              </w:rPr>
              <w:t>财务状况 更加合理</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08"/>
              <w:jc w:val="left"/>
              <w:rPr>
                <w:rFonts w:ascii="宋体" w:hAnsi="宋体" w:cs="宋体" w:eastAsia="宋体" w:hint="default"/>
                <w:sz w:val="18"/>
                <w:szCs w:val="18"/>
              </w:rPr>
            </w:pPr>
            <w:r>
              <w:rPr>
                <w:rFonts w:ascii="宋体" w:hAnsi="宋体" w:cs="宋体" w:eastAsia="宋体" w:hint="default"/>
                <w:sz w:val="18"/>
                <w:szCs w:val="18"/>
              </w:rPr>
              <w:t>公平市 场原则</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22"/>
              <w:jc w:val="left"/>
              <w:rPr>
                <w:rFonts w:ascii="宋体" w:hAnsi="宋体" w:cs="宋体" w:eastAsia="宋体" w:hint="default"/>
                <w:sz w:val="18"/>
                <w:szCs w:val="18"/>
              </w:rPr>
            </w:pPr>
            <w:r>
              <w:rPr>
                <w:rFonts w:ascii="宋体" w:hAnsi="宋体" w:cs="宋体" w:eastAsia="宋体" w:hint="default"/>
                <w:spacing w:val="-9"/>
                <w:sz w:val="18"/>
                <w:szCs w:val="18"/>
              </w:rPr>
              <w:t>部分已完成，部分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在办理</w:t>
            </w:r>
          </w:p>
        </w:tc>
        <w:tc>
          <w:tcPr>
            <w:tcW w:w="682"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left="460" w:right="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460" w:right="0"/>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after="0" w:line="240" w:lineRule="auto"/>
        <w:jc w:val="left"/>
        <w:sectPr>
          <w:pgSz w:w="16840" w:h="11910" w:orient="landscape"/>
          <w:pgMar w:header="867" w:footer="980" w:top="1060" w:bottom="1160" w:left="980" w:right="980"/>
        </w:sectPr>
      </w:pPr>
    </w:p>
    <w:p>
      <w:pPr>
        <w:spacing w:line="240" w:lineRule="auto" w:before="11"/>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0" w:right="314"/>
        <w:jc w:val="right"/>
      </w:pPr>
      <w:r>
        <w:rPr/>
        <w:t>单位：元</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560"/>
        <w:gridCol w:w="1195"/>
        <w:gridCol w:w="2914"/>
        <w:gridCol w:w="1418"/>
        <w:gridCol w:w="1416"/>
        <w:gridCol w:w="1418"/>
        <w:gridCol w:w="1419"/>
        <w:gridCol w:w="1416"/>
        <w:gridCol w:w="1418"/>
      </w:tblGrid>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2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86"/>
              <w:jc w:val="left"/>
              <w:rPr>
                <w:rFonts w:ascii="宋体" w:hAnsi="宋体" w:cs="宋体" w:eastAsia="宋体" w:hint="default"/>
                <w:sz w:val="18"/>
                <w:szCs w:val="18"/>
              </w:rPr>
            </w:pPr>
            <w:r>
              <w:rPr>
                <w:rFonts w:ascii="宋体" w:hAnsi="宋体" w:cs="宋体" w:eastAsia="宋体" w:hint="default"/>
                <w:sz w:val="18"/>
                <w:szCs w:val="18"/>
              </w:rPr>
              <w:t>青海宁达创业投资 有限责任公司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代理其他创业投资企业机</w:t>
            </w:r>
            <w:r>
              <w:rPr>
                <w:rFonts w:ascii="宋体" w:hAnsi="宋体" w:cs="宋体" w:eastAsia="宋体" w:hint="default"/>
                <w:spacing w:val="1"/>
                <w:sz w:val="18"/>
                <w:szCs w:val="18"/>
              </w:rPr>
              <w:t> </w:t>
            </w:r>
            <w:r>
              <w:rPr>
                <w:rFonts w:ascii="宋体" w:hAnsi="宋体" w:cs="宋体" w:eastAsia="宋体" w:hint="default"/>
                <w:sz w:val="18"/>
                <w:szCs w:val="18"/>
              </w:rPr>
              <w:t>构或个人</w:t>
            </w:r>
            <w:r>
              <w:rPr>
                <w:rFonts w:ascii="宋体" w:hAnsi="宋体" w:cs="宋体" w:eastAsia="宋体" w:hint="default"/>
                <w:sz w:val="18"/>
                <w:szCs w:val="18"/>
              </w:rPr>
              <w:t> 的投资业务、创业</w:t>
            </w:r>
            <w:r>
              <w:rPr>
                <w:rFonts w:ascii="宋体" w:hAnsi="宋体" w:cs="宋体" w:eastAsia="宋体" w:hint="default"/>
                <w:spacing w:val="1"/>
                <w:sz w:val="18"/>
                <w:szCs w:val="18"/>
              </w:rPr>
              <w:t> </w:t>
            </w:r>
            <w:r>
              <w:rPr>
                <w:rFonts w:ascii="宋体" w:hAnsi="宋体" w:cs="宋体" w:eastAsia="宋体" w:hint="default"/>
                <w:sz w:val="18"/>
                <w:szCs w:val="18"/>
              </w:rPr>
              <w:t>投资咨询业务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58,890,000.00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47,412,506.61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43,899,805.62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489,042.33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489,522.33</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7"/>
              <w:jc w:val="left"/>
              <w:rPr>
                <w:rFonts w:ascii="宋体" w:hAnsi="宋体" w:cs="宋体" w:eastAsia="宋体" w:hint="default"/>
                <w:sz w:val="18"/>
                <w:szCs w:val="18"/>
              </w:rPr>
            </w:pPr>
            <w:r>
              <w:rPr>
                <w:rFonts w:ascii="宋体" w:hAnsi="宋体" w:cs="宋体" w:eastAsia="宋体" w:hint="default"/>
                <w:sz w:val="18"/>
                <w:szCs w:val="18"/>
              </w:rPr>
              <w:t>神州易桥（北京） 财税科技有限公司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2"/>
                <w:sz w:val="18"/>
                <w:szCs w:val="18"/>
              </w:rPr>
              <w:t>软件服务，技术开发、服务、咨询等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411,222,780.00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1,082,034,172.41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532,813,163.93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1,687,704,282.75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-72,924,530.41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-76,349,036.78</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6"/>
              <w:jc w:val="left"/>
              <w:rPr>
                <w:rFonts w:ascii="宋体" w:hAnsi="宋体" w:cs="宋体" w:eastAsia="宋体" w:hint="default"/>
                <w:sz w:val="18"/>
                <w:szCs w:val="18"/>
              </w:rPr>
            </w:pPr>
            <w:r>
              <w:rPr>
                <w:rFonts w:ascii="宋体" w:hAnsi="宋体" w:cs="宋体" w:eastAsia="宋体" w:hint="default"/>
                <w:sz w:val="18"/>
                <w:szCs w:val="18"/>
              </w:rPr>
              <w:t>企业管家（北京） 科技服务有限公司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2"/>
                <w:sz w:val="18"/>
                <w:szCs w:val="18"/>
              </w:rPr>
              <w:t>软件服务，技术开发、服务、咨询等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555,285,090.10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375,109,679.34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56,945,324.13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-235,353,733.45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-256,924,999.51</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7"/>
              <w:jc w:val="left"/>
              <w:rPr>
                <w:rFonts w:ascii="宋体" w:hAnsi="宋体" w:cs="宋体" w:eastAsia="宋体" w:hint="default"/>
                <w:sz w:val="18"/>
                <w:szCs w:val="18"/>
              </w:rPr>
            </w:pPr>
            <w:r>
              <w:rPr>
                <w:rFonts w:ascii="宋体" w:hAnsi="宋体" w:cs="宋体" w:eastAsia="宋体" w:hint="default"/>
                <w:sz w:val="18"/>
                <w:szCs w:val="18"/>
              </w:rPr>
              <w:t>北京办饭餐饮管理 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餐饮服务、企业管理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2,599,949.92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-5,341,176.14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2,087,269.75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-2,238,164.67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-2,238,164.67</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87"/>
              <w:jc w:val="left"/>
              <w:rPr>
                <w:rFonts w:ascii="宋体" w:hAnsi="宋体" w:cs="宋体" w:eastAsia="宋体" w:hint="default"/>
                <w:sz w:val="18"/>
                <w:szCs w:val="18"/>
              </w:rPr>
            </w:pPr>
            <w:r>
              <w:rPr>
                <w:rFonts w:ascii="宋体" w:hAnsi="宋体" w:cs="宋体" w:eastAsia="宋体" w:hint="default"/>
                <w:sz w:val="18"/>
                <w:szCs w:val="18"/>
              </w:rPr>
              <w:t>霍尔果斯快马财税 管理服务有限公司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2"/>
                <w:sz w:val="18"/>
                <w:szCs w:val="18"/>
              </w:rPr>
              <w:t>软件服务，技术开发、服务、咨询等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1,556,065,876.15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1,077,661,799.99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276,643,293.68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-26,488,979.00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-181,761,568.98</w:t>
            </w:r>
          </w:p>
        </w:tc>
      </w:tr>
    </w:tbl>
    <w:p>
      <w:pPr>
        <w:pStyle w:val="BodyText"/>
        <w:spacing w:line="240" w:lineRule="auto" w:before="49"/>
        <w:ind w:left="220" w:right="0"/>
        <w:jc w:val="left"/>
      </w:pPr>
      <w:r>
        <w:rPr/>
        <w:t>报告期内取得和处置子公司的情况</w:t>
      </w:r>
    </w:p>
    <w:p>
      <w:pPr>
        <w:pStyle w:val="BodyText"/>
        <w:spacing w:line="240" w:lineRule="auto" w:before="117"/>
        <w:ind w:left="2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215" w:type="dxa"/>
        <w:tblLayout w:type="fixed"/>
        <w:tblCellMar>
          <w:top w:w="0" w:type="dxa"/>
          <w:left w:w="0" w:type="dxa"/>
          <w:bottom w:w="0" w:type="dxa"/>
          <w:right w:w="0" w:type="dxa"/>
        </w:tblCellMar>
        <w:tblLook w:val="01E0"/>
      </w:tblPr>
      <w:tblGrid>
        <w:gridCol w:w="3188"/>
        <w:gridCol w:w="3193"/>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快马财税旗下部分终端资产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财务状况更加合理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快马咨询旗下部分终端资产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财务状况更加合理</w:t>
            </w:r>
          </w:p>
        </w:tc>
      </w:tr>
    </w:tbl>
    <w:p>
      <w:pPr>
        <w:pStyle w:val="BodyText"/>
        <w:spacing w:line="240" w:lineRule="auto" w:before="49"/>
        <w:ind w:left="220" w:right="0"/>
        <w:jc w:val="left"/>
      </w:pPr>
      <w:r>
        <w:rPr/>
        <w:t>主要控股参股公司情况说明</w:t>
      </w:r>
    </w:p>
    <w:p>
      <w:pPr>
        <w:pStyle w:val="BodyText"/>
        <w:spacing w:line="240" w:lineRule="auto" w:before="115"/>
        <w:ind w:left="220" w:right="0"/>
        <w:jc w:val="left"/>
      </w:pPr>
      <w:r>
        <w:rPr>
          <w:rFonts w:ascii="Times New Roman" w:hAnsi="Times New Roman" w:cs="Times New Roman" w:eastAsia="Times New Roman" w:hint="default"/>
        </w:rPr>
        <w:t>1</w:t>
      </w:r>
      <w:r>
        <w:rPr/>
        <w:t>、本年度孙公司快马咨询、霍尔果斯神州易桥股权投资合伙企业（有限合伙）与终端资产原股东签署了《终止合作协议》等原因，本年度处置子公司</w:t>
      </w:r>
      <w:r>
        <w:rPr>
          <w:rFonts w:ascii="Times New Roman" w:hAnsi="Times New Roman" w:cs="Times New Roman" w:eastAsia="Times New Roman" w:hint="default"/>
        </w:rPr>
        <w:t>6</w:t>
      </w:r>
      <w:r>
        <w:rPr/>
        <w:t>家。</w:t>
      </w:r>
    </w:p>
    <w:p>
      <w:pPr>
        <w:pStyle w:val="BodyText"/>
        <w:spacing w:line="240" w:lineRule="auto" w:before="103"/>
        <w:ind w:left="220" w:right="0"/>
        <w:jc w:val="left"/>
      </w:pPr>
      <w:r>
        <w:rPr>
          <w:rFonts w:ascii="Times New Roman" w:hAnsi="Times New Roman" w:cs="Times New Roman" w:eastAsia="Times New Roman" w:hint="default"/>
        </w:rPr>
        <w:t>2</w:t>
      </w:r>
      <w:r>
        <w:rPr/>
        <w:t>、本年度子公司快马财税、霍尔果斯神州易桥股权投资合伙企业（有限合伙）与终端资产原股东签署了《终止合作协议》等原因，本年度处置子公司</w:t>
      </w:r>
      <w:r>
        <w:rPr>
          <w:rFonts w:ascii="Times New Roman" w:hAnsi="Times New Roman" w:cs="Times New Roman" w:eastAsia="Times New Roman" w:hint="default"/>
        </w:rPr>
        <w:t>26</w:t>
      </w:r>
      <w:r>
        <w:rPr/>
        <w:t>家。</w:t>
      </w:r>
    </w:p>
    <w:p>
      <w:pPr>
        <w:spacing w:line="240" w:lineRule="auto" w:before="3"/>
        <w:rPr>
          <w:rFonts w:ascii="宋体" w:hAnsi="宋体" w:cs="宋体" w:eastAsia="宋体" w:hint="default"/>
          <w:sz w:val="24"/>
          <w:szCs w:val="24"/>
        </w:rPr>
      </w:pPr>
    </w:p>
    <w:p>
      <w:pPr>
        <w:pStyle w:val="Heading2"/>
        <w:spacing w:line="240" w:lineRule="auto"/>
        <w:ind w:left="220" w:right="0"/>
        <w:jc w:val="left"/>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220" w:right="1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1133"/>
        <w:jc w:val="left"/>
        <w:rPr>
          <w:b w:val="0"/>
          <w:bCs w:val="0"/>
        </w:rPr>
      </w:pPr>
      <w:bookmarkStart w:name="九、公司未来发展的展望" w:id="60"/>
      <w:bookmarkEnd w:id="60"/>
      <w:r>
        <w:rPr>
          <w:b w:val="0"/>
          <w:bCs w:val="0"/>
        </w:rPr>
      </w:r>
      <w:r>
        <w:rPr/>
        <w:t>九、公司未来发展的展望</w:t>
      </w:r>
      <w:r>
        <w:rPr>
          <w:b w:val="0"/>
          <w:bCs w:val="0"/>
        </w:rPr>
      </w:r>
    </w:p>
    <w:p>
      <w:pPr>
        <w:pStyle w:val="BodyText"/>
        <w:spacing w:line="500" w:lineRule="atLeast" w:before="41"/>
        <w:ind w:left="578" w:right="1123"/>
        <w:jc w:val="left"/>
      </w:pPr>
      <w:r>
        <w:rPr/>
        <w:t>（一）行业格局和趋势 </w:t>
      </w:r>
      <w:r>
        <w:rPr>
          <w:rFonts w:ascii="宋体" w:hAnsi="宋体" w:cs="宋体" w:eastAsia="宋体" w:hint="default"/>
          <w:spacing w:val="-11"/>
        </w:rPr>
        <w:t>2019</w:t>
      </w:r>
      <w:r>
        <w:rPr>
          <w:spacing w:val="-11"/>
        </w:rPr>
        <w:t>年</w:t>
      </w:r>
      <w:r>
        <w:rPr>
          <w:rFonts w:ascii="宋体" w:hAnsi="宋体" w:cs="宋体" w:eastAsia="宋体" w:hint="default"/>
          <w:spacing w:val="-11"/>
        </w:rPr>
        <w:t>4</w:t>
      </w:r>
      <w:r>
        <w:rPr>
          <w:spacing w:val="-11"/>
        </w:rPr>
        <w:t>月，中共中央办公厅国务院办公厅印发《关于促进中小企业健康发展的指导意见》（以下简称“《指导意见》”），</w:t>
      </w:r>
      <w:r>
        <w:rPr/>
      </w:r>
    </w:p>
    <w:p>
      <w:pPr>
        <w:pStyle w:val="BodyText"/>
        <w:spacing w:line="357" w:lineRule="auto" w:before="115"/>
        <w:ind w:right="0"/>
        <w:jc w:val="left"/>
      </w:pPr>
      <w:r>
        <w:rPr>
          <w:spacing w:val="-2"/>
        </w:rPr>
        <w:t>《指导意见》指出，中小企业是国民经济和社会发展的生力军，是扩大就业、改善民生、促进创业创新的重要力量，在稳增</w:t>
      </w:r>
      <w:r>
        <w:rPr>
          <w:spacing w:val="-68"/>
        </w:rPr>
        <w:t> </w:t>
      </w:r>
      <w:r>
        <w:rPr>
          <w:spacing w:val="-68"/>
        </w:rPr>
      </w:r>
      <w:r>
        <w:rPr>
          <w:spacing w:val="-2"/>
        </w:rPr>
        <w:t>长、促改革、调结构、惠民生、防风险中发挥着重要作用。《指导意见》要求推动专业化众创空间提升服务能力，实现对创</w:t>
      </w:r>
      <w:r>
        <w:rPr>
          <w:spacing w:val="-65"/>
        </w:rPr>
        <w:t> </w:t>
      </w:r>
      <w:r>
        <w:rPr>
          <w:spacing w:val="-65"/>
        </w:rPr>
      </w:r>
      <w:r>
        <w:rPr/>
        <w:t>新创业的精准支持，推进发展“互联网</w:t>
      </w:r>
      <w:r>
        <w:rPr>
          <w:rFonts w:ascii="宋体" w:hAnsi="宋体" w:cs="宋体" w:eastAsia="宋体" w:hint="default"/>
        </w:rPr>
        <w:t>+</w:t>
      </w:r>
      <w:r>
        <w:rPr/>
        <w:t>中小企业”，鼓励大型企业及专业服务机构建设面向中小企业的云制造平台和云服 </w:t>
      </w:r>
      <w:r>
        <w:rPr>
          <w:spacing w:val="-4"/>
        </w:rPr>
        <w:t>务平台。新旧动能转换、供给侧改革、创新驱动发展战略等重大政策推进，进一步推动国民经济产业结构升级、协调、优化，</w:t>
      </w:r>
      <w:r>
        <w:rPr>
          <w:spacing w:val="-44"/>
        </w:rPr>
        <w:t> </w:t>
      </w:r>
      <w:r>
        <w:rPr>
          <w:spacing w:val="-44"/>
        </w:rPr>
      </w:r>
      <w:r>
        <w:rPr/>
        <w:t>极大促进了广大中小企业发展，形成广阔成长空间，为企业成长加速服务开启广阔前景。</w:t>
      </w:r>
    </w:p>
    <w:p>
      <w:pPr>
        <w:spacing w:line="240" w:lineRule="auto" w:before="13"/>
        <w:rPr>
          <w:rFonts w:ascii="宋体" w:hAnsi="宋体" w:cs="宋体" w:eastAsia="宋体" w:hint="default"/>
          <w:sz w:val="13"/>
          <w:szCs w:val="13"/>
        </w:rPr>
      </w:pPr>
    </w:p>
    <w:p>
      <w:pPr>
        <w:pStyle w:val="BodyText"/>
        <w:spacing w:line="357" w:lineRule="auto"/>
        <w:ind w:right="1133" w:firstLine="425"/>
        <w:jc w:val="both"/>
      </w:pPr>
      <w:r>
        <w:rPr/>
        <w:t>机会与风险并存，政策逐步放宽使得企业服务机构大幅增长，市场原有的利润空间被进一步瓜分。单一的企业服务模 </w:t>
      </w:r>
      <w:r>
        <w:rPr>
          <w:spacing w:val="-2"/>
        </w:rPr>
        <w:t>式已不可持续满足中小企业蓬勃发展的需求，企业互联网服务行业也将根据客户需求情况逐步提升自身综合服务能力，来进</w:t>
      </w:r>
      <w:r>
        <w:rPr>
          <w:spacing w:val="-64"/>
        </w:rPr>
        <w:t> </w:t>
      </w:r>
      <w:r>
        <w:rPr>
          <w:spacing w:val="-64"/>
        </w:rPr>
      </w:r>
      <w:r>
        <w:rPr/>
        <w:t>一步提升服务质量以维持长期稳定的客户关系。</w:t>
      </w:r>
    </w:p>
    <w:p>
      <w:pPr>
        <w:spacing w:line="240" w:lineRule="auto" w:before="13"/>
        <w:rPr>
          <w:rFonts w:ascii="宋体" w:hAnsi="宋体" w:cs="宋体" w:eastAsia="宋体" w:hint="default"/>
          <w:sz w:val="13"/>
          <w:szCs w:val="13"/>
        </w:rPr>
      </w:pPr>
    </w:p>
    <w:p>
      <w:pPr>
        <w:pStyle w:val="BodyText"/>
        <w:spacing w:line="240" w:lineRule="auto"/>
        <w:ind w:left="578" w:right="1133"/>
        <w:jc w:val="left"/>
      </w:pPr>
      <w:r>
        <w:rPr/>
        <w:t>（二）公司经营计划</w:t>
      </w:r>
    </w:p>
    <w:p>
      <w:pPr>
        <w:spacing w:line="240" w:lineRule="auto" w:before="9"/>
        <w:rPr>
          <w:rFonts w:ascii="宋体" w:hAnsi="宋体" w:cs="宋体" w:eastAsia="宋体" w:hint="default"/>
          <w:sz w:val="20"/>
          <w:szCs w:val="20"/>
        </w:rPr>
      </w:pPr>
    </w:p>
    <w:p>
      <w:pPr>
        <w:pStyle w:val="BodyText"/>
        <w:spacing w:line="357" w:lineRule="auto"/>
        <w:ind w:right="1128" w:firstLine="425"/>
        <w:jc w:val="both"/>
      </w:pPr>
      <w:r>
        <w:rPr>
          <w:spacing w:val="-5"/>
        </w:rPr>
        <w:t>基于各类企业在“人、财、物、税、事”等方方面面的需求，公司将进一步充分发挥“品牌</w:t>
      </w:r>
      <w:r>
        <w:rPr>
          <w:rFonts w:ascii="宋体" w:hAnsi="宋体" w:cs="宋体" w:eastAsia="宋体" w:hint="default"/>
          <w:spacing w:val="-5"/>
        </w:rPr>
        <w:t>+</w:t>
      </w:r>
      <w:r>
        <w:rPr>
          <w:spacing w:val="-5"/>
        </w:rPr>
        <w:t>平台”的核心优势，以“线</w:t>
      </w:r>
      <w:r>
        <w:rPr/>
        <w:t> 上</w:t>
      </w:r>
      <w:r>
        <w:rPr>
          <w:rFonts w:ascii="宋体" w:hAnsi="宋体" w:cs="宋体" w:eastAsia="宋体" w:hint="default"/>
        </w:rPr>
        <w:t>+</w:t>
      </w:r>
      <w:r>
        <w:rPr/>
        <w:t>线下”的经营模式继续做好“百城千店，百城万人”战略。未来，关于企业互联网商事服务的需求永远存在，公司将不 </w:t>
      </w:r>
      <w:r>
        <w:rPr>
          <w:spacing w:val="-2"/>
        </w:rPr>
        <w:t>断优化公司管理流程，创新管理模式，同时，积极关注并研究与所属行业相关的国家政策，围绕我们的产品研发和产品迭代</w:t>
      </w:r>
      <w:r>
        <w:rPr>
          <w:spacing w:val="-63"/>
        </w:rPr>
        <w:t> </w:t>
      </w:r>
      <w:r>
        <w:rPr>
          <w:spacing w:val="-63"/>
        </w:rPr>
      </w:r>
      <w:r>
        <w:rPr>
          <w:spacing w:val="-2"/>
        </w:rPr>
        <w:t>升级，进一步提高服务能力和水平。随着企业互联网服务业务发展战略的深入，公司主业稳固发展，与广大投资者共享企业</w:t>
      </w:r>
      <w:r>
        <w:rPr>
          <w:spacing w:val="-65"/>
        </w:rPr>
        <w:t> </w:t>
      </w:r>
      <w:r>
        <w:rPr>
          <w:spacing w:val="-65"/>
        </w:rPr>
      </w:r>
      <w:r>
        <w:rPr/>
        <w:t>互联网服务业务健康发展带来的成果。</w:t>
      </w:r>
    </w:p>
    <w:p>
      <w:pPr>
        <w:spacing w:line="240" w:lineRule="auto" w:before="13"/>
        <w:rPr>
          <w:rFonts w:ascii="宋体" w:hAnsi="宋体" w:cs="宋体" w:eastAsia="宋体" w:hint="default"/>
          <w:sz w:val="13"/>
          <w:szCs w:val="13"/>
        </w:rPr>
      </w:pPr>
    </w:p>
    <w:p>
      <w:pPr>
        <w:pStyle w:val="BodyText"/>
        <w:spacing w:line="240" w:lineRule="auto"/>
        <w:ind w:left="578" w:right="1133"/>
        <w:jc w:val="left"/>
      </w:pPr>
      <w:r>
        <w:rPr>
          <w:rFonts w:ascii="宋体" w:hAnsi="宋体" w:cs="宋体" w:eastAsia="宋体" w:hint="default"/>
        </w:rPr>
        <w:t>1</w:t>
      </w:r>
      <w:r>
        <w:rPr/>
        <w:t>、继续做好政府</w:t>
      </w:r>
      <w:r>
        <w:rPr>
          <w:rFonts w:ascii="宋体" w:hAnsi="宋体" w:cs="宋体" w:eastAsia="宋体" w:hint="default"/>
        </w:rPr>
        <w:t>/</w:t>
      </w:r>
      <w:r>
        <w:rPr/>
        <w:t>企业</w:t>
      </w:r>
      <w:r>
        <w:rPr>
          <w:rFonts w:ascii="宋体" w:hAnsi="宋体" w:cs="宋体" w:eastAsia="宋体" w:hint="default"/>
        </w:rPr>
        <w:t>/</w:t>
      </w:r>
      <w:r>
        <w:rPr/>
        <w:t>劳动者三者之间的桥梁，打造全国的超级孵化器。</w:t>
      </w:r>
    </w:p>
    <w:p>
      <w:pPr>
        <w:spacing w:line="240" w:lineRule="auto" w:before="10"/>
        <w:rPr>
          <w:rFonts w:ascii="宋体" w:hAnsi="宋体" w:cs="宋体" w:eastAsia="宋体" w:hint="default"/>
          <w:sz w:val="20"/>
          <w:szCs w:val="20"/>
        </w:rPr>
      </w:pPr>
    </w:p>
    <w:p>
      <w:pPr>
        <w:pStyle w:val="BodyText"/>
        <w:spacing w:line="357" w:lineRule="auto"/>
        <w:ind w:right="1164" w:firstLine="425"/>
        <w:jc w:val="both"/>
      </w:pPr>
      <w:r>
        <w:rPr>
          <w:rFonts w:ascii="宋体" w:hAnsi="宋体" w:cs="宋体" w:eastAsia="宋体" w:hint="default"/>
        </w:rPr>
        <w:t>2</w:t>
      </w:r>
      <w:r>
        <w:rPr/>
        <w:t>、延续和迭代“品牌</w:t>
      </w:r>
      <w:r>
        <w:rPr>
          <w:rFonts w:ascii="宋体" w:hAnsi="宋体" w:cs="宋体" w:eastAsia="宋体" w:hint="default"/>
        </w:rPr>
        <w:t>+</w:t>
      </w:r>
      <w:r>
        <w:rPr/>
        <w:t>平台”战略，孵化更多的超级终端、超级个体，以“共生、共享、共赢”为使命，让渡更多的 利益到服务商和服务者，提升客户服务质量，打造规范化、标准化、流程化的优质服务。</w:t>
      </w:r>
    </w:p>
    <w:p>
      <w:pPr>
        <w:spacing w:line="240" w:lineRule="auto" w:before="13"/>
        <w:rPr>
          <w:rFonts w:ascii="宋体" w:hAnsi="宋体" w:cs="宋体" w:eastAsia="宋体" w:hint="default"/>
          <w:sz w:val="13"/>
          <w:szCs w:val="13"/>
        </w:rPr>
      </w:pPr>
    </w:p>
    <w:p>
      <w:pPr>
        <w:pStyle w:val="BodyText"/>
        <w:spacing w:line="357" w:lineRule="auto"/>
        <w:ind w:right="1134" w:firstLine="425"/>
        <w:jc w:val="both"/>
      </w:pPr>
      <w:r>
        <w:rPr>
          <w:rFonts w:ascii="宋体" w:hAnsi="宋体" w:cs="宋体" w:eastAsia="宋体" w:hint="default"/>
          <w:spacing w:val="-2"/>
        </w:rPr>
        <w:t>3</w:t>
      </w:r>
      <w:r>
        <w:rPr>
          <w:spacing w:val="-2"/>
        </w:rPr>
        <w:t>、继续筛选良好的共生伙伴，坚持线下百城千店、万店的方向不动摇。加强核心能力体系建设，提升大数据能力以及</w:t>
      </w:r>
      <w:r>
        <w:rPr/>
        <w:t> 面向满足客户需求的全新产品能力。</w:t>
      </w:r>
    </w:p>
    <w:p>
      <w:pPr>
        <w:spacing w:line="240" w:lineRule="auto" w:before="13"/>
        <w:rPr>
          <w:rFonts w:ascii="宋体" w:hAnsi="宋体" w:cs="宋体" w:eastAsia="宋体" w:hint="default"/>
          <w:sz w:val="13"/>
          <w:szCs w:val="13"/>
        </w:rPr>
      </w:pPr>
    </w:p>
    <w:p>
      <w:pPr>
        <w:pStyle w:val="BodyText"/>
        <w:spacing w:line="516" w:lineRule="auto"/>
        <w:ind w:left="578" w:right="8078"/>
        <w:jc w:val="left"/>
      </w:pPr>
      <w:r>
        <w:rPr/>
        <w:t>（三）可能面对的风险 </w:t>
      </w:r>
      <w:r>
        <w:rPr>
          <w:rFonts w:ascii="宋体" w:hAnsi="宋体" w:cs="宋体" w:eastAsia="宋体" w:hint="default"/>
        </w:rPr>
        <w:t>1</w:t>
      </w:r>
      <w:r>
        <w:rPr/>
        <w:t>、国家产业政策变化的风险</w:t>
      </w:r>
    </w:p>
    <w:p>
      <w:pPr>
        <w:pStyle w:val="BodyText"/>
        <w:spacing w:line="357" w:lineRule="auto" w:before="64"/>
        <w:ind w:right="1133" w:firstLine="425"/>
        <w:jc w:val="both"/>
      </w:pPr>
      <w:r>
        <w:rPr/>
        <w:t>近年来，我国大力推动“大众创业、万众创新”，中小微企业呈现快速发展的态势，政府相继出台了《关于加快推进 </w:t>
      </w:r>
      <w:r>
        <w:rPr>
          <w:spacing w:val="-2"/>
        </w:rPr>
        <w:t>中小企业服务体系建设的指导意见》、《关于加强和改进基层会计管理工作的指导意见》、《关于促进平台经济规范健康发</w:t>
      </w:r>
      <w:r>
        <w:rPr>
          <w:spacing w:val="-66"/>
        </w:rPr>
        <w:t> </w:t>
      </w:r>
      <w:r>
        <w:rPr>
          <w:spacing w:val="-66"/>
        </w:rPr>
      </w:r>
      <w:r>
        <w:rPr>
          <w:spacing w:val="-2"/>
        </w:rPr>
        <w:t>展的指导意见》、《代理记账管理办法》等一系列政策法规，从制度层面提供了行业蓬勃发展的良好发展环境。若未来国家</w:t>
      </w:r>
      <w:r>
        <w:rPr>
          <w:spacing w:val="-69"/>
        </w:rPr>
        <w:t> </w:t>
      </w:r>
      <w:r>
        <w:rPr>
          <w:spacing w:val="-69"/>
        </w:rPr>
      </w:r>
      <w:r>
        <w:rPr/>
        <w:t>相关政策导向发生较大变化或调整，则可能会导致行业的市场环境出现较大变化，对公司经营带来一定风险。</w:t>
      </w:r>
    </w:p>
    <w:p>
      <w:pPr>
        <w:spacing w:line="240" w:lineRule="auto" w:before="13"/>
        <w:rPr>
          <w:rFonts w:ascii="宋体" w:hAnsi="宋体" w:cs="宋体" w:eastAsia="宋体" w:hint="default"/>
          <w:sz w:val="13"/>
          <w:szCs w:val="13"/>
        </w:rPr>
      </w:pPr>
    </w:p>
    <w:p>
      <w:pPr>
        <w:pStyle w:val="BodyText"/>
        <w:spacing w:line="357" w:lineRule="auto"/>
        <w:ind w:right="0" w:firstLine="425"/>
        <w:jc w:val="left"/>
      </w:pPr>
      <w:r>
        <w:rPr/>
        <w:t>应对措施：公司将密切关注并积极应对国家产业政策变化，加强对政策及行业准则的把握理解，并根据产业政策和行 </w:t>
      </w:r>
      <w:r>
        <w:rPr>
          <w:spacing w:val="-4"/>
        </w:rPr>
        <w:t>业发展趋势，及时调整公司的市场竞争策略，坚持以市场为导向，充分发挥公司技术优势、品牌优势、产品优势，加强创新、</w:t>
      </w:r>
      <w:r>
        <w:rPr>
          <w:spacing w:val="-44"/>
        </w:rPr>
        <w:t> </w:t>
      </w:r>
      <w:r>
        <w:rPr>
          <w:spacing w:val="-44"/>
        </w:rPr>
      </w:r>
      <w:r>
        <w:rPr/>
        <w:t>开拓业务，确保公司的可持续发展。</w:t>
      </w:r>
    </w:p>
    <w:p>
      <w:pPr>
        <w:spacing w:line="240" w:lineRule="auto" w:before="12"/>
        <w:rPr>
          <w:rFonts w:ascii="宋体" w:hAnsi="宋体" w:cs="宋体" w:eastAsia="宋体" w:hint="default"/>
          <w:sz w:val="13"/>
          <w:szCs w:val="13"/>
        </w:rPr>
      </w:pPr>
    </w:p>
    <w:p>
      <w:pPr>
        <w:pStyle w:val="BodyText"/>
        <w:spacing w:line="240" w:lineRule="auto"/>
        <w:ind w:left="578" w:right="1133"/>
        <w:jc w:val="left"/>
      </w:pPr>
      <w:r>
        <w:rPr>
          <w:rFonts w:ascii="宋体" w:hAnsi="宋体" w:cs="宋体" w:eastAsia="宋体" w:hint="default"/>
        </w:rPr>
        <w:t>2</w:t>
      </w:r>
      <w:r>
        <w:rPr/>
        <w:t>、市场竞争加剧的风险</w:t>
      </w:r>
    </w:p>
    <w:p>
      <w:pPr>
        <w:spacing w:after="0" w:line="240" w:lineRule="auto"/>
        <w:jc w:val="left"/>
        <w:sectPr>
          <w:headerReference w:type="default" r:id="rId16"/>
          <w:footerReference w:type="default" r:id="rId17"/>
          <w:pgSz w:w="11910" w:h="16840"/>
          <w:pgMar w:header="877" w:footer="980" w:top="1100" w:bottom="1160" w:left="980" w:right="0"/>
          <w:pgNumType w:start="26"/>
        </w:sectPr>
      </w:pPr>
    </w:p>
    <w:p>
      <w:pPr>
        <w:spacing w:line="240" w:lineRule="auto" w:before="9"/>
        <w:rPr>
          <w:rFonts w:ascii="宋体" w:hAnsi="宋体" w:cs="宋体" w:eastAsia="宋体" w:hint="default"/>
          <w:sz w:val="18"/>
          <w:szCs w:val="18"/>
        </w:rPr>
      </w:pPr>
    </w:p>
    <w:p>
      <w:pPr>
        <w:pStyle w:val="BodyText"/>
        <w:spacing w:line="357" w:lineRule="auto" w:before="44"/>
        <w:ind w:right="1134" w:firstLine="425"/>
        <w:jc w:val="both"/>
      </w:pPr>
      <w:r>
        <w:rPr/>
        <w:t>创业创新以及商事制度改革、简政放权激发了市场的活力，企业注册数量逐年稳步增长。在行业蓬勃兴起和准入条件 </w:t>
      </w:r>
      <w:r>
        <w:rPr>
          <w:spacing w:val="-2"/>
        </w:rPr>
        <w:t>不高的形势下，更多的主体进入到企业服务这一领域，业务同质化严重，市场集中度不高，发展良莠不齐，市场竞争不断加</w:t>
      </w:r>
      <w:r>
        <w:rPr>
          <w:spacing w:val="-66"/>
        </w:rPr>
        <w:t> </w:t>
      </w:r>
      <w:r>
        <w:rPr>
          <w:spacing w:val="-66"/>
        </w:rPr>
      </w:r>
      <w:r>
        <w:rPr/>
        <w:t>剧。</w:t>
      </w:r>
    </w:p>
    <w:p>
      <w:pPr>
        <w:spacing w:line="240" w:lineRule="auto" w:before="13"/>
        <w:rPr>
          <w:rFonts w:ascii="宋体" w:hAnsi="宋体" w:cs="宋体" w:eastAsia="宋体" w:hint="default"/>
          <w:sz w:val="13"/>
          <w:szCs w:val="13"/>
        </w:rPr>
      </w:pPr>
    </w:p>
    <w:p>
      <w:pPr>
        <w:pStyle w:val="BodyText"/>
        <w:spacing w:line="355" w:lineRule="auto"/>
        <w:ind w:right="1034" w:firstLine="425"/>
        <w:jc w:val="left"/>
      </w:pPr>
      <w:r>
        <w:rPr/>
        <w:t>应对措施：公司作为企业服务的领先者，有较强的品牌影响力，并且在市场渠道、技术人才、管理水平等多个领域比 同行业其他企业具有强大的竞争优势。公司经营过程中，继续保持研发与创新能力，根据客户需求提升自身综合服务能力， 通过“科技</w:t>
      </w:r>
      <w:r>
        <w:rPr>
          <w:rFonts w:ascii="宋体" w:hAnsi="宋体" w:cs="宋体" w:eastAsia="宋体" w:hint="default"/>
        </w:rPr>
        <w:t>+</w:t>
      </w:r>
      <w:r>
        <w:rPr/>
        <w:t>数据”创新公司管理模式、服务模式、营销模式，不断迭代竞争壁垒。</w:t>
      </w:r>
    </w:p>
    <w:p>
      <w:pPr>
        <w:spacing w:line="240" w:lineRule="auto" w:before="1"/>
        <w:rPr>
          <w:rFonts w:ascii="宋体" w:hAnsi="宋体" w:cs="宋体" w:eastAsia="宋体" w:hint="default"/>
          <w:sz w:val="14"/>
          <w:szCs w:val="14"/>
        </w:rPr>
      </w:pPr>
    </w:p>
    <w:p>
      <w:pPr>
        <w:pStyle w:val="BodyText"/>
        <w:spacing w:line="240" w:lineRule="auto"/>
        <w:ind w:left="578" w:right="1133"/>
        <w:jc w:val="left"/>
      </w:pPr>
      <w:r>
        <w:rPr>
          <w:rFonts w:ascii="宋体" w:hAnsi="宋体" w:cs="宋体" w:eastAsia="宋体" w:hint="default"/>
        </w:rPr>
        <w:t>3</w:t>
      </w:r>
      <w:r>
        <w:rPr/>
        <w:t>、人才流失的风险</w:t>
      </w:r>
    </w:p>
    <w:p>
      <w:pPr>
        <w:spacing w:line="240" w:lineRule="auto" w:before="9"/>
        <w:rPr>
          <w:rFonts w:ascii="宋体" w:hAnsi="宋体" w:cs="宋体" w:eastAsia="宋体" w:hint="default"/>
          <w:sz w:val="20"/>
          <w:szCs w:val="20"/>
        </w:rPr>
      </w:pPr>
    </w:p>
    <w:p>
      <w:pPr>
        <w:pStyle w:val="BodyText"/>
        <w:spacing w:line="357" w:lineRule="auto"/>
        <w:ind w:right="1166" w:firstLine="425"/>
        <w:jc w:val="both"/>
      </w:pPr>
      <w:r>
        <w:rPr/>
        <w:t>作为企业服务类公司，主要业务依赖于高级管理人员以及专业的人才队伍，人才资源是企业互联网服务行业的核心资 源。因此，保持人才资源的稳定性，对于公司可持续发展至关重要。</w:t>
      </w:r>
    </w:p>
    <w:p>
      <w:pPr>
        <w:spacing w:line="240" w:lineRule="auto" w:before="0"/>
        <w:rPr>
          <w:rFonts w:ascii="宋体" w:hAnsi="宋体" w:cs="宋体" w:eastAsia="宋体" w:hint="default"/>
          <w:sz w:val="14"/>
          <w:szCs w:val="14"/>
        </w:rPr>
      </w:pPr>
    </w:p>
    <w:p>
      <w:pPr>
        <w:pStyle w:val="BodyText"/>
        <w:spacing w:line="357" w:lineRule="auto"/>
        <w:ind w:right="0" w:firstLine="425"/>
        <w:jc w:val="left"/>
      </w:pPr>
      <w:r>
        <w:rPr>
          <w:spacing w:val="-2"/>
        </w:rPr>
        <w:t>应对措施：公司建立了相关的管理制度对核心人员进行有效管理和激励，同时为员工搭建了技术创新的良性互动平台，</w:t>
      </w:r>
      <w:r>
        <w:rPr/>
        <w:t> </w:t>
      </w:r>
      <w:r>
        <w:rPr>
          <w:spacing w:val="-4"/>
        </w:rPr>
        <w:t>提高核心人员的积极性和创造性。通过引进、内部培养等手段，建立公司人才梯队提升竞争优势，确保公司长期、稳定发展。</w:t>
      </w:r>
    </w:p>
    <w:p>
      <w:pPr>
        <w:spacing w:line="240" w:lineRule="auto" w:before="13"/>
        <w:rPr>
          <w:rFonts w:ascii="宋体" w:hAnsi="宋体" w:cs="宋体" w:eastAsia="宋体" w:hint="default"/>
          <w:sz w:val="13"/>
          <w:szCs w:val="13"/>
        </w:rPr>
      </w:pPr>
    </w:p>
    <w:p>
      <w:pPr>
        <w:pStyle w:val="BodyText"/>
        <w:spacing w:line="240" w:lineRule="auto"/>
        <w:ind w:left="578" w:right="1133"/>
        <w:jc w:val="left"/>
      </w:pPr>
      <w:r>
        <w:rPr>
          <w:rFonts w:ascii="宋体" w:hAnsi="宋体" w:cs="宋体" w:eastAsia="宋体" w:hint="default"/>
        </w:rPr>
        <w:t>4</w:t>
      </w:r>
      <w:r>
        <w:rPr/>
        <w:t>、内部控制的风险</w:t>
      </w:r>
    </w:p>
    <w:p>
      <w:pPr>
        <w:spacing w:line="240" w:lineRule="auto" w:before="9"/>
        <w:rPr>
          <w:rFonts w:ascii="宋体" w:hAnsi="宋体" w:cs="宋体" w:eastAsia="宋体" w:hint="default"/>
          <w:sz w:val="20"/>
          <w:szCs w:val="20"/>
        </w:rPr>
      </w:pPr>
    </w:p>
    <w:p>
      <w:pPr>
        <w:pStyle w:val="BodyText"/>
        <w:spacing w:line="357" w:lineRule="auto"/>
        <w:ind w:right="1130" w:firstLine="425"/>
        <w:jc w:val="both"/>
      </w:pPr>
      <w:r>
        <w:rPr/>
        <w:t>公司在经营过程中，需要与各子公司及其分布在全国各地的终端资产在公司治理结构、员工管理、财务管理、资源管 </w:t>
      </w:r>
      <w:r>
        <w:rPr>
          <w:spacing w:val="-2"/>
        </w:rPr>
        <w:t>理、业务拓展以及企业文化等方面进行有效融合。若公司采取的一系列管控措施实施不当或者不能得到有效执行，则公司将</w:t>
      </w:r>
      <w:r>
        <w:rPr>
          <w:spacing w:val="-63"/>
        </w:rPr>
        <w:t> </w:t>
      </w:r>
      <w:r>
        <w:rPr>
          <w:spacing w:val="-63"/>
        </w:rPr>
      </w:r>
      <w:r>
        <w:rPr/>
        <w:t>存在相关内部控制制度不能有效执行、执行不到位的风险。</w:t>
      </w:r>
    </w:p>
    <w:p>
      <w:pPr>
        <w:spacing w:line="240" w:lineRule="auto" w:before="10"/>
        <w:rPr>
          <w:rFonts w:ascii="宋体" w:hAnsi="宋体" w:cs="宋体" w:eastAsia="宋体" w:hint="default"/>
          <w:sz w:val="13"/>
          <w:szCs w:val="13"/>
        </w:rPr>
      </w:pPr>
    </w:p>
    <w:p>
      <w:pPr>
        <w:pStyle w:val="BodyText"/>
        <w:spacing w:line="357" w:lineRule="auto"/>
        <w:ind w:right="1133" w:firstLine="425"/>
        <w:jc w:val="both"/>
      </w:pPr>
      <w:r>
        <w:rPr/>
        <w:t>应对措施：公司逐步完善了内部控制制度，从制度安排方面对内部控制行为予以规范。全面建立对员工的培训体系， </w:t>
      </w:r>
      <w:r>
        <w:rPr>
          <w:spacing w:val="-2"/>
        </w:rPr>
        <w:t>有效增强各子公司及其终端资产员工的业务素质及技能，有效培养其对上市公司内控管理的认同。在业务管理上统一使用管</w:t>
      </w:r>
      <w:r>
        <w:rPr>
          <w:spacing w:val="-64"/>
        </w:rPr>
        <w:t> </w:t>
      </w:r>
      <w:r>
        <w:rPr>
          <w:spacing w:val="-64"/>
        </w:rPr>
      </w:r>
      <w:r>
        <w:rPr>
          <w:spacing w:val="-2"/>
        </w:rPr>
        <w:t>理软件，加强对各子公司客户服务信息和数据的管理，实现业务管理的现代化、高效化、规模化和标准化，并为各子公司及</w:t>
      </w:r>
      <w:r>
        <w:rPr>
          <w:spacing w:val="-67"/>
        </w:rPr>
        <w:t> </w:t>
      </w:r>
      <w:r>
        <w:rPr>
          <w:spacing w:val="-67"/>
        </w:rPr>
      </w:r>
      <w:r>
        <w:rPr/>
        <w:t>其终端资产提供相关的业务支持，增强其在各经营区域内的市场地位及获客能力。</w:t>
      </w:r>
    </w:p>
    <w:p>
      <w:pPr>
        <w:spacing w:line="240" w:lineRule="auto" w:before="13"/>
        <w:rPr>
          <w:rFonts w:ascii="宋体" w:hAnsi="宋体" w:cs="宋体" w:eastAsia="宋体" w:hint="default"/>
          <w:sz w:val="13"/>
          <w:szCs w:val="13"/>
        </w:rPr>
      </w:pPr>
    </w:p>
    <w:p>
      <w:pPr>
        <w:pStyle w:val="BodyText"/>
        <w:spacing w:line="240" w:lineRule="auto"/>
        <w:ind w:left="578" w:right="1133"/>
        <w:jc w:val="left"/>
      </w:pPr>
      <w:r>
        <w:rPr>
          <w:rFonts w:ascii="宋体" w:hAnsi="宋体" w:cs="宋体" w:eastAsia="宋体" w:hint="default"/>
        </w:rPr>
        <w:t>5</w:t>
      </w:r>
      <w:r>
        <w:rPr/>
        <w:t>、商誉减值的风险</w:t>
      </w:r>
    </w:p>
    <w:p>
      <w:pPr>
        <w:spacing w:line="240" w:lineRule="auto" w:before="9"/>
        <w:rPr>
          <w:rFonts w:ascii="宋体" w:hAnsi="宋体" w:cs="宋体" w:eastAsia="宋体" w:hint="default"/>
          <w:sz w:val="20"/>
          <w:szCs w:val="20"/>
        </w:rPr>
      </w:pPr>
    </w:p>
    <w:p>
      <w:pPr>
        <w:pStyle w:val="BodyText"/>
        <w:spacing w:line="357" w:lineRule="auto"/>
        <w:ind w:right="1034" w:firstLine="425"/>
        <w:jc w:val="left"/>
      </w:pPr>
      <w:r>
        <w:rPr/>
        <w:t>公司在并购活动中形成较大金额的商誉，根据《企业会计准则》的规定，上述商誉不作摊销处理，但需要在未来每个 会计年度末进行减值测试。如果未来公司所处行业经营情况发生不利变化，或者公司的经营状况、盈利能力没有达到预期， 则会存在计提商誉减值的风险。</w:t>
      </w:r>
    </w:p>
    <w:p>
      <w:pPr>
        <w:spacing w:line="240" w:lineRule="auto" w:before="13"/>
        <w:rPr>
          <w:rFonts w:ascii="宋体" w:hAnsi="宋体" w:cs="宋体" w:eastAsia="宋体" w:hint="default"/>
          <w:sz w:val="13"/>
          <w:szCs w:val="13"/>
        </w:rPr>
      </w:pPr>
    </w:p>
    <w:p>
      <w:pPr>
        <w:pStyle w:val="BodyText"/>
        <w:spacing w:line="355" w:lineRule="auto"/>
        <w:ind w:right="1135" w:firstLine="425"/>
        <w:jc w:val="both"/>
      </w:pPr>
      <w:r>
        <w:rPr/>
        <w:t>应对措施：公司线上线下协同一体化的布局在激烈的市场竞争中抢占了先机。公司将充分发挥行业地位、研发实力、 </w:t>
      </w:r>
      <w:r>
        <w:rPr>
          <w:spacing w:val="-2"/>
        </w:rPr>
        <w:t>业务布局、渠道、用户等各方面的竞争优势，抓住企业互联网发展的良好机遇，构建完善的企业服务生态圈，保持公司的持</w:t>
      </w:r>
      <w:r>
        <w:rPr>
          <w:spacing w:val="-67"/>
        </w:rPr>
        <w:t> </w:t>
      </w:r>
      <w:r>
        <w:rPr>
          <w:spacing w:val="-67"/>
        </w:rPr>
      </w:r>
      <w:r>
        <w:rPr/>
        <w:t>续竞争能力，将商誉对公司未来业绩的影响降到最低程度。</w:t>
      </w:r>
    </w:p>
    <w:p>
      <w:pPr>
        <w:spacing w:line="240" w:lineRule="auto" w:before="10"/>
        <w:rPr>
          <w:rFonts w:ascii="宋体" w:hAnsi="宋体" w:cs="宋体" w:eastAsia="宋体" w:hint="default"/>
          <w:sz w:val="24"/>
          <w:szCs w:val="24"/>
        </w:rPr>
      </w:pPr>
    </w:p>
    <w:p>
      <w:pPr>
        <w:pStyle w:val="Heading2"/>
        <w:spacing w:line="240" w:lineRule="auto"/>
        <w:ind w:right="1133"/>
        <w:jc w:val="left"/>
        <w:rPr>
          <w:b w:val="0"/>
          <w:bCs w:val="0"/>
        </w:rPr>
      </w:pPr>
      <w:bookmarkStart w:name="十、接待调研、沟通、采访等活动情况" w:id="61"/>
      <w:bookmarkEnd w:id="61"/>
      <w:r>
        <w:rPr>
          <w:b w:val="0"/>
          <w:bCs w:val="0"/>
        </w:rPr>
      </w: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1558"/>
        <w:gridCol w:w="4820"/>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96"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年度业绩预告情况。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年度业绩预告情况。</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1558"/>
        <w:gridCol w:w="4820"/>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年度业绩预告情况。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咨询公司商誉形成及减值测试相关情况。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咨询公司终端资产运营情况。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咨询公司终端资产运营情况。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月份股东户数。</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业务发展情况。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咨询公司商誉减值测试情况。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咨询公司股东限售股解除限售情况。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年第一季度业绩预告安排情况。</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咨询公司最近一期股东户数。</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咨询参股公司区块链备案情况。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咨询公司股东股权变化相关情况。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年第一季度业绩预告情况。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咨询公司股东增持情况。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咨询公司股东增持及减持安排情况。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咨询公司最近一期股东户数。</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咨询公司员工持股计划进展情况。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咨询公司最近一期股东户数。</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咨询公司股东增持情况。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咨询公司员工持股计划减持安排。</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月末股东户数。</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咨询公司商誉减持测试相关情况。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咨询网上投资者交流会相关情况。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咨询公司股东减持相关进展情况。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咨询公司最近一期股东户数。</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咨询公司半年度报告业绩预告情况。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咨询公司非公开发行相关情况。</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咨询公司股东增持及减持进展情况。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咨询公司续聘会计师事务所情况。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咨询公司最近一期股东户数。</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咨询公司终端资产运营情况。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咨询公司最近一期股东户数。</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咨询公司百城千店业务情况。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咨询公司最近一期股东户数。</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120"/>
        <w:gridCol w:w="1438"/>
        <w:gridCol w:w="4820"/>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咨询公司业务发展模式及业务布局情况。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咨询公司最近一期股东户数。</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年度经营情况。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咨询公司第三季度业绩预告情况。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咨询公司第三季度业绩预告情况。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咨询公司股东减持及员工持股计划进展情况。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咨询公司股东减持及员工持股计划进展情况。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咨询公司前三季度业绩同比变化具体情况。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咨询公司最近一期股东户数。</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咨询参股公司经营及业务开展情况。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咨询公司主营业务及行业发展情况。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咨询公司商誉的形成原因。</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咨询公司业务战略布局情况。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咨询公司股东增持进展情况。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咨询公司最近一期股东户数。</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咨询公司年度经营业绩情况。</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咨询公司最近一期股东户数。</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咨询公司区块链相关业务情况。</w:t>
            </w:r>
          </w:p>
        </w:tc>
      </w:tr>
      <w:tr>
        <w:trPr>
          <w:trHeight w:val="401" w:hRule="exact"/>
        </w:trPr>
        <w:tc>
          <w:tcPr>
            <w:tcW w:w="33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6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r>
      <w:tr>
        <w:trPr>
          <w:trHeight w:val="403" w:hRule="exact"/>
        </w:trPr>
        <w:tc>
          <w:tcPr>
            <w:tcW w:w="33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6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3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6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r>
      <w:tr>
        <w:trPr>
          <w:trHeight w:val="403" w:hRule="exact"/>
        </w:trPr>
        <w:tc>
          <w:tcPr>
            <w:tcW w:w="33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3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2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3969" w:right="4807"/>
        <w:jc w:val="center"/>
        <w:rPr>
          <w:b w:val="0"/>
          <w:bCs w:val="0"/>
        </w:rPr>
      </w:pPr>
      <w:bookmarkStart w:name="第五节重要事项" w:id="63"/>
      <w:bookmarkEnd w:id="63"/>
      <w:r>
        <w:rPr>
          <w:b w:val="0"/>
          <w:bCs w:val="0"/>
        </w:rPr>
      </w:r>
      <w:bookmarkStart w:name="_bookmark3" w:id="64"/>
      <w:bookmarkEnd w:id="64"/>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292"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2" w:right="0"/>
        <w:jc w:val="left"/>
      </w:pPr>
      <w:r>
        <w:rPr/>
        <w:t>报告期内普通股利润分配政策，特别是现金分红政策的制定、执行或调整情况</w:t>
      </w:r>
    </w:p>
    <w:p>
      <w:pPr>
        <w:pStyle w:val="BodyText"/>
        <w:spacing w:line="338" w:lineRule="auto" w:before="117"/>
        <w:ind w:left="292" w:right="3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报告期内，公司没有调整利润分配政策，公司利润分配政策符合《公司章程》的相关规定。</w:t>
      </w:r>
    </w:p>
    <w:tbl>
      <w:tblPr>
        <w:tblW w:w="0" w:type="auto"/>
        <w:jc w:val="left"/>
        <w:tblInd w:w="300" w:type="dxa"/>
        <w:tblLayout w:type="fixed"/>
        <w:tblCellMar>
          <w:top w:w="0" w:type="dxa"/>
          <w:left w:w="0" w:type="dxa"/>
          <w:bottom w:w="0" w:type="dxa"/>
          <w:right w:w="0" w:type="dxa"/>
        </w:tblCellMar>
        <w:tblLook w:val="01E0"/>
      </w:tblPr>
      <w:tblGrid>
        <w:gridCol w:w="5081"/>
        <w:gridCol w:w="4548"/>
      </w:tblGrid>
      <w:tr>
        <w:trPr>
          <w:trHeight w:val="397" w:hRule="exact"/>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7"/>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5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5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5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5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12" w:right="1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5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5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报告期内未调整或变更现金分红政策。</w:t>
            </w:r>
          </w:p>
        </w:tc>
      </w:tr>
    </w:tbl>
    <w:p>
      <w:pPr>
        <w:pStyle w:val="BodyText"/>
        <w:spacing w:line="410" w:lineRule="auto" w:before="44"/>
        <w:ind w:left="292" w:right="2747"/>
        <w:jc w:val="left"/>
      </w:pPr>
      <w:r>
        <w:rPr/>
        <w:t>公司近</w:t>
      </w:r>
      <w:r>
        <w:rPr>
          <w:spacing w:val="-30"/>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3"/>
        </w:rPr>
        <w:t>年（包括本报告期）的普通股股利分配方案（预案）、资本公积金转增股本方案（预案）情况</w:t>
      </w:r>
      <w:r>
        <w:rPr>
          <w:spacing w:val="-88"/>
        </w:rPr>
        <w:t> </w:t>
      </w:r>
      <w:r>
        <w:rPr>
          <w:spacing w:val="-88"/>
        </w:rPr>
      </w:r>
      <w:r>
        <w:rPr>
          <w:rFonts w:ascii="宋体" w:hAnsi="宋体" w:cs="宋体" w:eastAsia="宋体" w:hint="default"/>
        </w:rPr>
        <w:t>1</w:t>
      </w:r>
      <w:r>
        <w:rPr/>
        <w:t>、</w:t>
      </w:r>
      <w:r>
        <w:rPr>
          <w:rFonts w:ascii="宋体" w:hAnsi="宋体" w:cs="宋体" w:eastAsia="宋体" w:hint="default"/>
        </w:rPr>
        <w:t>2019</w:t>
      </w:r>
      <w:r>
        <w:rPr/>
        <w:t>年度，公司不派发现金股利、不送红股、不以资本公积转增股本。</w:t>
      </w:r>
    </w:p>
    <w:p>
      <w:pPr>
        <w:pStyle w:val="BodyText"/>
        <w:spacing w:line="240" w:lineRule="auto" w:before="61"/>
        <w:ind w:left="292" w:right="0"/>
        <w:jc w:val="left"/>
      </w:pPr>
      <w:r>
        <w:rPr>
          <w:rFonts w:ascii="宋体" w:hAnsi="宋体" w:cs="宋体" w:eastAsia="宋体" w:hint="default"/>
        </w:rPr>
        <w:t>2</w:t>
      </w:r>
      <w:r>
        <w:rPr/>
        <w:t>、</w:t>
      </w:r>
      <w:r>
        <w:rPr>
          <w:rFonts w:ascii="宋体" w:hAnsi="宋体" w:cs="宋体" w:eastAsia="宋体" w:hint="default"/>
        </w:rPr>
        <w:t>2018</w:t>
      </w:r>
      <w:r>
        <w:rPr/>
        <w:t>年度，公司不派发现金股利、不送红股、不以资本公积转增股本。</w:t>
      </w:r>
    </w:p>
    <w:p>
      <w:pPr>
        <w:spacing w:line="240" w:lineRule="auto" w:before="4"/>
        <w:rPr>
          <w:rFonts w:ascii="宋体" w:hAnsi="宋体" w:cs="宋体" w:eastAsia="宋体" w:hint="default"/>
          <w:sz w:val="14"/>
          <w:szCs w:val="14"/>
        </w:rPr>
      </w:pPr>
    </w:p>
    <w:p>
      <w:pPr>
        <w:pStyle w:val="BodyText"/>
        <w:spacing w:line="240" w:lineRule="auto"/>
        <w:ind w:left="292" w:right="0"/>
        <w:jc w:val="left"/>
      </w:pPr>
      <w:r>
        <w:rPr>
          <w:rFonts w:ascii="宋体" w:hAnsi="宋体" w:cs="宋体" w:eastAsia="宋体" w:hint="default"/>
        </w:rPr>
        <w:t>3</w:t>
      </w:r>
      <w:r>
        <w:rPr/>
        <w:t>、</w:t>
      </w:r>
      <w:r>
        <w:rPr>
          <w:rFonts w:ascii="宋体" w:hAnsi="宋体" w:cs="宋体" w:eastAsia="宋体" w:hint="default"/>
        </w:rPr>
        <w:t>2017</w:t>
      </w:r>
      <w:r>
        <w:rPr/>
        <w:t>年度，公司不派发现金股利、不送红股、不以资本公积转增股本。</w:t>
      </w:r>
    </w:p>
    <w:p>
      <w:pPr>
        <w:spacing w:line="240" w:lineRule="auto" w:before="2"/>
        <w:rPr>
          <w:rFonts w:ascii="宋体" w:hAnsi="宋体" w:cs="宋体" w:eastAsia="宋体" w:hint="default"/>
          <w:sz w:val="14"/>
          <w:szCs w:val="14"/>
        </w:rPr>
      </w:pPr>
    </w:p>
    <w:p>
      <w:pPr>
        <w:pStyle w:val="BodyText"/>
        <w:spacing w:line="240" w:lineRule="auto" w:before="44"/>
        <w:ind w:left="292" w:right="0"/>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81"/>
        <w:gridCol w:w="773"/>
        <w:gridCol w:w="1515"/>
        <w:gridCol w:w="1440"/>
        <w:gridCol w:w="1196"/>
        <w:gridCol w:w="1620"/>
        <w:gridCol w:w="920"/>
        <w:gridCol w:w="1565"/>
      </w:tblGrid>
      <w:tr>
        <w:trPr>
          <w:trHeight w:val="161" w:hRule="exact"/>
        </w:trPr>
        <w:tc>
          <w:tcPr>
            <w:tcW w:w="981" w:type="dxa"/>
            <w:vMerge w:val="restart"/>
            <w:tcBorders>
              <w:top w:val="single" w:sz="4" w:space="0" w:color="000000"/>
              <w:left w:val="single" w:sz="4" w:space="0" w:color="000000"/>
              <w:right w:val="single" w:sz="4" w:space="0" w:color="000000"/>
            </w:tcBorders>
            <w:shd w:val="clear" w:color="auto" w:fill="D2D2D2"/>
          </w:tcPr>
          <w:p>
            <w:pPr/>
          </w:p>
        </w:tc>
        <w:tc>
          <w:tcPr>
            <w:tcW w:w="773" w:type="dxa"/>
            <w:vMerge w:val="restart"/>
            <w:tcBorders>
              <w:top w:val="single" w:sz="4" w:space="0" w:color="000000"/>
              <w:left w:val="single" w:sz="4" w:space="0" w:color="000000"/>
              <w:right w:val="single" w:sz="4" w:space="0" w:color="000000"/>
            </w:tcBorders>
            <w:shd w:val="clear" w:color="auto" w:fill="D2D2D2"/>
          </w:tcPr>
          <w:p>
            <w:pPr/>
          </w:p>
        </w:tc>
        <w:tc>
          <w:tcPr>
            <w:tcW w:w="15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6" w:right="83"/>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6" w:right="83"/>
              <w:jc w:val="center"/>
              <w:rPr>
                <w:rFonts w:ascii="宋体" w:hAnsi="宋体" w:cs="宋体" w:eastAsia="宋体" w:hint="default"/>
                <w:sz w:val="18"/>
                <w:szCs w:val="18"/>
              </w:rPr>
            </w:pPr>
            <w:r>
              <w:rPr>
                <w:rFonts w:ascii="宋体" w:hAnsi="宋体" w:cs="宋体" w:eastAsia="宋体" w:hint="default"/>
                <w:sz w:val="18"/>
                <w:szCs w:val="18"/>
              </w:rPr>
              <w:t>以其他方式现金分 红金额占合并报表 中归属于上市公司 普通股股东的净利 润的比例</w:t>
            </w: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5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 w:right="55"/>
              <w:jc w:val="center"/>
              <w:rPr>
                <w:rFonts w:ascii="宋体" w:hAnsi="宋体" w:cs="宋体" w:eastAsia="宋体" w:hint="default"/>
                <w:sz w:val="18"/>
                <w:szCs w:val="18"/>
              </w:rPr>
            </w:pPr>
            <w:r>
              <w:rPr>
                <w:rFonts w:ascii="宋体" w:hAnsi="宋体" w:cs="宋体" w:eastAsia="宋体" w:hint="default"/>
                <w:sz w:val="18"/>
                <w:szCs w:val="18"/>
              </w:rPr>
              <w:t>现金分红总额（含 其他方式）占合并 报表中归属于上市 公司普通股股东的 净利润的比率</w:t>
            </w:r>
          </w:p>
        </w:tc>
      </w:tr>
      <w:tr>
        <w:trPr>
          <w:trHeight w:val="156" w:hRule="exact"/>
        </w:trPr>
        <w:tc>
          <w:tcPr>
            <w:tcW w:w="981" w:type="dxa"/>
            <w:vMerge/>
            <w:tcBorders>
              <w:left w:val="single" w:sz="4" w:space="0" w:color="000000"/>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15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1" w:right="32"/>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440"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1"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620" w:type="dxa"/>
            <w:vMerge/>
            <w:tcBorders>
              <w:left w:val="single" w:sz="4" w:space="0" w:color="000000"/>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c>
          <w:tcPr>
            <w:tcW w:w="1565" w:type="dxa"/>
            <w:vMerge/>
            <w:tcBorders>
              <w:left w:val="single" w:sz="4" w:space="0" w:color="000000"/>
              <w:right w:val="single" w:sz="4" w:space="0" w:color="000000"/>
            </w:tcBorders>
            <w:shd w:val="clear" w:color="auto" w:fill="D2D2D2"/>
          </w:tcPr>
          <w:p>
            <w:pPr/>
          </w:p>
        </w:tc>
      </w:tr>
      <w:tr>
        <w:trPr>
          <w:trHeight w:val="312" w:hRule="exact"/>
        </w:trPr>
        <w:tc>
          <w:tcPr>
            <w:tcW w:w="981" w:type="dxa"/>
            <w:vMerge/>
            <w:tcBorders>
              <w:left w:val="single" w:sz="4" w:space="0" w:color="000000"/>
              <w:bottom w:val="nil" w:sz="6" w:space="0" w:color="auto"/>
              <w:right w:val="single" w:sz="4" w:space="0" w:color="000000"/>
            </w:tcBorders>
            <w:shd w:val="clear" w:color="auto" w:fill="D2D2D2"/>
          </w:tcPr>
          <w:p>
            <w:pPr/>
          </w:p>
        </w:tc>
        <w:tc>
          <w:tcPr>
            <w:tcW w:w="77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现金分 红金额</w:t>
            </w:r>
          </w:p>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（含税）</w:t>
            </w:r>
          </w:p>
        </w:tc>
        <w:tc>
          <w:tcPr>
            <w:tcW w:w="1515"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620" w:type="dxa"/>
            <w:vMerge/>
            <w:tcBorders>
              <w:left w:val="single" w:sz="4" w:space="0" w:color="000000"/>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0"/>
              <w:jc w:val="center"/>
              <w:rPr>
                <w:rFonts w:ascii="宋体" w:hAnsi="宋体" w:cs="宋体" w:eastAsia="宋体" w:hint="default"/>
                <w:sz w:val="18"/>
                <w:szCs w:val="18"/>
              </w:rPr>
            </w:pPr>
            <w:r>
              <w:rPr>
                <w:rFonts w:ascii="宋体" w:hAnsi="宋体" w:cs="宋体" w:eastAsia="宋体" w:hint="default"/>
                <w:sz w:val="18"/>
                <w:szCs w:val="18"/>
              </w:rPr>
              <w:t>现金分红 </w:t>
            </w:r>
            <w:r>
              <w:rPr>
                <w:rFonts w:ascii="宋体" w:hAnsi="宋体" w:cs="宋体" w:eastAsia="宋体" w:hint="default"/>
                <w:spacing w:val="-8"/>
                <w:sz w:val="18"/>
                <w:szCs w:val="18"/>
              </w:rPr>
              <w:t>总额（含其</w:t>
            </w:r>
            <w:r>
              <w:rPr>
                <w:rFonts w:ascii="宋体" w:hAnsi="宋体" w:cs="宋体" w:eastAsia="宋体" w:hint="default"/>
                <w:sz w:val="18"/>
                <w:szCs w:val="18"/>
              </w:rPr>
              <w:t> 他方式）</w:t>
            </w:r>
          </w:p>
        </w:tc>
        <w:tc>
          <w:tcPr>
            <w:tcW w:w="1565" w:type="dxa"/>
            <w:vMerge/>
            <w:tcBorders>
              <w:left w:val="single" w:sz="4" w:space="0" w:color="000000"/>
              <w:right w:val="single" w:sz="4" w:space="0" w:color="000000"/>
            </w:tcBorders>
            <w:shd w:val="clear" w:color="auto" w:fill="D2D2D2"/>
          </w:tcPr>
          <w:p>
            <w:pPr/>
          </w:p>
        </w:tc>
      </w:tr>
      <w:tr>
        <w:trPr>
          <w:trHeight w:val="391" w:hRule="exact"/>
        </w:trPr>
        <w:tc>
          <w:tcPr>
            <w:tcW w:w="9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773" w:type="dxa"/>
            <w:vMerge/>
            <w:tcBorders>
              <w:left w:val="single" w:sz="4" w:space="0" w:color="000000"/>
              <w:right w:val="single" w:sz="4" w:space="0" w:color="000000"/>
            </w:tcBorders>
            <w:shd w:val="clear" w:color="auto" w:fill="D2D2D2"/>
          </w:tcPr>
          <w:p>
            <w:pPr/>
          </w:p>
        </w:tc>
        <w:tc>
          <w:tcPr>
            <w:tcW w:w="1515"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620"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565" w:type="dxa"/>
            <w:vMerge/>
            <w:tcBorders>
              <w:left w:val="single" w:sz="4" w:space="0" w:color="000000"/>
              <w:right w:val="single" w:sz="4" w:space="0" w:color="000000"/>
            </w:tcBorders>
            <w:shd w:val="clear" w:color="auto" w:fill="D2D2D2"/>
          </w:tcPr>
          <w:p>
            <w:pPr/>
          </w:p>
        </w:tc>
      </w:tr>
      <w:tr>
        <w:trPr>
          <w:trHeight w:val="312" w:hRule="exact"/>
        </w:trPr>
        <w:tc>
          <w:tcPr>
            <w:tcW w:w="981" w:type="dxa"/>
            <w:vMerge w:val="restart"/>
            <w:tcBorders>
              <w:top w:val="nil" w:sz="6" w:space="0" w:color="auto"/>
              <w:left w:val="single" w:sz="4" w:space="0" w:color="000000"/>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1515"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620" w:type="dxa"/>
            <w:vMerge/>
            <w:tcBorders>
              <w:left w:val="single" w:sz="4" w:space="0" w:color="000000"/>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c>
          <w:tcPr>
            <w:tcW w:w="1565" w:type="dxa"/>
            <w:vMerge/>
            <w:tcBorders>
              <w:left w:val="single" w:sz="4" w:space="0" w:color="000000"/>
              <w:right w:val="single" w:sz="4" w:space="0" w:color="000000"/>
            </w:tcBorders>
            <w:shd w:val="clear" w:color="auto" w:fill="D2D2D2"/>
          </w:tcPr>
          <w:p>
            <w:pPr/>
          </w:p>
        </w:tc>
      </w:tr>
      <w:tr>
        <w:trPr>
          <w:trHeight w:val="156" w:hRule="exact"/>
        </w:trPr>
        <w:tc>
          <w:tcPr>
            <w:tcW w:w="981" w:type="dxa"/>
            <w:vMerge/>
            <w:tcBorders>
              <w:left w:val="single" w:sz="4" w:space="0" w:color="000000"/>
              <w:right w:val="single" w:sz="4" w:space="0" w:color="000000"/>
            </w:tcBorders>
            <w:shd w:val="clear" w:color="auto" w:fill="D2D2D2"/>
          </w:tcPr>
          <w:p>
            <w:pPr/>
          </w:p>
        </w:tc>
        <w:tc>
          <w:tcPr>
            <w:tcW w:w="773" w:type="dxa"/>
            <w:vMerge w:val="restart"/>
            <w:tcBorders>
              <w:top w:val="nil" w:sz="6" w:space="0" w:color="auto"/>
              <w:left w:val="single" w:sz="4" w:space="0" w:color="000000"/>
              <w:right w:val="single" w:sz="4" w:space="0" w:color="000000"/>
            </w:tcBorders>
            <w:shd w:val="clear" w:color="auto" w:fill="D2D2D2"/>
          </w:tcPr>
          <w:p>
            <w:pPr/>
          </w:p>
        </w:tc>
        <w:tc>
          <w:tcPr>
            <w:tcW w:w="1515" w:type="dxa"/>
            <w:vMerge/>
            <w:tcBorders>
              <w:left w:val="single" w:sz="4" w:space="0" w:color="000000"/>
              <w:bottom w:val="nil" w:sz="6" w:space="0" w:color="auto"/>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620" w:type="dxa"/>
            <w:vMerge/>
            <w:tcBorders>
              <w:left w:val="single" w:sz="4" w:space="0" w:color="000000"/>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565" w:type="dxa"/>
            <w:vMerge/>
            <w:tcBorders>
              <w:left w:val="single" w:sz="4" w:space="0" w:color="000000"/>
              <w:right w:val="single" w:sz="4" w:space="0" w:color="000000"/>
            </w:tcBorders>
            <w:shd w:val="clear" w:color="auto" w:fill="D2D2D2"/>
          </w:tcPr>
          <w:p>
            <w:pPr/>
          </w:p>
        </w:tc>
      </w:tr>
      <w:tr>
        <w:trPr>
          <w:trHeight w:val="161" w:hRule="exact"/>
        </w:trPr>
        <w:tc>
          <w:tcPr>
            <w:tcW w:w="981" w:type="dxa"/>
            <w:vMerge/>
            <w:tcBorders>
              <w:left w:val="single" w:sz="4" w:space="0" w:color="000000"/>
              <w:bottom w:val="single" w:sz="4" w:space="0" w:color="000000"/>
              <w:right w:val="single" w:sz="4" w:space="0" w:color="000000"/>
            </w:tcBorders>
            <w:shd w:val="clear" w:color="auto" w:fill="D2D2D2"/>
          </w:tcPr>
          <w:p>
            <w:pPr/>
          </w:p>
        </w:tc>
        <w:tc>
          <w:tcPr>
            <w:tcW w:w="773" w:type="dxa"/>
            <w:vMerge/>
            <w:tcBorders>
              <w:left w:val="single" w:sz="4" w:space="0" w:color="000000"/>
              <w:bottom w:val="single" w:sz="4" w:space="0" w:color="000000"/>
              <w:right w:val="single" w:sz="4" w:space="0" w:color="000000"/>
            </w:tcBorders>
            <w:shd w:val="clear" w:color="auto" w:fill="D2D2D2"/>
          </w:tcPr>
          <w:p>
            <w:pPr/>
          </w:p>
        </w:tc>
        <w:tc>
          <w:tcPr>
            <w:tcW w:w="15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0"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56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-1,016,178,672.40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93,282,489.53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64,215,586.67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left="292" w:right="0"/>
        <w:jc w:val="left"/>
      </w:pPr>
      <w:r>
        <w:rPr/>
        <w:t>公司报告期内盈利且母公司可供普通股股东分配利润为正但未提出普通股现金红利分配预案</w:t>
      </w:r>
    </w:p>
    <w:p>
      <w:pPr>
        <w:pStyle w:val="BodyText"/>
        <w:spacing w:line="240" w:lineRule="auto" w:before="115"/>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92" w:right="0"/>
        <w:jc w:val="left"/>
        <w:rPr>
          <w:b w:val="0"/>
          <w:bCs w:val="0"/>
        </w:rPr>
      </w:pPr>
      <w:bookmarkStart w:name="二、本报告期利润分配及资本公积金转增股本情况" w:id="66"/>
      <w:bookmarkEnd w:id="66"/>
      <w:r>
        <w:rPr>
          <w:b w:val="0"/>
          <w:bCs w:val="0"/>
        </w:rPr>
      </w: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292" w:right="5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after="0" w:line="338" w:lineRule="auto"/>
        <w:jc w:val="left"/>
        <w:sectPr>
          <w:pgSz w:w="11910" w:h="16840"/>
          <w:pgMar w:header="877" w:footer="980" w:top="1100" w:bottom="1160" w:left="84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pStyle w:val="Heading2"/>
        <w:spacing w:line="240" w:lineRule="auto" w:before="26"/>
        <w:ind w:left="140" w:right="0"/>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560"/>
        <w:gridCol w:w="1126"/>
        <w:gridCol w:w="1126"/>
        <w:gridCol w:w="5970"/>
        <w:gridCol w:w="1128"/>
        <w:gridCol w:w="1121"/>
        <w:gridCol w:w="2146"/>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97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4"/>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97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
        </w:tc>
      </w:tr>
      <w:tr>
        <w:trPr>
          <w:trHeight w:val="2482"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6" w:right="11"/>
              <w:jc w:val="left"/>
              <w:rPr>
                <w:rFonts w:ascii="宋体" w:hAnsi="宋体" w:cs="宋体" w:eastAsia="宋体" w:hint="default"/>
                <w:sz w:val="18"/>
                <w:szCs w:val="18"/>
              </w:rPr>
            </w:pPr>
            <w:r>
              <w:rPr>
                <w:rFonts w:ascii="宋体" w:hAnsi="宋体" w:cs="宋体" w:eastAsia="宋体" w:hint="default"/>
                <w:sz w:val="18"/>
                <w:szCs w:val="18"/>
              </w:rPr>
              <w:t>百达永信投 资有限公司； </w:t>
            </w:r>
            <w:r>
              <w:rPr>
                <w:rFonts w:ascii="宋体" w:hAnsi="宋体" w:cs="宋体" w:eastAsia="宋体" w:hint="default"/>
                <w:spacing w:val="-3"/>
                <w:sz w:val="18"/>
                <w:szCs w:val="18"/>
              </w:rPr>
              <w:t>彭聪；广西泰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达新原股权 投资有限公</w:t>
            </w:r>
          </w:p>
          <w:p>
            <w:pPr>
              <w:pStyle w:val="TableParagraph"/>
              <w:spacing w:line="240" w:lineRule="auto" w:before="19"/>
              <w:ind w:left="1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1" w:right="21"/>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5970"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4"/>
              <w:jc w:val="left"/>
              <w:rPr>
                <w:rFonts w:ascii="宋体" w:hAnsi="宋体" w:cs="宋体" w:eastAsia="宋体" w:hint="default"/>
                <w:sz w:val="18"/>
                <w:szCs w:val="18"/>
              </w:rPr>
            </w:pPr>
            <w:r>
              <w:rPr>
                <w:rFonts w:ascii="宋体" w:hAnsi="宋体" w:cs="宋体" w:eastAsia="宋体" w:hint="default"/>
                <w:sz w:val="18"/>
                <w:szCs w:val="18"/>
              </w:rPr>
              <w:t>一、避免同业竞争的承诺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、为避免承诺人及承诺人控股或实际控制的其 他公司或者其他企业或经济组织（不包括上市公司控制的企业，以下统称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承诺人的关联企业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）与上市公司发生潜在的同业竞争，承诺人及承诺人的 </w:t>
            </w:r>
            <w:r>
              <w:rPr>
                <w:rFonts w:ascii="宋体" w:hAnsi="宋体" w:cs="宋体" w:eastAsia="宋体" w:hint="default"/>
                <w:spacing w:val="-1"/>
                <w:sz w:val="18"/>
                <w:szCs w:val="18"/>
              </w:rPr>
              <w:t>关联企业不会以任何方式直接或间接从事与上市公司及其下属企业相同、相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似的业务，包括但不限于不在中国境内外通过投资、并购、联营、兼并、合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作、受托经营或以其他方式从事与上市公司及其下属企业相同、相似或构成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实质竞争的业务。</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、如承诺人及承诺人的关联企业获得的任何商业机会与 </w:t>
            </w:r>
            <w:r>
              <w:rPr>
                <w:rFonts w:ascii="宋体" w:hAnsi="宋体" w:cs="宋体" w:eastAsia="宋体" w:hint="default"/>
                <w:spacing w:val="-1"/>
                <w:sz w:val="18"/>
                <w:szCs w:val="18"/>
              </w:rPr>
              <w:t>上市公司主营业务有竞争或可能发生竞争的，则承诺人及承诺人的关联企业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将立即通知上市公司，并将该商业机会优先转给上市公司。</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、承诺人保证 </w:t>
            </w:r>
            <w:r>
              <w:rPr>
                <w:rFonts w:ascii="宋体" w:hAnsi="宋体" w:cs="宋体" w:eastAsia="宋体" w:hint="default"/>
                <w:spacing w:val="-1"/>
                <w:sz w:val="18"/>
                <w:szCs w:val="18"/>
              </w:rPr>
              <w:t>将不直接或间接从事、参与或投资与上市公司的生产、经营相竞争的任何经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营活动。</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、本承诺将不利用对上市公司及其下属企业的了解和知悉的信息 协助任何第三方从事、参与或投资与上市公司相竞争的业务或项目。</w:t>
            </w:r>
            <w:r>
              <w:rPr>
                <w:rFonts w:ascii="宋体" w:hAnsi="宋体" w:cs="宋体" w:eastAsia="宋体" w:hint="default"/>
                <w:spacing w:val="-14"/>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、如</w:t>
            </w:r>
            <w:r>
              <w:rPr>
                <w:rFonts w:ascii="宋体" w:hAnsi="宋体" w:cs="宋体" w:eastAsia="宋体" w:hint="default"/>
                <w:spacing w:val="-10"/>
                <w:sz w:val="18"/>
                <w:szCs w:val="18"/>
              </w:rPr>
              <w:t> </w:t>
            </w:r>
            <w:r>
              <w:rPr>
                <w:rFonts w:ascii="宋体" w:hAnsi="宋体" w:cs="宋体" w:eastAsia="宋体" w:hint="default"/>
                <w:sz w:val="18"/>
                <w:szCs w:val="18"/>
              </w:rPr>
              <w:t>果承诺人违反上述承诺，则因此而取得的相关收益将全部归上市公司所有，</w:t>
            </w:r>
            <w:r>
              <w:rPr>
                <w:rFonts w:ascii="宋体" w:hAnsi="宋体" w:cs="宋体" w:eastAsia="宋体" w:hint="default"/>
                <w:sz w:val="18"/>
                <w:szCs w:val="18"/>
              </w:rPr>
              <w:t> </w:t>
            </w:r>
            <w:r>
              <w:rPr>
                <w:rFonts w:ascii="宋体" w:hAnsi="宋体" w:cs="宋体" w:eastAsia="宋体" w:hint="default"/>
                <w:spacing w:val="-1"/>
                <w:sz w:val="18"/>
                <w:szCs w:val="18"/>
              </w:rPr>
              <w:t>如因此给上市公司及其他股东造成损失的，则承诺人将及时、足额赔偿上市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公司及其他股东因此遭受的全部损失。</w:t>
            </w:r>
            <w:r>
              <w:rPr>
                <w:rFonts w:ascii="宋体" w:hAnsi="宋体" w:cs="宋体" w:eastAsia="宋体" w:hint="default"/>
                <w:spacing w:val="1"/>
                <w:sz w:val="18"/>
                <w:szCs w:val="18"/>
              </w:rPr>
              <w:t> </w:t>
            </w:r>
            <w:r>
              <w:rPr>
                <w:rFonts w:ascii="宋体" w:hAnsi="宋体" w:cs="宋体" w:eastAsia="宋体" w:hint="default"/>
                <w:sz w:val="18"/>
                <w:szCs w:val="18"/>
              </w:rPr>
              <w:t>上述承诺在承诺人与上市公司存在</w:t>
            </w:r>
            <w:r>
              <w:rPr>
                <w:rFonts w:ascii="宋体" w:hAnsi="宋体" w:cs="宋体" w:eastAsia="宋体" w:hint="default"/>
                <w:sz w:val="18"/>
                <w:szCs w:val="18"/>
              </w:rPr>
              <w:t> 关联关系期间内持续有效且不可变更或撤销。</w:t>
            </w:r>
            <w:r>
              <w:rPr>
                <w:rFonts w:ascii="宋体" w:hAnsi="宋体" w:cs="宋体" w:eastAsia="宋体" w:hint="default"/>
                <w:spacing w:val="1"/>
                <w:sz w:val="18"/>
                <w:szCs w:val="18"/>
              </w:rPr>
              <w:t> </w:t>
            </w:r>
            <w:r>
              <w:rPr>
                <w:rFonts w:ascii="宋体" w:hAnsi="宋体" w:cs="宋体" w:eastAsia="宋体" w:hint="default"/>
                <w:sz w:val="18"/>
                <w:szCs w:val="18"/>
              </w:rPr>
              <w:t>二、减少和规范关联交易的</w:t>
            </w:r>
            <w:r>
              <w:rPr>
                <w:rFonts w:ascii="宋体" w:hAnsi="宋体" w:cs="宋体" w:eastAsia="宋体" w:hint="default"/>
                <w:sz w:val="18"/>
                <w:szCs w:val="18"/>
              </w:rPr>
              <w:t> 承诺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、承诺人将充分尊重上市公司的独立法人地位，保障上市公司独立 经营、自主决策。</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、承诺人保证承诺人及承诺人控股或实际控制的其他公</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1" w:right="22"/>
              <w:jc w:val="both"/>
              <w:rPr>
                <w:rFonts w:ascii="宋体" w:hAnsi="宋体" w:cs="宋体" w:eastAsia="宋体" w:hint="default"/>
                <w:sz w:val="18"/>
                <w:szCs w:val="18"/>
              </w:rPr>
            </w:pPr>
            <w:r>
              <w:rPr>
                <w:rFonts w:ascii="宋体" w:hAnsi="宋体" w:cs="宋体" w:eastAsia="宋体" w:hint="default"/>
                <w:spacing w:val="-6"/>
                <w:sz w:val="18"/>
                <w:szCs w:val="18"/>
              </w:rPr>
              <w:t>截至目前，该承诺正在履行</w:t>
            </w:r>
            <w:r>
              <w:rPr>
                <w:rFonts w:ascii="宋体" w:hAnsi="宋体" w:cs="宋体" w:eastAsia="宋体" w:hint="default"/>
                <w:sz w:val="18"/>
                <w:szCs w:val="18"/>
              </w:rPr>
              <w:t> </w:t>
            </w:r>
            <w:r>
              <w:rPr>
                <w:rFonts w:ascii="宋体" w:hAnsi="宋体" w:cs="宋体" w:eastAsia="宋体" w:hint="default"/>
                <w:spacing w:val="-6"/>
                <w:sz w:val="18"/>
                <w:szCs w:val="18"/>
              </w:rPr>
              <w:t>期内，履行期间不存在违背</w:t>
            </w:r>
            <w:r>
              <w:rPr>
                <w:rFonts w:ascii="宋体" w:hAnsi="宋体" w:cs="宋体" w:eastAsia="宋体" w:hint="default"/>
                <w:sz w:val="18"/>
                <w:szCs w:val="18"/>
              </w:rPr>
              <w:t> 承诺的情形。</w:t>
            </w:r>
          </w:p>
        </w:tc>
      </w:tr>
      <w:tr>
        <w:trPr>
          <w:trHeight w:val="703"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126" w:type="dxa"/>
            <w:vMerge/>
            <w:tcBorders>
              <w:left w:val="single" w:sz="10"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5970"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2482"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10"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5970"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2146" w:type="dxa"/>
            <w:vMerge/>
            <w:tcBorders>
              <w:left w:val="single" w:sz="4" w:space="0" w:color="000000"/>
              <w:bottom w:val="single" w:sz="4" w:space="0" w:color="000000"/>
              <w:right w:val="single" w:sz="4" w:space="0" w:color="000000"/>
            </w:tcBorders>
          </w:tcPr>
          <w:p>
            <w:pPr/>
          </w:p>
        </w:tc>
      </w:tr>
    </w:tbl>
    <w:p>
      <w:pPr>
        <w:spacing w:after="0"/>
        <w:sectPr>
          <w:headerReference w:type="default" r:id="rId18"/>
          <w:footerReference w:type="default" r:id="rId19"/>
          <w:pgSz w:w="16840" w:h="11910" w:orient="landscape"/>
          <w:pgMar w:header="867" w:footer="980" w:top="1060" w:bottom="1160" w:left="1300" w:right="1100"/>
          <w:pgNumType w:start="31"/>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560"/>
        <w:gridCol w:w="1126"/>
        <w:gridCol w:w="1126"/>
        <w:gridCol w:w="5970"/>
        <w:gridCol w:w="1128"/>
        <w:gridCol w:w="1121"/>
        <w:gridCol w:w="2146"/>
      </w:tblGrid>
      <w:tr>
        <w:trPr>
          <w:trHeight w:val="4434"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970"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1"/>
              <w:ind w:left="23" w:right="-4"/>
              <w:jc w:val="left"/>
              <w:rPr>
                <w:rFonts w:ascii="宋体" w:hAnsi="宋体" w:cs="宋体" w:eastAsia="宋体" w:hint="default"/>
                <w:sz w:val="18"/>
                <w:szCs w:val="18"/>
              </w:rPr>
            </w:pPr>
            <w:r>
              <w:rPr>
                <w:rFonts w:ascii="宋体" w:hAnsi="宋体" w:cs="宋体" w:eastAsia="宋体" w:hint="default"/>
                <w:sz w:val="18"/>
                <w:szCs w:val="18"/>
              </w:rPr>
              <w:t>司或者其他企业或经济组织（不包括上市公司控制的企业，以下统称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 </w:t>
            </w:r>
            <w:r>
              <w:rPr>
                <w:rFonts w:ascii="宋体" w:hAnsi="宋体" w:cs="宋体" w:eastAsia="宋体" w:hint="default"/>
                <w:spacing w:val="-4"/>
                <w:w w:val="99"/>
                <w:sz w:val="18"/>
                <w:szCs w:val="18"/>
              </w:rPr>
              <w:t>人的关联企业</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），今后原则上不与上市公司发生关联交易。</w:t>
            </w:r>
            <w:r>
              <w:rPr>
                <w:rFonts w:ascii="宋体" w:hAnsi="宋体" w:cs="宋体" w:eastAsia="宋体" w:hint="default"/>
                <w:w w:val="99"/>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、如果上市公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司在今后的经营活动中必须与承诺人或承诺人的关联企业发生不可避免的 </w:t>
            </w:r>
            <w:r>
              <w:rPr>
                <w:rFonts w:ascii="宋体" w:hAnsi="宋体" w:cs="宋体" w:eastAsia="宋体" w:hint="default"/>
                <w:spacing w:val="-1"/>
                <w:sz w:val="18"/>
                <w:szCs w:val="18"/>
              </w:rPr>
              <w:t>关联交易，承诺人将促使此等交易严格按照国家有关法律法规、上市公司章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程和中国证监会的有关规定履行有关程序，与上市公司依法签订协议，及时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依法进行信息披露和办理相关报批手续；保证按照市场化原则、公允价格进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行公平操作，且本公司及本公司的关联企业将不会要求或接受上市公司给予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比在任何一项市场公平交易中第三者更优惠的条件，保证不通过关联交易损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害上市公司及其他股东的合法权益。</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、承诺人承诺将不会利用上市公司的 股东地位，损害上市公司及其他股东的合法权益。</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、本公司将杜绝一切非 </w:t>
            </w:r>
            <w:r>
              <w:rPr>
                <w:rFonts w:ascii="宋体" w:hAnsi="宋体" w:cs="宋体" w:eastAsia="宋体" w:hint="default"/>
                <w:spacing w:val="-1"/>
                <w:sz w:val="18"/>
                <w:szCs w:val="18"/>
              </w:rPr>
              <w:t>法占有上市公司的资金、资产的行为，在任何情况下，不要求上市公司及其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下属企业向本公司以及本公司的关联企业提供任何形式的担保和资金支持。 </w:t>
            </w:r>
            <w:r>
              <w:rPr>
                <w:rFonts w:ascii="Times New Roman" w:hAnsi="Times New Roman" w:cs="Times New Roman" w:eastAsia="Times New Roman" w:hint="default"/>
                <w:sz w:val="18"/>
                <w:szCs w:val="18"/>
              </w:rPr>
              <w:t>6</w:t>
            </w:r>
            <w:r>
              <w:rPr>
                <w:rFonts w:ascii="宋体" w:hAnsi="宋体" w:cs="宋体" w:eastAsia="宋体" w:hint="default"/>
                <w:sz w:val="18"/>
                <w:szCs w:val="18"/>
              </w:rPr>
              <w:t>、如违反上述承诺给上市公司造成损失，本公司将向上市公司作出充分的 赔偿或补偿。</w:t>
            </w:r>
          </w:p>
        </w:tc>
        <w:tc>
          <w:tcPr>
            <w:tcW w:w="1128"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2146" w:type="dxa"/>
            <w:tcBorders>
              <w:top w:val="single" w:sz="15" w:space="0" w:color="000000"/>
              <w:left w:val="single" w:sz="4" w:space="0" w:color="000000"/>
              <w:bottom w:val="single" w:sz="4" w:space="0" w:color="000000"/>
              <w:right w:val="single" w:sz="4" w:space="0" w:color="000000"/>
            </w:tcBorders>
          </w:tcPr>
          <w:p>
            <w:pPr/>
          </w:p>
        </w:tc>
      </w:tr>
      <w:tr>
        <w:trPr>
          <w:trHeight w:val="4148" w:hRule="exact"/>
        </w:trPr>
        <w:tc>
          <w:tcPr>
            <w:tcW w:w="1560"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91"/>
              <w:jc w:val="both"/>
              <w:rPr>
                <w:rFonts w:ascii="宋体" w:hAnsi="宋体" w:cs="宋体" w:eastAsia="宋体" w:hint="default"/>
                <w:sz w:val="18"/>
                <w:szCs w:val="18"/>
              </w:rPr>
            </w:pPr>
            <w:r>
              <w:rPr>
                <w:rFonts w:ascii="宋体" w:hAnsi="宋体" w:cs="宋体" w:eastAsia="宋体" w:hint="default"/>
                <w:sz w:val="18"/>
                <w:szCs w:val="18"/>
              </w:rPr>
              <w:t>天津泰达科 技投资股份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1" w:right="21"/>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、本公司及控制的其他企业目前不存在自营、与他人共同经营或为他人经 营与顺利办及其子公司相同、相似业务的情形。</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、在直接或间接持有顺利 </w:t>
            </w:r>
            <w:r>
              <w:rPr>
                <w:rFonts w:ascii="宋体" w:hAnsi="宋体" w:cs="宋体" w:eastAsia="宋体" w:hint="default"/>
                <w:spacing w:val="-1"/>
                <w:sz w:val="18"/>
                <w:szCs w:val="18"/>
              </w:rPr>
              <w:t>办权益的期间内，本公司将不会采取参股、控股、联营、合营、合作或者其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他任何方式直接或间接从事与顺利办及其子公司所从事的业务范围相同、相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似或构成实质竞争的业务，也不会协助、促使或代表任何第三方以任何方式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直接或间接从事与顺利办及其子公司业务范围相同、相似或构成实质竞争的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业务；本公司将促使本公司控制的其他企业比照前述规定履行不竞争的义 务。</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、如因国家政策调整等不可抗力原因导致本公司或本公司控制的其他 企业将来从事的业务与顺利办及其子公司之间的同业竞争可能构成或不可 </w:t>
            </w:r>
            <w:r>
              <w:rPr>
                <w:rFonts w:ascii="宋体" w:hAnsi="宋体" w:cs="宋体" w:eastAsia="宋体" w:hint="default"/>
                <w:spacing w:val="-1"/>
                <w:sz w:val="18"/>
                <w:szCs w:val="18"/>
              </w:rPr>
              <w:t>避免时，则本公司将在顺利办及其子公司提出异议后及时转让或终止上述业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务或促使本公司控制的其他企业及时转让或终止上述业务；如顺利办及其子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公司进一步要求，顺利办及其子公司享有上述业务在同等条件下的优先受让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1" w:right="22"/>
              <w:jc w:val="both"/>
              <w:rPr>
                <w:rFonts w:ascii="宋体" w:hAnsi="宋体" w:cs="宋体" w:eastAsia="宋体" w:hint="default"/>
                <w:sz w:val="18"/>
                <w:szCs w:val="18"/>
              </w:rPr>
            </w:pPr>
            <w:r>
              <w:rPr>
                <w:rFonts w:ascii="宋体" w:hAnsi="宋体" w:cs="宋体" w:eastAsia="宋体" w:hint="default"/>
                <w:spacing w:val="-6"/>
                <w:sz w:val="18"/>
                <w:szCs w:val="18"/>
              </w:rPr>
              <w:t>截至目前，该承诺正在履行</w:t>
            </w:r>
            <w:r>
              <w:rPr>
                <w:rFonts w:ascii="宋体" w:hAnsi="宋体" w:cs="宋体" w:eastAsia="宋体" w:hint="default"/>
                <w:sz w:val="18"/>
                <w:szCs w:val="18"/>
              </w:rPr>
              <w:t> </w:t>
            </w:r>
            <w:r>
              <w:rPr>
                <w:rFonts w:ascii="宋体" w:hAnsi="宋体" w:cs="宋体" w:eastAsia="宋体" w:hint="default"/>
                <w:spacing w:val="-6"/>
                <w:sz w:val="18"/>
                <w:szCs w:val="18"/>
              </w:rPr>
              <w:t>期内，履行期间不存在违背</w:t>
            </w:r>
            <w:r>
              <w:rPr>
                <w:rFonts w:ascii="宋体" w:hAnsi="宋体" w:cs="宋体" w:eastAsia="宋体" w:hint="default"/>
                <w:sz w:val="18"/>
                <w:szCs w:val="18"/>
              </w:rPr>
              <w:t> 承诺的情形。</w:t>
            </w:r>
          </w:p>
        </w:tc>
      </w:tr>
      <w:tr>
        <w:trPr>
          <w:trHeight w:val="986"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天津泰达科 技投资股份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1"/>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、本公司及控制的其他企业将采取措施尽量减少并避免与顺利办及其子公 </w:t>
            </w:r>
            <w:r>
              <w:rPr>
                <w:rFonts w:ascii="宋体" w:hAnsi="宋体" w:cs="宋体" w:eastAsia="宋体" w:hint="default"/>
                <w:spacing w:val="-1"/>
                <w:sz w:val="18"/>
                <w:szCs w:val="18"/>
              </w:rPr>
              <w:t>司发生关联交易；对于无法避免的关联交易，将依法与顺利办及其子公司签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订关联交易合同，参照市场通行的标准，公允确定关联交易的价格。</w:t>
            </w:r>
            <w:r>
              <w:rPr>
                <w:rFonts w:ascii="宋体" w:hAnsi="宋体" w:cs="宋体" w:eastAsia="宋体" w:hint="default"/>
                <w:spacing w:val="-21"/>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、严</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pacing w:val="-6"/>
                <w:sz w:val="18"/>
                <w:szCs w:val="18"/>
              </w:rPr>
              <w:t>截至目前，该承诺正在履行</w:t>
            </w:r>
            <w:r>
              <w:rPr>
                <w:rFonts w:ascii="宋体" w:hAnsi="宋体" w:cs="宋体" w:eastAsia="宋体" w:hint="default"/>
                <w:sz w:val="18"/>
                <w:szCs w:val="18"/>
              </w:rPr>
              <w:t> </w:t>
            </w:r>
            <w:r>
              <w:rPr>
                <w:rFonts w:ascii="宋体" w:hAnsi="宋体" w:cs="宋体" w:eastAsia="宋体" w:hint="default"/>
                <w:spacing w:val="-6"/>
                <w:sz w:val="18"/>
                <w:szCs w:val="18"/>
              </w:rPr>
              <w:t>期内，履行期间不存在违背</w:t>
            </w:r>
          </w:p>
        </w:tc>
      </w:tr>
    </w:tbl>
    <w:p>
      <w:pPr>
        <w:spacing w:after="0" w:line="316" w:lineRule="auto"/>
        <w:jc w:val="left"/>
        <w:rPr>
          <w:rFonts w:ascii="宋体" w:hAnsi="宋体" w:cs="宋体" w:eastAsia="宋体" w:hint="default"/>
          <w:sz w:val="18"/>
          <w:szCs w:val="18"/>
        </w:rPr>
        <w:sectPr>
          <w:pgSz w:w="16840" w:h="11910" w:orient="landscape"/>
          <w:pgMar w:header="867" w:footer="980" w:top="1060" w:bottom="1200" w:left="1320" w:right="11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560"/>
        <w:gridCol w:w="1126"/>
        <w:gridCol w:w="1126"/>
        <w:gridCol w:w="5970"/>
        <w:gridCol w:w="1128"/>
        <w:gridCol w:w="1121"/>
        <w:gridCol w:w="2148"/>
      </w:tblGrid>
      <w:tr>
        <w:trPr>
          <w:trHeight w:val="1625"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5970" w:type="dxa"/>
            <w:tcBorders>
              <w:top w:val="single" w:sz="15" w:space="0" w:color="000000"/>
              <w:left w:val="single" w:sz="4" w:space="0" w:color="000000"/>
              <w:bottom w:val="single" w:sz="4" w:space="0" w:color="000000"/>
              <w:right w:val="single" w:sz="4" w:space="0" w:color="000000"/>
            </w:tcBorders>
          </w:tcPr>
          <w:p>
            <w:pPr>
              <w:pStyle w:val="TableParagraph"/>
              <w:spacing w:line="304" w:lineRule="auto" w:before="11"/>
              <w:ind w:left="23" w:right="21"/>
              <w:jc w:val="both"/>
              <w:rPr>
                <w:rFonts w:ascii="宋体" w:hAnsi="宋体" w:cs="宋体" w:eastAsia="宋体" w:hint="default"/>
                <w:sz w:val="18"/>
                <w:szCs w:val="18"/>
              </w:rPr>
            </w:pPr>
            <w:r>
              <w:rPr>
                <w:rFonts w:ascii="宋体" w:hAnsi="宋体" w:cs="宋体" w:eastAsia="宋体" w:hint="default"/>
                <w:spacing w:val="-3"/>
                <w:sz w:val="18"/>
                <w:szCs w:val="18"/>
              </w:rPr>
              <w:t>格按相关规定履行必要的关联董事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关联股东回避表决等义务，遵守批准关联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交易的法定程序和信息披露义务。</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、保证不通过关联交易损害顺利办及其 他股东的合法权益。</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、如本公司违反上述承诺，顺利办及其子公司、顺利 </w:t>
            </w:r>
            <w:r>
              <w:rPr>
                <w:rFonts w:ascii="宋体" w:hAnsi="宋体" w:cs="宋体" w:eastAsia="宋体" w:hint="default"/>
                <w:spacing w:val="-1"/>
                <w:sz w:val="18"/>
                <w:szCs w:val="18"/>
              </w:rPr>
              <w:t>办其他股东有权要求本公司赔偿因此遭受的全部损失；同时本公司因违反上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述承诺所取得的收益归顺利办所有。</w:t>
            </w:r>
          </w:p>
        </w:tc>
        <w:tc>
          <w:tcPr>
            <w:tcW w:w="1128"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21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承诺的情形。</w:t>
            </w:r>
          </w:p>
        </w:tc>
      </w:tr>
      <w:tr>
        <w:trPr>
          <w:trHeight w:val="4148" w:hRule="exact"/>
        </w:trPr>
        <w:tc>
          <w:tcPr>
            <w:tcW w:w="1560"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91"/>
              <w:jc w:val="both"/>
              <w:rPr>
                <w:rFonts w:ascii="宋体" w:hAnsi="宋体" w:cs="宋体" w:eastAsia="宋体" w:hint="default"/>
                <w:sz w:val="18"/>
                <w:szCs w:val="18"/>
              </w:rPr>
            </w:pPr>
            <w:r>
              <w:rPr>
                <w:rFonts w:ascii="宋体" w:hAnsi="宋体" w:cs="宋体" w:eastAsia="宋体" w:hint="default"/>
                <w:sz w:val="18"/>
                <w:szCs w:val="18"/>
              </w:rPr>
              <w:t>天津泰达科 技投资股份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1" w:right="21"/>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、本公司及控制的其他企业目前不存在自营、与他人共同经营或为他人经 营与顺利办及其子公司相同、相似业务的情形。</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、在直接或间接持有顺利 </w:t>
            </w:r>
            <w:r>
              <w:rPr>
                <w:rFonts w:ascii="宋体" w:hAnsi="宋体" w:cs="宋体" w:eastAsia="宋体" w:hint="default"/>
                <w:spacing w:val="-1"/>
                <w:sz w:val="18"/>
                <w:szCs w:val="18"/>
              </w:rPr>
              <w:t>办权益的期间内，本公司将不会采取参股、控股、联营、合营、合作或者其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他任何方式直接或间接从事与顺利办及其子公司所从事的业务范围相同、相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似或构成实质竞争的业务，也不会协助、促使或代表任何第三方以任何方式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直接或间接从事与顺利办及其子公司业务范围相同、相似或构成实质竞争的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业务；本公司将促使本公司控制的其他企业比照前述规定履行不竞争的义 务。</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、如因国家政策调整等不可抗力原因导致本公司或本公司控制的其他 企业将来从事的业务与顺利办及其子公司之间的同业竞争可能构成或不可 </w:t>
            </w:r>
            <w:r>
              <w:rPr>
                <w:rFonts w:ascii="宋体" w:hAnsi="宋体" w:cs="宋体" w:eastAsia="宋体" w:hint="default"/>
                <w:spacing w:val="-1"/>
                <w:sz w:val="18"/>
                <w:szCs w:val="18"/>
              </w:rPr>
              <w:t>避免时，则本公司将在顺利办及其子公司提出异议后及时转让或终止上述业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务或促使本公司控制的其他企业及时转让或终止上述业务；如顺利办及其子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公司进一步要求，顺利办及其子公司享有上述业务在同等条件下的优先受让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1" w:right="24"/>
              <w:jc w:val="both"/>
              <w:rPr>
                <w:rFonts w:ascii="宋体" w:hAnsi="宋体" w:cs="宋体" w:eastAsia="宋体" w:hint="default"/>
                <w:sz w:val="18"/>
                <w:szCs w:val="18"/>
              </w:rPr>
            </w:pPr>
            <w:r>
              <w:rPr>
                <w:rFonts w:ascii="宋体" w:hAnsi="宋体" w:cs="宋体" w:eastAsia="宋体" w:hint="default"/>
                <w:spacing w:val="-6"/>
                <w:sz w:val="18"/>
                <w:szCs w:val="18"/>
              </w:rPr>
              <w:t>截至目前，该承诺正在履行</w:t>
            </w:r>
            <w:r>
              <w:rPr>
                <w:rFonts w:ascii="宋体" w:hAnsi="宋体" w:cs="宋体" w:eastAsia="宋体" w:hint="default"/>
                <w:sz w:val="18"/>
                <w:szCs w:val="18"/>
              </w:rPr>
              <w:t> </w:t>
            </w:r>
            <w:r>
              <w:rPr>
                <w:rFonts w:ascii="宋体" w:hAnsi="宋体" w:cs="宋体" w:eastAsia="宋体" w:hint="default"/>
                <w:spacing w:val="-6"/>
                <w:sz w:val="18"/>
                <w:szCs w:val="18"/>
              </w:rPr>
              <w:t>期内，履行期间不存在违背</w:t>
            </w:r>
            <w:r>
              <w:rPr>
                <w:rFonts w:ascii="宋体" w:hAnsi="宋体" w:cs="宋体" w:eastAsia="宋体" w:hint="default"/>
                <w:sz w:val="18"/>
                <w:szCs w:val="18"/>
              </w:rPr>
              <w:t> 承诺的情形。</w:t>
            </w:r>
          </w:p>
        </w:tc>
      </w:tr>
      <w:tr>
        <w:trPr>
          <w:trHeight w:val="2585" w:hRule="exact"/>
        </w:trPr>
        <w:tc>
          <w:tcPr>
            <w:tcW w:w="1560"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91"/>
              <w:jc w:val="both"/>
              <w:rPr>
                <w:rFonts w:ascii="宋体" w:hAnsi="宋体" w:cs="宋体" w:eastAsia="宋体" w:hint="default"/>
                <w:sz w:val="18"/>
                <w:szCs w:val="18"/>
              </w:rPr>
            </w:pPr>
            <w:r>
              <w:rPr>
                <w:rFonts w:ascii="宋体" w:hAnsi="宋体" w:cs="宋体" w:eastAsia="宋体" w:hint="default"/>
                <w:sz w:val="18"/>
                <w:szCs w:val="18"/>
              </w:rPr>
              <w:t>天津泰达科 技投资股份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21"/>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、本公司及控制的其他企业将采取措施尽量减少并避免与顺利办及其子公 </w:t>
            </w:r>
            <w:r>
              <w:rPr>
                <w:rFonts w:ascii="宋体" w:hAnsi="宋体" w:cs="宋体" w:eastAsia="宋体" w:hint="default"/>
                <w:spacing w:val="-1"/>
                <w:sz w:val="18"/>
                <w:szCs w:val="18"/>
              </w:rPr>
              <w:t>司发生关联交易；对于无法避免的关联交易，将依法与顺利办及其子公司签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订关联交易合同，参照市场通行的标准，公允确定关联交易的价格。</w:t>
            </w:r>
            <w:r>
              <w:rPr>
                <w:rFonts w:ascii="宋体" w:hAnsi="宋体" w:cs="宋体" w:eastAsia="宋体" w:hint="default"/>
                <w:spacing w:val="-18"/>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、严</w:t>
            </w:r>
            <w:r>
              <w:rPr>
                <w:rFonts w:ascii="宋体" w:hAnsi="宋体" w:cs="宋体" w:eastAsia="宋体" w:hint="default"/>
                <w:spacing w:val="-8"/>
                <w:sz w:val="18"/>
                <w:szCs w:val="18"/>
              </w:rPr>
              <w:t> </w:t>
            </w:r>
            <w:r>
              <w:rPr>
                <w:rFonts w:ascii="宋体" w:hAnsi="宋体" w:cs="宋体" w:eastAsia="宋体" w:hint="default"/>
                <w:spacing w:val="-3"/>
                <w:sz w:val="18"/>
                <w:szCs w:val="18"/>
              </w:rPr>
              <w:t>格按相关规定履行必要的关联董事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关联股东回避表决等义务，遵守批准关联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交易的法定程序和信息披露义务。</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、保证不通过关联交易损害顺利办及其 他股东的合法权益。</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、如本公司违反上述承诺，顺利办及其子公司、顺利 </w:t>
            </w:r>
            <w:r>
              <w:rPr>
                <w:rFonts w:ascii="宋体" w:hAnsi="宋体" w:cs="宋体" w:eastAsia="宋体" w:hint="default"/>
                <w:spacing w:val="-1"/>
                <w:sz w:val="18"/>
                <w:szCs w:val="18"/>
              </w:rPr>
              <w:t>办其他股东有权要求本公司赔偿因此遭受的全部损失；同时本公司因违反上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述承诺所取得的收益归顺利办所有。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24"/>
              <w:jc w:val="both"/>
              <w:rPr>
                <w:rFonts w:ascii="宋体" w:hAnsi="宋体" w:cs="宋体" w:eastAsia="宋体" w:hint="default"/>
                <w:sz w:val="18"/>
                <w:szCs w:val="18"/>
              </w:rPr>
            </w:pPr>
            <w:r>
              <w:rPr>
                <w:rFonts w:ascii="宋体" w:hAnsi="宋体" w:cs="宋体" w:eastAsia="宋体" w:hint="default"/>
                <w:spacing w:val="-6"/>
                <w:sz w:val="18"/>
                <w:szCs w:val="18"/>
              </w:rPr>
              <w:t>截至目前，该承诺正在履行</w:t>
            </w:r>
            <w:r>
              <w:rPr>
                <w:rFonts w:ascii="宋体" w:hAnsi="宋体" w:cs="宋体" w:eastAsia="宋体" w:hint="default"/>
                <w:sz w:val="18"/>
                <w:szCs w:val="18"/>
              </w:rPr>
              <w:t> </w:t>
            </w:r>
            <w:r>
              <w:rPr>
                <w:rFonts w:ascii="宋体" w:hAnsi="宋体" w:cs="宋体" w:eastAsia="宋体" w:hint="default"/>
                <w:spacing w:val="-6"/>
                <w:sz w:val="18"/>
                <w:szCs w:val="18"/>
              </w:rPr>
              <w:t>期内，履行期间不存在违背</w:t>
            </w:r>
            <w:r>
              <w:rPr>
                <w:rFonts w:ascii="宋体" w:hAnsi="宋体" w:cs="宋体" w:eastAsia="宋体" w:hint="default"/>
                <w:sz w:val="18"/>
                <w:szCs w:val="18"/>
              </w:rPr>
              <w:t> 承诺的情形。</w:t>
            </w:r>
          </w:p>
        </w:tc>
      </w:tr>
      <w:tr>
        <w:trPr>
          <w:trHeight w:val="1027"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1"/>
              <w:jc w:val="left"/>
              <w:rPr>
                <w:rFonts w:ascii="宋体" w:hAnsi="宋体" w:cs="宋体" w:eastAsia="宋体" w:hint="default"/>
                <w:sz w:val="18"/>
                <w:szCs w:val="18"/>
              </w:rPr>
            </w:pPr>
            <w:r>
              <w:rPr>
                <w:rFonts w:ascii="宋体" w:hAnsi="宋体" w:cs="宋体" w:eastAsia="宋体" w:hint="default"/>
                <w:sz w:val="18"/>
                <w:szCs w:val="18"/>
              </w:rPr>
              <w:t>百达永信投 资有限公司； </w:t>
            </w:r>
            <w:r>
              <w:rPr>
                <w:rFonts w:ascii="宋体" w:hAnsi="宋体" w:cs="宋体" w:eastAsia="宋体" w:hint="default"/>
                <w:spacing w:val="-3"/>
                <w:sz w:val="18"/>
                <w:szCs w:val="18"/>
              </w:rPr>
              <w:t>彭聪；广西泰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23" w:right="19"/>
              <w:jc w:val="both"/>
              <w:rPr>
                <w:rFonts w:ascii="宋体" w:hAnsi="宋体" w:cs="宋体" w:eastAsia="宋体" w:hint="default"/>
                <w:sz w:val="18"/>
                <w:szCs w:val="18"/>
              </w:rPr>
            </w:pPr>
            <w:r>
              <w:rPr>
                <w:rFonts w:ascii="宋体" w:hAnsi="宋体" w:cs="宋体" w:eastAsia="宋体" w:hint="default"/>
                <w:sz w:val="18"/>
                <w:szCs w:val="18"/>
              </w:rPr>
              <w:t>一、人员独立</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、保证上市公司的生产经营与行政管理（包括劳动、人事及 工资管理等）完全独立于本公司及本公司的关联方。</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、保证上市公司的总 </w:t>
            </w:r>
            <w:r>
              <w:rPr>
                <w:rFonts w:ascii="宋体" w:hAnsi="宋体" w:cs="宋体" w:eastAsia="宋体" w:hint="default"/>
                <w:spacing w:val="-1"/>
                <w:sz w:val="18"/>
                <w:szCs w:val="18"/>
              </w:rPr>
              <w:t>经理、副总经理、财务负责人、董事会秘书等高级管理人员的独立性，不在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4"/>
              <w:jc w:val="both"/>
              <w:rPr>
                <w:rFonts w:ascii="宋体" w:hAnsi="宋体" w:cs="宋体" w:eastAsia="宋体" w:hint="default"/>
                <w:sz w:val="18"/>
                <w:szCs w:val="18"/>
              </w:rPr>
            </w:pPr>
            <w:r>
              <w:rPr>
                <w:rFonts w:ascii="宋体" w:hAnsi="宋体" w:cs="宋体" w:eastAsia="宋体" w:hint="default"/>
                <w:spacing w:val="-6"/>
                <w:sz w:val="18"/>
                <w:szCs w:val="18"/>
              </w:rPr>
              <w:t>截至目前，该承诺正在履行</w:t>
            </w:r>
            <w:r>
              <w:rPr>
                <w:rFonts w:ascii="宋体" w:hAnsi="宋体" w:cs="宋体" w:eastAsia="宋体" w:hint="default"/>
                <w:sz w:val="18"/>
                <w:szCs w:val="18"/>
              </w:rPr>
              <w:t> </w:t>
            </w:r>
            <w:r>
              <w:rPr>
                <w:rFonts w:ascii="宋体" w:hAnsi="宋体" w:cs="宋体" w:eastAsia="宋体" w:hint="default"/>
                <w:spacing w:val="-6"/>
                <w:sz w:val="18"/>
                <w:szCs w:val="18"/>
              </w:rPr>
              <w:t>期内，履行期间不存在违背</w:t>
            </w:r>
            <w:r>
              <w:rPr>
                <w:rFonts w:ascii="宋体" w:hAnsi="宋体" w:cs="宋体" w:eastAsia="宋体" w:hint="default"/>
                <w:sz w:val="18"/>
                <w:szCs w:val="18"/>
              </w:rPr>
              <w:t> 承诺的情形。</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160" w:left="1320" w:right="1100"/>
        </w:sectPr>
      </w:pPr>
    </w:p>
    <w:p>
      <w:pPr>
        <w:spacing w:line="240" w:lineRule="auto" w:before="2"/>
        <w:rPr>
          <w:rFonts w:ascii="Times New Roman" w:hAnsi="Times New Roman" w:cs="Times New Roman" w:eastAsia="Times New Roman" w:hint="default"/>
          <w:sz w:val="3"/>
          <w:szCs w:val="3"/>
        </w:rPr>
      </w:pPr>
      <w:r>
        <w:rPr/>
        <w:pict>
          <v:shape style="position:absolute;margin-left:465.269012pt;margin-top:57.240005pt;width:152pt;height:423.25pt;mso-position-horizontal-relative:page;mso-position-vertical-relative:page;z-index:-1013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720" w:right="0" w:firstLine="1082"/>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firstLine="720"/>
                    <w:jc w:val="left"/>
                  </w:pPr>
                  <w:r>
                    <w:rPr/>
                    <w:t>立在银行开户，</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0"/>
                    <w:jc w:val="left"/>
                  </w:pPr>
                  <w:r>
                    <w:rPr/>
                    <w:t>独立行使经营管理职权，</w:t>
                  </w:r>
                </w:p>
              </w:txbxContent>
            </v:textbox>
            <w10:wrap type="none"/>
          </v:shape>
        </w:pict>
      </w:r>
      <w:r>
        <w:rPr/>
        <w:pict>
          <v:group style="position:absolute;margin-left:561.429993pt;margin-top:506.376007pt;width:55.8pt;height:25.45pt;mso-position-horizontal-relative:page;mso-position-vertical-relative:page;z-index:-1013416" coordorigin="11229,10128" coordsize="1116,509">
            <v:group style="position:absolute;left:11229;top:10480;width:1116;height:156" coordorigin="11229,10480" coordsize="1116,156">
              <v:shape style="position:absolute;left:11229;top:10480;width:1116;height:156" coordorigin="11229,10480" coordsize="1116,156" path="m11229,10636l12345,10636,12345,10480,11229,10480,11229,10636xe" filled="true" fillcolor="#ffffff" stroked="false">
                <v:path arrowok="t"/>
                <v:fill type="solid"/>
              </v:shape>
            </v:group>
            <v:group style="position:absolute;left:11250;top:10128;width:1071;height:353" coordorigin="11250,10128" coordsize="1071,353">
              <v:shape style="position:absolute;left:11250;top:10128;width:1071;height:353" coordorigin="11250,10128" coordsize="1071,353" path="m11250,10480l12321,10480,12321,10128,11250,10128,11250,1048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560"/>
        <w:gridCol w:w="1126"/>
        <w:gridCol w:w="1126"/>
        <w:gridCol w:w="5970"/>
        <w:gridCol w:w="1128"/>
        <w:gridCol w:w="1121"/>
        <w:gridCol w:w="2146"/>
      </w:tblGrid>
      <w:tr>
        <w:trPr>
          <w:trHeight w:val="332"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达新原股权</w:t>
            </w:r>
          </w:p>
        </w:tc>
        <w:tc>
          <w:tcPr>
            <w:tcW w:w="1126" w:type="dxa"/>
            <w:vMerge w:val="restart"/>
            <w:tcBorders>
              <w:top w:val="single" w:sz="15" w:space="0" w:color="000000"/>
              <w:left w:val="single" w:sz="4" w:space="0" w:color="000000"/>
              <w:right w:val="single" w:sz="4" w:space="0" w:color="000000"/>
            </w:tcBorders>
          </w:tcPr>
          <w:p>
            <w:pPr/>
          </w:p>
        </w:tc>
        <w:tc>
          <w:tcPr>
            <w:tcW w:w="597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1"/>
                <w:sz w:val="18"/>
                <w:szCs w:val="18"/>
              </w:rPr>
              <w:t>本公司控制的其他企业中担任除董事、监事以外的职务，不在本公司控制的</w:t>
            </w:r>
          </w:p>
        </w:tc>
        <w:tc>
          <w:tcPr>
            <w:tcW w:w="1128" w:type="dxa"/>
            <w:vMerge w:val="restart"/>
            <w:tcBorders>
              <w:top w:val="single" w:sz="15" w:space="0" w:color="000000"/>
              <w:left w:val="single" w:sz="4" w:space="0" w:color="000000"/>
              <w:right w:val="single" w:sz="4" w:space="0" w:color="000000"/>
            </w:tcBorders>
          </w:tcPr>
          <w:p>
            <w:pPr>
              <w:pStyle w:val="TableParagraph"/>
              <w:spacing w:line="8464"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8"/>
                <w:sz w:val="20"/>
                <w:szCs w:val="20"/>
              </w:rPr>
              <w:pict>
                <v:group style="width:55.8pt;height:423.25pt;mso-position-horizontal-relative:char;mso-position-vertical-relative:line" coordorigin="0,0" coordsize="1116,8465">
                  <v:group style="position:absolute;left:0;top:0;width:1116;height:8465" coordorigin="0,0" coordsize="1116,8465">
                    <v:shape style="position:absolute;left:0;top:0;width:1116;height:8465" coordorigin="0,0" coordsize="1116,8465" path="m0,8464l1116,8464,1116,0,0,0,0,8464xe" filled="true" fillcolor="#ffffff" stroked="false">
                      <v:path arrowok="t"/>
                      <v:fill type="solid"/>
                    </v:shape>
                  </v:group>
                </v:group>
              </w:pict>
            </w:r>
            <w:r>
              <w:rPr>
                <w:rFonts w:ascii="Times New Roman" w:hAnsi="Times New Roman" w:cs="Times New Roman" w:eastAsia="Times New Roman" w:hint="default"/>
                <w:position w:val="-168"/>
                <w:sz w:val="20"/>
                <w:szCs w:val="20"/>
              </w:rPr>
            </w:r>
          </w:p>
        </w:tc>
        <w:tc>
          <w:tcPr>
            <w:tcW w:w="1121" w:type="dxa"/>
            <w:vMerge w:val="restart"/>
            <w:tcBorders>
              <w:top w:val="single" w:sz="15" w:space="0" w:color="000000"/>
              <w:left w:val="single" w:sz="4" w:space="0" w:color="000000"/>
              <w:right w:val="single" w:sz="4" w:space="0" w:color="000000"/>
            </w:tcBorders>
          </w:tcPr>
          <w:p>
            <w:pPr/>
          </w:p>
        </w:tc>
        <w:tc>
          <w:tcPr>
            <w:tcW w:w="2146" w:type="dxa"/>
            <w:vMerge w:val="restart"/>
            <w:tcBorders>
              <w:top w:val="single" w:sz="15"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投资有限公</w:t>
            </w: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sz w:val="18"/>
                <w:szCs w:val="18"/>
              </w:rPr>
              <w:t>其他企业领取薪酬；保证上市公司的财务人员不在本公司控制的其他企业中</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兼职。</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、保证本公司及关联方提名出任上市公司董事、监事和高级管理人</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sz w:val="18"/>
                <w:szCs w:val="18"/>
              </w:rPr>
              <w:t>员的人选都通过合法的程序进行，本公司及关联方不干预上市公司董事会和</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股东大会已经作出的人事任免决定。 二、资产独立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、保证上市公司具有</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sz w:val="18"/>
                <w:szCs w:val="18"/>
              </w:rPr>
              <w:t>独立完整的资产、其资产全部能处于上市公司的控制之下，并为上市公司独</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5"/>
              <w:jc w:val="left"/>
              <w:rPr>
                <w:rFonts w:ascii="宋体" w:hAnsi="宋体" w:cs="宋体" w:eastAsia="宋体" w:hint="default"/>
                <w:sz w:val="18"/>
                <w:szCs w:val="18"/>
              </w:rPr>
            </w:pPr>
            <w:r>
              <w:rPr>
                <w:rFonts w:ascii="宋体" w:hAnsi="宋体" w:cs="宋体" w:eastAsia="宋体" w:hint="default"/>
                <w:sz w:val="18"/>
                <w:szCs w:val="18"/>
              </w:rPr>
              <w:t>立拥有和运营。</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、确保上市公司与本公司及其关联方之间产权关系明确，</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上市公司对所属资产拥有完整的所有权，确保上市公司资产的独立完整。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1"/>
                <w:sz w:val="18"/>
                <w:szCs w:val="18"/>
              </w:rPr>
              <w:t>本公司及其关联方本次交易前没有、交易完成后也不以任何方式违规占用上</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市公司的资金、资产。 三、财务独立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、保证上市公司拥有独立的财务部</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门和独立的财务核算体系。</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、保证上市公司具有规范、独立的财务会计制</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度和对分公司、子公司的财务管理制度。</w:t>
            </w:r>
            <w:r>
              <w:rPr>
                <w:rFonts w:ascii="宋体" w:hAnsi="宋体" w:cs="宋体" w:eastAsia="宋体" w:hint="default"/>
                <w:spacing w:val="-15"/>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、保证上市公司独</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不与本公司及其关联方共用一个银行账户。</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、保证上市公司能够作出独立</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的财务决策，不干预上市公司的资金使用。</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、保证上市公司的财务人员独</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立，不在本公司（本公司控制企业）及其关联方处兼职和领取报酬。</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、保</w:t>
            </w:r>
            <w:r>
              <w:rPr>
                <w:rFonts w:ascii="宋体" w:hAnsi="宋体" w:cs="宋体" w:eastAsia="宋体" w:hint="default"/>
                <w:sz w:val="18"/>
                <w:szCs w:val="18"/>
              </w:rPr>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证上市公司依法独立纳税。 四、机构独立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、保证上市公司拥有健全的股</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份公司法人治理结构，拥有独立、完整的组织机构，</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与本公司控制的其他企业间不存在机构混同的情形。</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、保证上市公司的股</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sz w:val="18"/>
                <w:szCs w:val="18"/>
              </w:rPr>
              <w:t>东大会、董事会、独立董事、监事会、总经理等依照法律、法规和公司章程</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独立行使职权。 五、业务独立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、保证上市公司拥有独立开展经营活动的</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资产、人员、资质和能力，具有面向市场独立自主持续经营的能力。</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w:t>
            </w:r>
            <w:r>
              <w:rPr>
                <w:rFonts w:ascii="宋体" w:hAnsi="宋体" w:cs="宋体" w:eastAsia="宋体" w:hint="default"/>
                <w:sz w:val="18"/>
                <w:szCs w:val="18"/>
              </w:rPr>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通过行使股东权利之外，不对上市公司的业务活动进行干预。</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、保证本公</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司及本公司控制的其他企业避免从事与上市公司具有实质性竞争的业务。</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、保证尽量减少本公司及本公司控制的其他企业与上市公司的关联交易；</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1"/>
                <w:sz w:val="18"/>
                <w:szCs w:val="18"/>
              </w:rPr>
              <w:t>在进行确有必要且无法避免的关联交易时，保证按市场化原则和公允价格进</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sz w:val="18"/>
                <w:szCs w:val="18"/>
              </w:rPr>
              <w:t>行公平操作，并按相关法律法规以及规范性文件的规定履行交易程序及信息</w:t>
            </w: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vMerge/>
            <w:tcBorders>
              <w:left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5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披露义务。</w:t>
            </w:r>
          </w:p>
        </w:tc>
        <w:tc>
          <w:tcPr>
            <w:tcW w:w="1128"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2146" w:type="dxa"/>
            <w:vMerge/>
            <w:tcBorders>
              <w:left w:val="single" w:sz="4" w:space="0" w:color="000000"/>
              <w:bottom w:val="single" w:sz="4" w:space="0" w:color="000000"/>
              <w:right w:val="single" w:sz="4" w:space="0" w:color="000000"/>
            </w:tcBorders>
          </w:tcPr>
          <w:p>
            <w:pPr/>
          </w:p>
        </w:tc>
      </w:tr>
      <w:tr>
        <w:trPr>
          <w:trHeight w:val="1027"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both"/>
              <w:rPr>
                <w:rFonts w:ascii="宋体" w:hAnsi="宋体" w:cs="宋体" w:eastAsia="宋体" w:hint="default"/>
                <w:sz w:val="18"/>
                <w:szCs w:val="18"/>
              </w:rPr>
            </w:pPr>
            <w:r>
              <w:rPr>
                <w:rFonts w:ascii="宋体" w:hAnsi="宋体" w:cs="宋体" w:eastAsia="宋体" w:hint="default"/>
                <w:sz w:val="18"/>
                <w:szCs w:val="18"/>
              </w:rPr>
              <w:t>天津泰达科 技投资股份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70" w:type="dxa"/>
            <w:tcBorders>
              <w:top w:val="single" w:sz="4" w:space="0" w:color="000000"/>
              <w:left w:val="single" w:sz="4" w:space="0" w:color="000000"/>
              <w:bottom w:val="single" w:sz="4" w:space="0" w:color="000000"/>
              <w:right w:val="single" w:sz="13" w:space="0" w:color="FFFFFF"/>
            </w:tcBorders>
          </w:tcPr>
          <w:p>
            <w:pPr>
              <w:pStyle w:val="TableParagraph"/>
              <w:spacing w:line="307" w:lineRule="auto" w:before="70"/>
              <w:ind w:left="23" w:right="5"/>
              <w:jc w:val="both"/>
              <w:rPr>
                <w:rFonts w:ascii="宋体" w:hAnsi="宋体" w:cs="宋体" w:eastAsia="宋体" w:hint="default"/>
                <w:sz w:val="18"/>
                <w:szCs w:val="18"/>
              </w:rPr>
            </w:pPr>
            <w:r>
              <w:rPr>
                <w:rFonts w:ascii="宋体" w:hAnsi="宋体" w:cs="宋体" w:eastAsia="宋体" w:hint="default"/>
                <w:sz w:val="18"/>
                <w:szCs w:val="18"/>
              </w:rPr>
              <w:t>一、保证上市公司人员独立</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、上市公司的高级管理人员专职在上市公司任 </w:t>
            </w:r>
            <w:r>
              <w:rPr>
                <w:rFonts w:ascii="宋体" w:hAnsi="宋体" w:cs="宋体" w:eastAsia="宋体" w:hint="default"/>
                <w:spacing w:val="-1"/>
                <w:sz w:val="18"/>
                <w:szCs w:val="18"/>
              </w:rPr>
              <w:t>职、并在上市公司领取薪酬，不会在本企业或本企业控制的其他公司、企业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或经济组织（以下统称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本企业的关联企业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）担任除董事、监事以外的职务</w:t>
            </w:r>
          </w:p>
        </w:tc>
        <w:tc>
          <w:tcPr>
            <w:tcW w:w="11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12" w:lineRule="exact"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199"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both"/>
              <w:rPr>
                <w:rFonts w:ascii="宋体" w:hAnsi="宋体" w:cs="宋体" w:eastAsia="宋体" w:hint="default"/>
                <w:sz w:val="18"/>
                <w:szCs w:val="18"/>
              </w:rPr>
            </w:pPr>
            <w:r>
              <w:rPr>
                <w:rFonts w:ascii="宋体" w:hAnsi="宋体" w:cs="宋体" w:eastAsia="宋体" w:hint="default"/>
                <w:spacing w:val="-6"/>
                <w:sz w:val="18"/>
                <w:szCs w:val="18"/>
              </w:rPr>
              <w:t>截至目前，该承诺正在履行</w:t>
            </w:r>
            <w:r>
              <w:rPr>
                <w:rFonts w:ascii="宋体" w:hAnsi="宋体" w:cs="宋体" w:eastAsia="宋体" w:hint="default"/>
                <w:sz w:val="18"/>
                <w:szCs w:val="18"/>
              </w:rPr>
              <w:t> </w:t>
            </w:r>
            <w:r>
              <w:rPr>
                <w:rFonts w:ascii="宋体" w:hAnsi="宋体" w:cs="宋体" w:eastAsia="宋体" w:hint="default"/>
                <w:spacing w:val="-6"/>
                <w:sz w:val="18"/>
                <w:szCs w:val="18"/>
              </w:rPr>
              <w:t>期内，履行期间不存在违背</w:t>
            </w:r>
            <w:r>
              <w:rPr>
                <w:rFonts w:ascii="宋体" w:hAnsi="宋体" w:cs="宋体" w:eastAsia="宋体" w:hint="default"/>
                <w:sz w:val="18"/>
                <w:szCs w:val="18"/>
              </w:rPr>
              <w:t> 承诺的情形。</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260" w:left="1320" w:right="11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560"/>
        <w:gridCol w:w="1126"/>
        <w:gridCol w:w="1126"/>
        <w:gridCol w:w="5970"/>
        <w:gridCol w:w="1128"/>
        <w:gridCol w:w="1121"/>
        <w:gridCol w:w="2146"/>
      </w:tblGrid>
      <w:tr>
        <w:trPr>
          <w:trHeight w:val="7242"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970" w:type="dxa"/>
            <w:tcBorders>
              <w:top w:val="single" w:sz="15" w:space="0" w:color="000000"/>
              <w:left w:val="single" w:sz="4" w:space="0" w:color="000000"/>
              <w:bottom w:val="single" w:sz="4" w:space="0" w:color="000000"/>
              <w:right w:val="single" w:sz="4" w:space="0" w:color="000000"/>
            </w:tcBorders>
          </w:tcPr>
          <w:p>
            <w:pPr>
              <w:pStyle w:val="TableParagraph"/>
              <w:spacing w:line="307" w:lineRule="auto" w:before="11"/>
              <w:ind w:left="23" w:right="-4"/>
              <w:jc w:val="left"/>
              <w:rPr>
                <w:rFonts w:ascii="宋体" w:hAnsi="宋体" w:cs="宋体" w:eastAsia="宋体" w:hint="default"/>
                <w:sz w:val="18"/>
                <w:szCs w:val="18"/>
              </w:rPr>
            </w:pPr>
            <w:r>
              <w:rPr>
                <w:rFonts w:ascii="宋体" w:hAnsi="宋体" w:cs="宋体" w:eastAsia="宋体" w:hint="default"/>
                <w:sz w:val="18"/>
                <w:szCs w:val="18"/>
              </w:rPr>
              <w:t>保持上市公司人员的独立性。</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、上市公司具有完整的独立的劳动、人事管 理体系，该等体系独立于本企业及本企业的关联企业。</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、本企业推荐出任 </w:t>
            </w:r>
            <w:r>
              <w:rPr>
                <w:rFonts w:ascii="宋体" w:hAnsi="宋体" w:cs="宋体" w:eastAsia="宋体" w:hint="default"/>
                <w:spacing w:val="-1"/>
                <w:sz w:val="18"/>
                <w:szCs w:val="18"/>
              </w:rPr>
              <w:t>上市公司董事和高级管理人员的人选（如有）均通过合法程序进行，本企业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不干预上市公司董事会和股东大会已做出的人事任免决定。</w:t>
            </w:r>
            <w:r>
              <w:rPr>
                <w:rFonts w:ascii="宋体" w:hAnsi="宋体" w:cs="宋体" w:eastAsia="宋体" w:hint="default"/>
                <w:spacing w:val="2"/>
                <w:sz w:val="18"/>
                <w:szCs w:val="18"/>
              </w:rPr>
              <w:t> </w:t>
            </w:r>
            <w:r>
              <w:rPr>
                <w:rFonts w:ascii="宋体" w:hAnsi="宋体" w:cs="宋体" w:eastAsia="宋体" w:hint="default"/>
                <w:sz w:val="18"/>
                <w:szCs w:val="18"/>
              </w:rPr>
              <w:t>二、保证上市</w:t>
            </w:r>
            <w:r>
              <w:rPr>
                <w:rFonts w:ascii="宋体" w:hAnsi="宋体" w:cs="宋体" w:eastAsia="宋体" w:hint="default"/>
                <w:sz w:val="18"/>
                <w:szCs w:val="18"/>
              </w:rPr>
              <w:t> 公司资产独立、完整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、上市公司具有完整的经营性资产，且资产全部处 </w:t>
            </w:r>
            <w:r>
              <w:rPr>
                <w:rFonts w:ascii="宋体" w:hAnsi="宋体" w:cs="宋体" w:eastAsia="宋体" w:hint="default"/>
                <w:spacing w:val="-1"/>
                <w:sz w:val="18"/>
                <w:szCs w:val="18"/>
              </w:rPr>
              <w:t>于上市公司及其子公司的控制之下，并为上市公司及其子公司独立拥有和运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营。</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、本企业及本企业的关联企业不违规占用上市公司的资金、资产及其 他资源，不以上市公司的资产为本企业或本企业的关联企业的债务提供担 保。 三、保证上市公司机构独立</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、上市公司依法建立和完善法人治理结 构，建立独立、完整的组织机构。</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、上市公司与本企业及本企业的关联企 业之间在办公机构和生产经营场所等方面完全分开。</w:t>
            </w:r>
            <w:r>
              <w:rPr>
                <w:rFonts w:ascii="宋体" w:hAnsi="宋体" w:cs="宋体" w:eastAsia="宋体" w:hint="default"/>
                <w:spacing w:val="2"/>
                <w:sz w:val="18"/>
                <w:szCs w:val="18"/>
              </w:rPr>
              <w:t> </w:t>
            </w:r>
            <w:r>
              <w:rPr>
                <w:rFonts w:ascii="宋体" w:hAnsi="宋体" w:cs="宋体" w:eastAsia="宋体" w:hint="default"/>
                <w:sz w:val="18"/>
                <w:szCs w:val="18"/>
              </w:rPr>
              <w:t>四、保证上市公司业</w:t>
            </w:r>
            <w:r>
              <w:rPr>
                <w:rFonts w:ascii="宋体" w:hAnsi="宋体" w:cs="宋体" w:eastAsia="宋体" w:hint="default"/>
                <w:sz w:val="18"/>
                <w:szCs w:val="18"/>
              </w:rPr>
              <w:t> 务独立</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、上市公司拥有独立开展经营活动的资产、人员、资质以及具有独 立面向市场自主经营的能力，在经营业务方面具有独立运作的能力。</w:t>
            </w:r>
            <w:r>
              <w:rPr>
                <w:rFonts w:ascii="宋体" w:hAnsi="宋体" w:cs="宋体" w:eastAsia="宋体" w:hint="default"/>
                <w:spacing w:val="-14"/>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、除</w:t>
            </w:r>
            <w:r>
              <w:rPr>
                <w:rFonts w:ascii="宋体" w:hAnsi="宋体" w:cs="宋体" w:eastAsia="宋体" w:hint="default"/>
                <w:spacing w:val="-10"/>
                <w:sz w:val="18"/>
                <w:szCs w:val="18"/>
              </w:rPr>
              <w:t> </w:t>
            </w:r>
            <w:r>
              <w:rPr>
                <w:rFonts w:ascii="宋体" w:hAnsi="宋体" w:cs="宋体" w:eastAsia="宋体" w:hint="default"/>
                <w:sz w:val="18"/>
                <w:szCs w:val="18"/>
              </w:rPr>
              <w:t>通过行使合法的股东权利外，不以任何方式干预上市公司的经营业务活动。</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、依据减少并规范关联交易的原则，采取合法方式减少或消除本企业及本 企业的关联企业与上市公司之间的关联交易；对于确有必要存在的关联交 </w:t>
            </w:r>
            <w:r>
              <w:rPr>
                <w:rFonts w:ascii="宋体" w:hAnsi="宋体" w:cs="宋体" w:eastAsia="宋体" w:hint="default"/>
                <w:spacing w:val="-1"/>
                <w:sz w:val="18"/>
                <w:szCs w:val="18"/>
              </w:rPr>
              <w:t>易，其关联交易价格按照公平合理及市场化原则确定，确保上市公司及其他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股东利益不受到损害并及时履行信息披露义务。</w:t>
            </w:r>
            <w:r>
              <w:rPr>
                <w:rFonts w:ascii="宋体" w:hAnsi="宋体" w:cs="宋体" w:eastAsia="宋体" w:hint="default"/>
                <w:spacing w:val="2"/>
                <w:sz w:val="18"/>
                <w:szCs w:val="18"/>
              </w:rPr>
              <w:t> </w:t>
            </w:r>
            <w:r>
              <w:rPr>
                <w:rFonts w:ascii="宋体" w:hAnsi="宋体" w:cs="宋体" w:eastAsia="宋体" w:hint="default"/>
                <w:sz w:val="18"/>
                <w:szCs w:val="18"/>
              </w:rPr>
              <w:t>五、保证上市公司财务独</w:t>
            </w:r>
            <w:r>
              <w:rPr>
                <w:rFonts w:ascii="宋体" w:hAnsi="宋体" w:cs="宋体" w:eastAsia="宋体" w:hint="default"/>
                <w:sz w:val="18"/>
                <w:szCs w:val="18"/>
              </w:rPr>
              <w:t> 立</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、上市公司拥有独立的财务会计部门，建立独立的财务核算体系和财务 管理制度。</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、上市公司独立在银行开户，不与本企业及本企业的关联企业 共用银行账户。</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、上市公司独立作出财务决策，本企业及本企业的关联企 业不干预上市公司的资金使用。 </w:t>
            </w:r>
            <w:r>
              <w:rPr>
                <w:rFonts w:ascii="Times New Roman" w:hAnsi="Times New Roman" w:cs="Times New Roman" w:eastAsia="Times New Roman" w:hint="default"/>
                <w:sz w:val="18"/>
                <w:szCs w:val="18"/>
              </w:rPr>
              <w:t>4</w:t>
            </w:r>
            <w:r>
              <w:rPr>
                <w:rFonts w:ascii="宋体" w:hAnsi="宋体" w:cs="宋体" w:eastAsia="宋体" w:hint="default"/>
                <w:sz w:val="18"/>
                <w:szCs w:val="18"/>
              </w:rPr>
              <w:t>、上市公司依法独立纳税。</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、上市公司 的财务人员独立，不在本企业及本企业的关联企业兼职和领取报酬。</w:t>
            </w:r>
          </w:p>
        </w:tc>
        <w:tc>
          <w:tcPr>
            <w:tcW w:w="1128"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2146" w:type="dxa"/>
            <w:tcBorders>
              <w:top w:val="single" w:sz="15" w:space="0" w:color="000000"/>
              <w:left w:val="single" w:sz="4" w:space="0" w:color="000000"/>
              <w:bottom w:val="single" w:sz="4" w:space="0" w:color="000000"/>
              <w:right w:val="single" w:sz="4" w:space="0" w:color="000000"/>
            </w:tcBorders>
          </w:tcPr>
          <w:p>
            <w:pPr/>
          </w:p>
        </w:tc>
      </w:tr>
      <w:tr>
        <w:trPr>
          <w:trHeight w:val="2235"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23" w:right="11"/>
              <w:jc w:val="left"/>
              <w:rPr>
                <w:rFonts w:ascii="宋体" w:hAnsi="宋体" w:cs="宋体" w:eastAsia="宋体" w:hint="default"/>
                <w:sz w:val="18"/>
                <w:szCs w:val="18"/>
              </w:rPr>
            </w:pPr>
            <w:r>
              <w:rPr>
                <w:rFonts w:ascii="宋体" w:hAnsi="宋体" w:cs="宋体" w:eastAsia="宋体" w:hint="default"/>
                <w:sz w:val="18"/>
                <w:szCs w:val="18"/>
              </w:rPr>
              <w:t>彭聪；黄海 勇；赵侠；连 杰；王爱俭； </w:t>
            </w:r>
            <w:r>
              <w:rPr>
                <w:rFonts w:ascii="宋体" w:hAnsi="宋体" w:cs="宋体" w:eastAsia="宋体" w:hint="default"/>
                <w:spacing w:val="-3"/>
                <w:sz w:val="18"/>
                <w:szCs w:val="18"/>
              </w:rPr>
              <w:t>韩传模；俞丽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辉；华彧民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、本人承诺忠实、勤勉地履行职责，维护公司和全体股东的合法权益。</w:t>
            </w:r>
            <w:r>
              <w:rPr>
                <w:rFonts w:ascii="Times New Roman" w:hAnsi="Times New Roman" w:cs="Times New Roman" w:eastAsia="Times New Roman" w:hint="default"/>
                <w:sz w:val="18"/>
                <w:szCs w:val="18"/>
              </w:rPr>
              <w:t>2</w:t>
            </w:r>
            <w:r>
              <w:rPr>
                <w:rFonts w:ascii="宋体" w:hAnsi="宋体" w:cs="宋体" w:eastAsia="宋体" w:hint="default"/>
                <w:sz w:val="18"/>
                <w:szCs w:val="18"/>
              </w:rPr>
              <w:t>、 本人承诺不无偿或以不公平条件向其他单位或者个人输送利益，也不得采用 其他方式损害公司利益。 </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、本人承诺对本人职务消费行为进行约束。</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 本人承诺不动用公司资产从事与履行职责无关的投资、消费活动。</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、本人</w:t>
            </w:r>
            <w:r>
              <w:rPr>
                <w:rFonts w:ascii="宋体" w:hAnsi="宋体" w:cs="宋体" w:eastAsia="宋体" w:hint="default"/>
                <w:sz w:val="18"/>
                <w:szCs w:val="18"/>
              </w:rPr>
              <w:t> 承诺在自身职责和权限范围内，全力促使公司董事会或者考核与薪酬委员会 制定的薪酬制度与公司填补回报措施的执行情况相挂钩，并对公司董事会和 </w:t>
            </w:r>
            <w:r>
              <w:rPr>
                <w:rFonts w:ascii="宋体" w:hAnsi="宋体" w:cs="宋体" w:eastAsia="宋体" w:hint="default"/>
                <w:spacing w:val="-4"/>
                <w:sz w:val="18"/>
                <w:szCs w:val="18"/>
              </w:rPr>
              <w:t>股东大会审议的相关议案投票赞成（如有表决权）。</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、如公司拟实施股权</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5"/>
              <w:ind w:left="21" w:right="19"/>
              <w:jc w:val="left"/>
              <w:rPr>
                <w:rFonts w:ascii="宋体" w:hAnsi="宋体" w:cs="宋体" w:eastAsia="宋体" w:hint="default"/>
                <w:sz w:val="18"/>
                <w:szCs w:val="18"/>
              </w:rPr>
            </w:pPr>
            <w:r>
              <w:rPr>
                <w:rFonts w:ascii="宋体" w:hAnsi="宋体" w:cs="宋体" w:eastAsia="宋体" w:hint="default"/>
                <w:spacing w:val="-6"/>
                <w:sz w:val="18"/>
                <w:szCs w:val="18"/>
              </w:rPr>
              <w:t>截至目前，该承诺正在履行</w:t>
            </w:r>
            <w:r>
              <w:rPr>
                <w:rFonts w:ascii="宋体" w:hAnsi="宋体" w:cs="宋体" w:eastAsia="宋体" w:hint="default"/>
                <w:sz w:val="18"/>
                <w:szCs w:val="18"/>
              </w:rPr>
              <w:t> </w:t>
            </w:r>
            <w:r>
              <w:rPr>
                <w:rFonts w:ascii="宋体" w:hAnsi="宋体" w:cs="宋体" w:eastAsia="宋体" w:hint="default"/>
                <w:spacing w:val="-6"/>
                <w:sz w:val="18"/>
                <w:szCs w:val="18"/>
              </w:rPr>
              <w:t>期内，履行期间不存在违背</w:t>
            </w:r>
            <w:r>
              <w:rPr>
                <w:rFonts w:ascii="宋体" w:hAnsi="宋体" w:cs="宋体" w:eastAsia="宋体" w:hint="default"/>
                <w:sz w:val="18"/>
                <w:szCs w:val="18"/>
              </w:rPr>
              <w:t> 承诺的情形。公司已于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日完成第七 届董事会换届事项。</w:t>
            </w:r>
          </w:p>
        </w:tc>
      </w:tr>
    </w:tbl>
    <w:p>
      <w:pPr>
        <w:spacing w:after="0" w:line="314" w:lineRule="auto"/>
        <w:jc w:val="left"/>
        <w:rPr>
          <w:rFonts w:ascii="宋体" w:hAnsi="宋体" w:cs="宋体" w:eastAsia="宋体" w:hint="default"/>
          <w:sz w:val="18"/>
          <w:szCs w:val="18"/>
        </w:rPr>
        <w:sectPr>
          <w:pgSz w:w="16840" w:h="11910" w:orient="landscape"/>
          <w:pgMar w:header="867" w:footer="980" w:top="1060" w:bottom="1160" w:left="1320" w:right="1100"/>
        </w:sectPr>
      </w:pPr>
    </w:p>
    <w:p>
      <w:pPr>
        <w:spacing w:line="240" w:lineRule="auto" w:before="4"/>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560"/>
        <w:gridCol w:w="1126"/>
        <w:gridCol w:w="1126"/>
        <w:gridCol w:w="5970"/>
        <w:gridCol w:w="1128"/>
        <w:gridCol w:w="1121"/>
        <w:gridCol w:w="2146"/>
      </w:tblGrid>
      <w:tr>
        <w:trPr>
          <w:trHeight w:val="2249"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970"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20"/>
              <w:ind w:left="23" w:right="17"/>
              <w:jc w:val="left"/>
              <w:rPr>
                <w:rFonts w:ascii="宋体" w:hAnsi="宋体" w:cs="宋体" w:eastAsia="宋体" w:hint="default"/>
                <w:sz w:val="18"/>
                <w:szCs w:val="18"/>
              </w:rPr>
            </w:pPr>
            <w:r>
              <w:rPr>
                <w:rFonts w:ascii="宋体" w:hAnsi="宋体" w:cs="宋体" w:eastAsia="宋体" w:hint="default"/>
                <w:spacing w:val="-1"/>
                <w:sz w:val="18"/>
                <w:szCs w:val="18"/>
              </w:rPr>
              <w:t>激励，本人承诺在自身职责和权限范围内，全力促使公司拟公布的股权激励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行权条件与公司填补回报措施的执行情况相挂钩，并对公司董事会和股东大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会审议的相关议案投票赞成（如有表决权）。</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、作为填补回报措施相关责</w:t>
            </w:r>
            <w:r>
              <w:rPr>
                <w:rFonts w:ascii="宋体" w:hAnsi="宋体" w:cs="宋体" w:eastAsia="宋体" w:hint="default"/>
                <w:spacing w:val="-80"/>
                <w:sz w:val="18"/>
                <w:szCs w:val="18"/>
              </w:rPr>
              <w:t> </w:t>
            </w:r>
            <w:r>
              <w:rPr>
                <w:rFonts w:ascii="宋体" w:hAnsi="宋体" w:cs="宋体" w:eastAsia="宋体" w:hint="default"/>
                <w:spacing w:val="-1"/>
                <w:sz w:val="18"/>
                <w:szCs w:val="18"/>
              </w:rPr>
              <w:t>任主体之一，本人承诺严格履行本人所作出的上述承诺事项，确保公司填补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回报措施能够得到切实履行。本人若违反上述承诺或拒不履行上述承诺，本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人同意接受中国证监会和深圳证券交易所等证券监管机构按照其制定或发 布的有关规定、规则，对本人作出相关处罚或采取相关管理措施。</w:t>
            </w:r>
          </w:p>
        </w:tc>
        <w:tc>
          <w:tcPr>
            <w:tcW w:w="1128"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2146" w:type="dxa"/>
            <w:tcBorders>
              <w:top w:val="single" w:sz="15" w:space="0" w:color="000000"/>
              <w:left w:val="single" w:sz="4" w:space="0" w:color="000000"/>
              <w:bottom w:val="single" w:sz="4" w:space="0" w:color="000000"/>
              <w:right w:val="single" w:sz="4" w:space="0" w:color="000000"/>
            </w:tcBorders>
          </w:tcPr>
          <w:p>
            <w:pPr/>
          </w:p>
        </w:tc>
      </w:tr>
      <w:tr>
        <w:trPr>
          <w:trHeight w:val="1964" w:hRule="exact"/>
        </w:trPr>
        <w:tc>
          <w:tcPr>
            <w:tcW w:w="1560"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、本次收购完成后，霍尔果斯快马财税管理服务有限公司如有需要，本人 </w:t>
            </w:r>
            <w:r>
              <w:rPr>
                <w:rFonts w:ascii="宋体" w:hAnsi="宋体" w:cs="宋体" w:eastAsia="宋体" w:hint="default"/>
                <w:spacing w:val="-1"/>
                <w:sz w:val="18"/>
                <w:szCs w:val="18"/>
              </w:rPr>
              <w:t>将采用担保、保证等增信方式为霍尔果斯快马财税管理服务有限公司获取外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部融资提供支持。</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、本次收购完成后，如霍尔果斯快马财税管理服务有限 </w:t>
            </w:r>
            <w:r>
              <w:rPr>
                <w:rFonts w:ascii="宋体" w:hAnsi="宋体" w:cs="宋体" w:eastAsia="宋体" w:hint="default"/>
                <w:spacing w:val="-1"/>
                <w:sz w:val="18"/>
                <w:szCs w:val="18"/>
              </w:rPr>
              <w:t>公司需要资金支持，本人将个人名下上述所持上市公司所有股份通过质押方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式获得融资，并将该资金优先提供给霍尔果斯快马财税管理服务有限公司使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1" w:right="22"/>
              <w:jc w:val="both"/>
              <w:rPr>
                <w:rFonts w:ascii="宋体" w:hAnsi="宋体" w:cs="宋体" w:eastAsia="宋体" w:hint="default"/>
                <w:sz w:val="18"/>
                <w:szCs w:val="18"/>
              </w:rPr>
            </w:pPr>
            <w:r>
              <w:rPr>
                <w:rFonts w:ascii="宋体" w:hAnsi="宋体" w:cs="宋体" w:eastAsia="宋体" w:hint="default"/>
                <w:spacing w:val="-6"/>
                <w:sz w:val="18"/>
                <w:szCs w:val="18"/>
              </w:rPr>
              <w:t>截至目前，该承诺正在履行</w:t>
            </w:r>
            <w:r>
              <w:rPr>
                <w:rFonts w:ascii="宋体" w:hAnsi="宋体" w:cs="宋体" w:eastAsia="宋体" w:hint="default"/>
                <w:sz w:val="18"/>
                <w:szCs w:val="18"/>
              </w:rPr>
              <w:t> </w:t>
            </w:r>
            <w:r>
              <w:rPr>
                <w:rFonts w:ascii="宋体" w:hAnsi="宋体" w:cs="宋体" w:eastAsia="宋体" w:hint="default"/>
                <w:spacing w:val="-6"/>
                <w:sz w:val="18"/>
                <w:szCs w:val="18"/>
              </w:rPr>
              <w:t>期内，履行期间不存在违背</w:t>
            </w:r>
            <w:r>
              <w:rPr>
                <w:rFonts w:ascii="宋体" w:hAnsi="宋体" w:cs="宋体" w:eastAsia="宋体" w:hint="default"/>
                <w:sz w:val="18"/>
                <w:szCs w:val="18"/>
              </w:rPr>
              <w:t> 承诺的情形。</w:t>
            </w:r>
          </w:p>
        </w:tc>
      </w:tr>
      <w:tr>
        <w:trPr>
          <w:trHeight w:val="5355"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23" w:right="191"/>
              <w:jc w:val="both"/>
              <w:rPr>
                <w:rFonts w:ascii="宋体" w:hAnsi="宋体" w:cs="宋体" w:eastAsia="宋体" w:hint="default"/>
                <w:sz w:val="18"/>
                <w:szCs w:val="18"/>
              </w:rPr>
            </w:pPr>
            <w:r>
              <w:rPr>
                <w:rFonts w:ascii="宋体" w:hAnsi="宋体" w:cs="宋体" w:eastAsia="宋体" w:hint="default"/>
                <w:sz w:val="18"/>
                <w:szCs w:val="18"/>
              </w:rPr>
              <w:t>霍尔果斯神 州易桥股权 投资合伙企 业（有限合 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1" w:right="192"/>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1"/>
                <w:sz w:val="18"/>
                <w:szCs w:val="18"/>
              </w:rPr>
              <w:t>霍尔果斯神州易桥股权投资合伙企业（有限合伙）保证在《关于终端资产之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盈利补偿协议》生效之日起，对承诺扣非净利润的实现承担保证责任。承诺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终端资产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年度以及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年度扣非净利润合计金额分别为</w:t>
            </w:r>
          </w:p>
          <w:p>
            <w:pPr>
              <w:pStyle w:val="TableParagraph"/>
              <w:spacing w:line="314" w:lineRule="auto"/>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24,445.79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29,327.35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35,182.22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万元。在盈利补偿期间内，如果 </w:t>
            </w:r>
            <w:r>
              <w:rPr>
                <w:rFonts w:ascii="宋体" w:hAnsi="宋体" w:cs="宋体" w:eastAsia="宋体" w:hint="default"/>
                <w:spacing w:val="-1"/>
                <w:sz w:val="18"/>
                <w:szCs w:val="18"/>
              </w:rPr>
              <w:t>终端资产的实际扣非净利润小于承诺扣非净利润，则霍尔果斯神州易桥股权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投资合伙企业（有限合伙）应按照盈利补偿协议约定履行补偿义务。霍尔果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斯神州易桥股权投资合伙企业（有限合伙）用于补偿的金额总和最高不超过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霍尔果斯神州易桥股权投资合伙企业（有限合伙）因霍尔果斯快马财税管理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服务有限公司与其签订的《股权转让协议》约定而获得的交易总对价。</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1" w:right="19"/>
              <w:jc w:val="left"/>
              <w:rPr>
                <w:rFonts w:ascii="宋体" w:hAnsi="宋体" w:cs="宋体" w:eastAsia="宋体" w:hint="default"/>
                <w:sz w:val="18"/>
                <w:szCs w:val="18"/>
              </w:rPr>
            </w:pPr>
            <w:r>
              <w:rPr>
                <w:rFonts w:ascii="宋体" w:hAnsi="宋体" w:cs="宋体" w:eastAsia="宋体" w:hint="default"/>
                <w:spacing w:val="-6"/>
                <w:sz w:val="18"/>
                <w:szCs w:val="18"/>
              </w:rPr>
              <w:t>根据《盈利补偿协议》及终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端资产经审计的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年财</w:t>
            </w:r>
          </w:p>
          <w:p>
            <w:pPr>
              <w:pStyle w:val="TableParagraph"/>
              <w:spacing w:line="309" w:lineRule="auto"/>
              <w:ind w:left="21" w:right="38"/>
              <w:jc w:val="left"/>
              <w:rPr>
                <w:rFonts w:ascii="宋体" w:hAnsi="宋体" w:cs="宋体" w:eastAsia="宋体" w:hint="default"/>
                <w:sz w:val="18"/>
                <w:szCs w:val="18"/>
              </w:rPr>
            </w:pPr>
            <w:r>
              <w:rPr>
                <w:rFonts w:ascii="宋体" w:hAnsi="宋体" w:cs="宋体" w:eastAsia="宋体" w:hint="default"/>
                <w:sz w:val="18"/>
                <w:szCs w:val="18"/>
              </w:rPr>
              <w:t>务报表，终端资产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承诺扣非净利润合计为 </w:t>
            </w:r>
            <w:r>
              <w:rPr>
                <w:rFonts w:ascii="Times New Roman" w:hAnsi="Times New Roman" w:cs="Times New Roman" w:eastAsia="Times New Roman" w:hint="default"/>
                <w:sz w:val="18"/>
                <w:szCs w:val="18"/>
              </w:rPr>
              <w:t>24,445.79 </w:t>
            </w:r>
            <w:r>
              <w:rPr>
                <w:rFonts w:ascii="宋体" w:hAnsi="宋体" w:cs="宋体" w:eastAsia="宋体" w:hint="default"/>
                <w:sz w:val="18"/>
                <w:szCs w:val="18"/>
              </w:rPr>
              <w:t>万元，实际完成</w:t>
            </w:r>
          </w:p>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29,161.76 </w:t>
            </w:r>
            <w:r>
              <w:rPr>
                <w:rFonts w:ascii="宋体" w:hAnsi="宋体" w:cs="宋体" w:eastAsia="宋体" w:hint="default"/>
                <w:sz w:val="18"/>
                <w:szCs w:val="18"/>
              </w:rPr>
              <w:t>万元，已完成</w:t>
            </w:r>
          </w:p>
          <w:p>
            <w:pPr>
              <w:pStyle w:val="TableParagraph"/>
              <w:spacing w:line="312" w:lineRule="auto" w:before="63"/>
              <w:ind w:left="21"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年公司对霍尔果 斯快马财税管理服务有限 公司部分终端资产进行了 </w:t>
            </w:r>
            <w:r>
              <w:rPr>
                <w:rFonts w:ascii="宋体" w:hAnsi="宋体" w:cs="宋体" w:eastAsia="宋体" w:hint="default"/>
                <w:spacing w:val="-6"/>
                <w:sz w:val="18"/>
                <w:szCs w:val="18"/>
              </w:rPr>
              <w:t>整合优化，并签署了《终止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合作协议》。根据立信会计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师事务所（特殊普通合伙） 出具的《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年业绩承诺 实现情况说明的审核报告》</w:t>
            </w:r>
          </w:p>
          <w:p>
            <w:pPr>
              <w:pStyle w:val="TableParagraph"/>
              <w:spacing w:line="300" w:lineRule="auto" w:before="22"/>
              <w:ind w:left="21"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ZG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11250</w:t>
            </w:r>
            <w:r>
              <w:rPr>
                <w:rFonts w:ascii="Times New Roman" w:hAnsi="Times New Roman" w:cs="Times New Roman" w:eastAsia="Times New Roman" w:hint="default"/>
                <w:spacing w:val="1"/>
                <w:sz w:val="18"/>
                <w:szCs w:val="18"/>
              </w:rPr>
              <w:t> </w:t>
            </w:r>
            <w:r>
              <w:rPr>
                <w:rFonts w:ascii="宋体" w:hAnsi="宋体" w:cs="宋体" w:eastAsia="宋体" w:hint="default"/>
                <w:spacing w:val="-31"/>
                <w:sz w:val="18"/>
                <w:szCs w:val="18"/>
              </w:rPr>
              <w:t>号），截止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z w:val="18"/>
                <w:szCs w:val="18"/>
              </w:rPr>
            </w:r>
          </w:p>
        </w:tc>
      </w:tr>
    </w:tbl>
    <w:p>
      <w:pPr>
        <w:spacing w:after="0" w:line="300" w:lineRule="auto"/>
        <w:jc w:val="left"/>
        <w:rPr>
          <w:rFonts w:ascii="Times New Roman" w:hAnsi="Times New Roman" w:cs="Times New Roman" w:eastAsia="Times New Roman" w:hint="default"/>
          <w:sz w:val="18"/>
          <w:szCs w:val="18"/>
        </w:rPr>
        <w:sectPr>
          <w:pgSz w:w="16840" w:h="11910" w:orient="landscape"/>
          <w:pgMar w:header="867" w:footer="980" w:top="1060" w:bottom="1200" w:left="1320" w:right="1100"/>
        </w:sectPr>
      </w:pPr>
    </w:p>
    <w:p>
      <w:pPr>
        <w:spacing w:line="240" w:lineRule="auto" w:before="2"/>
        <w:rPr>
          <w:rFonts w:ascii="Times New Roman" w:hAnsi="Times New Roman" w:cs="Times New Roman" w:eastAsia="Times New Roman" w:hint="default"/>
          <w:sz w:val="3"/>
          <w:szCs w:val="3"/>
        </w:rPr>
      </w:pPr>
      <w:r>
        <w:rPr/>
        <w:pict>
          <v:shape style="position:absolute;margin-left:276.286987pt;margin-top:153.26001pt;width:340.95pt;height:23.4pt;mso-position-horizontal-relative:page;mso-position-vertical-relative:page;z-index:-1013392" type="#_x0000_t202" filled="false" stroked="false">
            <v:textbox inset="0,0,0,0">
              <w:txbxContent>
                <w:p>
                  <w:pPr>
                    <w:pStyle w:val="BodyText"/>
                    <w:spacing w:line="240" w:lineRule="auto" w:before="49"/>
                    <w:ind w:left="0" w:right="0"/>
                    <w:jc w:val="left"/>
                  </w:pPr>
                  <w:r>
                    <w:rPr/>
                    <w:t>本次将节余募集资金永久补充流动资金用于与主营业务相关的经营活动，</w:t>
                  </w:r>
                </w:p>
              </w:txbxContent>
            </v:textbox>
            <w10:wrap type="none"/>
          </v:shape>
        </w:pict>
      </w:r>
      <w:r>
        <w:rPr/>
        <w:pict>
          <v:group style="position:absolute;margin-left:561.429993pt;margin-top:153.26001pt;width:55.8pt;height:23.4pt;mso-position-horizontal-relative:page;mso-position-vertical-relative:page;z-index:-1013368" coordorigin="11229,3065" coordsize="1116,468">
            <v:shape style="position:absolute;left:11229;top:3065;width:1116;height:468" coordorigin="11229,3065" coordsize="1116,468" path="m11229,3533l12345,3533,12345,3065,11229,3065,11229,3533xe" filled="true" fillcolor="#ffffff" stroked="false">
              <v:path arrowok="t"/>
              <v:fill type="solid"/>
            </v:shape>
            <w10:wrap type="none"/>
          </v:group>
        </w:pict>
      </w:r>
      <w:r>
        <w:rPr/>
        <w:pict>
          <v:group style="position:absolute;margin-left:561.429993pt;margin-top:194.330002pt;width:55.8pt;height:41.05pt;mso-position-horizontal-relative:page;mso-position-vertical-relative:page;z-index:-1013344" coordorigin="11229,3887" coordsize="1116,821">
            <v:group style="position:absolute;left:11229;top:4239;width:1116;height:468" coordorigin="11229,4239" coordsize="1116,468">
              <v:shape style="position:absolute;left:11229;top:4239;width:1116;height:468" coordorigin="11229,4239" coordsize="1116,468" path="m11229,4707l12345,4707,12345,4239,11229,4239,11229,4707xe" filled="true" fillcolor="#ffffff" stroked="false">
                <v:path arrowok="t"/>
                <v:fill type="solid"/>
              </v:shape>
            </v:group>
            <v:group style="position:absolute;left:11250;top:3887;width:1071;height:353" coordorigin="11250,3887" coordsize="1071,353">
              <v:shape style="position:absolute;left:11250;top:3887;width:1071;height:353" coordorigin="11250,3887" coordsize="1071,353" path="m11250,4239l12321,4239,12321,3887,11250,3887,11250,4239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560"/>
        <w:gridCol w:w="1126"/>
        <w:gridCol w:w="1126"/>
        <w:gridCol w:w="5970"/>
        <w:gridCol w:w="1128"/>
        <w:gridCol w:w="1121"/>
        <w:gridCol w:w="2146"/>
      </w:tblGrid>
      <w:tr>
        <w:trPr>
          <w:trHeight w:val="337"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126" w:type="dxa"/>
            <w:vMerge w:val="restart"/>
            <w:tcBorders>
              <w:top w:val="single" w:sz="15" w:space="0" w:color="000000"/>
              <w:left w:val="single" w:sz="4" w:space="0" w:color="000000"/>
              <w:right w:val="single" w:sz="4" w:space="0" w:color="000000"/>
            </w:tcBorders>
          </w:tcPr>
          <w:p>
            <w:pPr/>
          </w:p>
        </w:tc>
        <w:tc>
          <w:tcPr>
            <w:tcW w:w="1126" w:type="dxa"/>
            <w:vMerge w:val="restart"/>
            <w:tcBorders>
              <w:top w:val="single" w:sz="15" w:space="0" w:color="000000"/>
              <w:left w:val="single" w:sz="4" w:space="0" w:color="000000"/>
              <w:right w:val="single" w:sz="4" w:space="0" w:color="000000"/>
            </w:tcBorders>
          </w:tcPr>
          <w:p>
            <w:pPr/>
          </w:p>
        </w:tc>
        <w:tc>
          <w:tcPr>
            <w:tcW w:w="5970" w:type="dxa"/>
            <w:vMerge w:val="restart"/>
            <w:tcBorders>
              <w:top w:val="single" w:sz="15" w:space="0" w:color="000000"/>
              <w:left w:val="single" w:sz="4" w:space="0" w:color="000000"/>
              <w:right w:val="single" w:sz="4" w:space="0" w:color="000000"/>
            </w:tcBorders>
          </w:tcPr>
          <w:p>
            <w:pPr/>
          </w:p>
        </w:tc>
        <w:tc>
          <w:tcPr>
            <w:tcW w:w="1128" w:type="dxa"/>
            <w:vMerge w:val="restart"/>
            <w:tcBorders>
              <w:top w:val="single" w:sz="15" w:space="0" w:color="000000"/>
              <w:left w:val="single" w:sz="4" w:space="0" w:color="000000"/>
              <w:right w:val="single" w:sz="4" w:space="0" w:color="000000"/>
            </w:tcBorders>
          </w:tcPr>
          <w:p>
            <w:pPr/>
          </w:p>
        </w:tc>
        <w:tc>
          <w:tcPr>
            <w:tcW w:w="1121" w:type="dxa"/>
            <w:vMerge w:val="restart"/>
            <w:tcBorders>
              <w:top w:val="single" w:sz="15" w:space="0" w:color="000000"/>
              <w:left w:val="single" w:sz="4" w:space="0" w:color="000000"/>
              <w:right w:val="single" w:sz="4" w:space="0" w:color="000000"/>
            </w:tcBorders>
          </w:tcPr>
          <w:p>
            <w:pPr/>
          </w:p>
        </w:tc>
        <w:tc>
          <w:tcPr>
            <w:tcW w:w="214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日，霍尔果斯快马财</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970"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税管理服务有限公司剩余</w:t>
            </w: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970"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家终端资产原股东承诺</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970"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2017-2019 </w:t>
            </w:r>
            <w:r>
              <w:rPr>
                <w:rFonts w:ascii="宋体" w:hAnsi="宋体" w:cs="宋体" w:eastAsia="宋体" w:hint="default"/>
                <w:sz w:val="18"/>
                <w:szCs w:val="18"/>
              </w:rPr>
              <w:t>年度经审计的扣</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970"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除非经常性损益后的净利</w:t>
            </w: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5970"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21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17"/>
              <w:jc w:val="left"/>
              <w:rPr>
                <w:rFonts w:ascii="宋体" w:hAnsi="宋体" w:cs="宋体" w:eastAsia="宋体" w:hint="default"/>
                <w:sz w:val="18"/>
                <w:szCs w:val="18"/>
              </w:rPr>
            </w:pPr>
            <w:r>
              <w:rPr>
                <w:rFonts w:ascii="宋体" w:hAnsi="宋体" w:cs="宋体" w:eastAsia="宋体" w:hint="default"/>
                <w:sz w:val="18"/>
                <w:szCs w:val="18"/>
              </w:rPr>
              <w:t>润累计完成率为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105.92%</w:t>
            </w:r>
            <w:r>
              <w:rPr>
                <w:rFonts w:ascii="宋体" w:hAnsi="宋体" w:cs="宋体" w:eastAsia="宋体" w:hint="default"/>
                <w:sz w:val="18"/>
                <w:szCs w:val="18"/>
              </w:rPr>
              <w:t>。</w:t>
            </w:r>
          </w:p>
        </w:tc>
      </w:tr>
      <w:tr>
        <w:trPr>
          <w:trHeight w:val="360" w:hRule="exact"/>
        </w:trPr>
        <w:tc>
          <w:tcPr>
            <w:tcW w:w="1560"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8"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2146" w:type="dxa"/>
            <w:tcBorders>
              <w:top w:val="single" w:sz="4" w:space="0" w:color="000000"/>
              <w:left w:val="single" w:sz="4" w:space="0" w:color="000000"/>
              <w:bottom w:val="nil" w:sz="6" w:space="0" w:color="auto"/>
              <w:right w:val="single" w:sz="4" w:space="0" w:color="000000"/>
            </w:tcBorders>
          </w:tcPr>
          <w:p>
            <w:pPr/>
          </w:p>
        </w:tc>
      </w:tr>
      <w:tr>
        <w:trPr>
          <w:trHeight w:val="93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191"/>
              <w:jc w:val="both"/>
              <w:rPr>
                <w:rFonts w:ascii="宋体" w:hAnsi="宋体" w:cs="宋体" w:eastAsia="宋体" w:hint="default"/>
                <w:sz w:val="18"/>
                <w:szCs w:val="18"/>
              </w:rPr>
            </w:pPr>
            <w:r>
              <w:rPr>
                <w:rFonts w:ascii="宋体" w:hAnsi="宋体" w:cs="宋体" w:eastAsia="宋体" w:hint="default"/>
                <w:sz w:val="18"/>
                <w:szCs w:val="18"/>
              </w:rPr>
              <w:t>顺利办信息 服务股份有 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1" w:right="192"/>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5970" w:type="dxa"/>
            <w:tcBorders>
              <w:top w:val="nil" w:sz="6" w:space="0" w:color="auto"/>
              <w:left w:val="single" w:sz="4" w:space="0" w:color="000000"/>
              <w:bottom w:val="nil" w:sz="6" w:space="0" w:color="auto"/>
              <w:right w:val="single" w:sz="13" w:space="0" w:color="FFFFFF"/>
            </w:tcBorders>
          </w:tcPr>
          <w:p>
            <w:pPr>
              <w:pStyle w:val="TableParagraph"/>
              <w:spacing w:line="309" w:lineRule="auto" w:before="5"/>
              <w:ind w:left="23" w:right="70"/>
              <w:jc w:val="left"/>
              <w:rPr>
                <w:rFonts w:ascii="宋体" w:hAnsi="宋体" w:cs="宋体" w:eastAsia="宋体" w:hint="default"/>
                <w:sz w:val="18"/>
                <w:szCs w:val="18"/>
              </w:rPr>
            </w:pPr>
            <w:r>
              <w:rPr>
                <w:rFonts w:ascii="宋体" w:hAnsi="宋体" w:cs="宋体" w:eastAsia="宋体" w:hint="default"/>
                <w:sz w:val="18"/>
                <w:szCs w:val="18"/>
              </w:rPr>
              <w:t>不会通过直接或间接的安排用于新股配售、申购或者用于股票及其衍生品 种、可转债券等交易。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、本次将节余募集资金永久补充流动资金前十二月 </w:t>
            </w:r>
            <w:r>
              <w:rPr>
                <w:rFonts w:ascii="宋体" w:hAnsi="宋体" w:cs="宋体" w:eastAsia="宋体" w:hint="default"/>
                <w:spacing w:val="-4"/>
                <w:sz w:val="18"/>
                <w:szCs w:val="18"/>
              </w:rPr>
              <w:t>内，公司未进行高风险投资或者为他人提供财务资助，且在未来十二个月内</w:t>
            </w:r>
          </w:p>
        </w:tc>
        <w:tc>
          <w:tcPr>
            <w:tcW w:w="1128" w:type="dxa"/>
            <w:tcBorders>
              <w:top w:val="nil" w:sz="6" w:space="0" w:color="auto"/>
              <w:left w:val="single" w:sz="13" w:space="0" w:color="FFFFFF"/>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03" w:lineRule="exact"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189"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146"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1" w:right="22"/>
              <w:jc w:val="both"/>
              <w:rPr>
                <w:rFonts w:ascii="宋体" w:hAnsi="宋体" w:cs="宋体" w:eastAsia="宋体" w:hint="default"/>
                <w:sz w:val="18"/>
                <w:szCs w:val="18"/>
              </w:rPr>
            </w:pPr>
            <w:r>
              <w:rPr>
                <w:rFonts w:ascii="宋体" w:hAnsi="宋体" w:cs="宋体" w:eastAsia="宋体" w:hint="default"/>
                <w:spacing w:val="-6"/>
                <w:sz w:val="18"/>
                <w:szCs w:val="18"/>
              </w:rPr>
              <w:t>截至目前，该承诺正在履行</w:t>
            </w:r>
            <w:r>
              <w:rPr>
                <w:rFonts w:ascii="宋体" w:hAnsi="宋体" w:cs="宋体" w:eastAsia="宋体" w:hint="default"/>
                <w:sz w:val="18"/>
                <w:szCs w:val="18"/>
              </w:rPr>
              <w:t> </w:t>
            </w:r>
            <w:r>
              <w:rPr>
                <w:rFonts w:ascii="宋体" w:hAnsi="宋体" w:cs="宋体" w:eastAsia="宋体" w:hint="default"/>
                <w:spacing w:val="-6"/>
                <w:sz w:val="18"/>
                <w:szCs w:val="18"/>
              </w:rPr>
              <w:t>期内，履行期间不存在违背</w:t>
            </w:r>
            <w:r>
              <w:rPr>
                <w:rFonts w:ascii="宋体" w:hAnsi="宋体" w:cs="宋体" w:eastAsia="宋体" w:hint="default"/>
                <w:sz w:val="18"/>
                <w:szCs w:val="18"/>
              </w:rPr>
              <w:t> 承诺的情形。</w:t>
            </w:r>
          </w:p>
        </w:tc>
      </w:tr>
      <w:tr>
        <w:trPr>
          <w:trHeight w:val="360"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公司不进行高风险投资或者为他人提供财务资助。</w:t>
            </w:r>
          </w:p>
        </w:tc>
        <w:tc>
          <w:tcPr>
            <w:tcW w:w="1128"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214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560"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本次暂时补充流动资金的闲置募集资金将用于与主营业务相关的经营活</w:t>
            </w:r>
          </w:p>
        </w:tc>
        <w:tc>
          <w:tcPr>
            <w:tcW w:w="1128"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21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动，不会通过直接或间接的安排用于新股配售、申购或者用于股票及其衍</w:t>
            </w:r>
          </w:p>
        </w:tc>
        <w:tc>
          <w:tcPr>
            <w:tcW w:w="112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生品种、可转债券等交易，不存在变相改变募集资金用途和损害公司及股</w:t>
            </w:r>
          </w:p>
        </w:tc>
        <w:tc>
          <w:tcPr>
            <w:tcW w:w="112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东利益的情形。</w:t>
            </w:r>
          </w:p>
        </w:tc>
        <w:tc>
          <w:tcPr>
            <w:tcW w:w="112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
        </w:tc>
      </w:tr>
      <w:tr>
        <w:trPr>
          <w:trHeight w:val="819"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z w:val="18"/>
                <w:szCs w:val="18"/>
              </w:rPr>
              <w:t>顺利办信息</w:t>
            </w:r>
          </w:p>
          <w:p>
            <w:pPr>
              <w:pStyle w:val="TableParagraph"/>
              <w:spacing w:line="316" w:lineRule="auto" w:before="74"/>
              <w:ind w:left="23" w:right="191"/>
              <w:jc w:val="left"/>
              <w:rPr>
                <w:rFonts w:ascii="宋体" w:hAnsi="宋体" w:cs="宋体" w:eastAsia="宋体" w:hint="default"/>
                <w:sz w:val="18"/>
                <w:szCs w:val="18"/>
              </w:rPr>
            </w:pPr>
            <w:r>
              <w:rPr>
                <w:rFonts w:ascii="宋体" w:hAnsi="宋体" w:cs="宋体" w:eastAsia="宋体" w:hint="default"/>
                <w:sz w:val="18"/>
                <w:szCs w:val="18"/>
              </w:rPr>
              <w:t>服务股份有 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9"/>
              <w:ind w:left="21" w:right="192"/>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8"/>
              <w:jc w:val="left"/>
              <w:rPr>
                <w:rFonts w:ascii="宋体" w:hAnsi="宋体" w:cs="宋体" w:eastAsia="宋体" w:hint="default"/>
                <w:sz w:val="18"/>
                <w:szCs w:val="18"/>
              </w:rPr>
            </w:pPr>
            <w:r>
              <w:rPr>
                <w:rFonts w:ascii="宋体" w:hAnsi="宋体" w:cs="宋体" w:eastAsia="宋体" w:hint="default"/>
                <w:spacing w:val="-1"/>
                <w:sz w:val="18"/>
                <w:szCs w:val="18"/>
              </w:rPr>
              <w:t>在本次使用闲置募集资金暂时补充流动资金前，公司在过去十二月内未进行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高风险投资或者为他人提供财务资助，且在未来十二个月内，使用闲置募集</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146"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1" w:right="0"/>
              <w:jc w:val="left"/>
              <w:rPr>
                <w:rFonts w:ascii="宋体" w:hAnsi="宋体" w:cs="宋体" w:eastAsia="宋体" w:hint="default"/>
                <w:sz w:val="18"/>
                <w:szCs w:val="18"/>
              </w:rPr>
            </w:pPr>
            <w:r>
              <w:rPr>
                <w:rFonts w:ascii="宋体" w:hAnsi="宋体" w:cs="宋体" w:eastAsia="宋体" w:hint="default"/>
                <w:spacing w:val="-6"/>
                <w:sz w:val="18"/>
                <w:szCs w:val="18"/>
              </w:rPr>
              <w:t>该承诺已履行完毕，承诺履</w:t>
            </w:r>
          </w:p>
          <w:p>
            <w:pPr>
              <w:pStyle w:val="TableParagraph"/>
              <w:spacing w:line="316" w:lineRule="auto" w:before="74"/>
              <w:ind w:left="21" w:right="22"/>
              <w:jc w:val="left"/>
              <w:rPr>
                <w:rFonts w:ascii="宋体" w:hAnsi="宋体" w:cs="宋体" w:eastAsia="宋体" w:hint="default"/>
                <w:sz w:val="18"/>
                <w:szCs w:val="18"/>
              </w:rPr>
            </w:pPr>
            <w:r>
              <w:rPr>
                <w:rFonts w:ascii="宋体" w:hAnsi="宋体" w:cs="宋体" w:eastAsia="宋体" w:hint="default"/>
                <w:spacing w:val="-6"/>
                <w:sz w:val="18"/>
                <w:szCs w:val="18"/>
              </w:rPr>
              <w:t>行期内，未发生违背该承诺</w:t>
            </w:r>
            <w:r>
              <w:rPr>
                <w:rFonts w:ascii="宋体" w:hAnsi="宋体" w:cs="宋体" w:eastAsia="宋体" w:hint="default"/>
                <w:sz w:val="18"/>
                <w:szCs w:val="18"/>
              </w:rPr>
              <w:t> 的情形。</w:t>
            </w:r>
          </w:p>
        </w:tc>
      </w:tr>
      <w:tr>
        <w:trPr>
          <w:trHeight w:val="254"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pacing w:val="-1"/>
                <w:sz w:val="18"/>
                <w:szCs w:val="18"/>
              </w:rPr>
              <w:t>资金暂时补充流动资金期间不进行高风险投资或者为他人提供财务资助。本</w:t>
            </w:r>
          </w:p>
        </w:tc>
        <w:tc>
          <w:tcPr>
            <w:tcW w:w="112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sz w:val="18"/>
                <w:szCs w:val="18"/>
              </w:rPr>
              <w:t>次暂时补充流动资金的使用期限届满前，公司将及时把资金归还至募集资金</w:t>
            </w:r>
          </w:p>
        </w:tc>
        <w:tc>
          <w:tcPr>
            <w:tcW w:w="112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sz w:val="18"/>
                <w:szCs w:val="18"/>
              </w:rPr>
              <w:t>专户，不影响募集资金投资项目的正常进行。若募集资金投资项目因发展需</w:t>
            </w:r>
          </w:p>
        </w:tc>
        <w:tc>
          <w:tcPr>
            <w:tcW w:w="1128"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60"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要，公司将及时归还募集资金，以确保项目进度。</w:t>
            </w:r>
          </w:p>
        </w:tc>
        <w:tc>
          <w:tcPr>
            <w:tcW w:w="1128"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2146"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1560"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
              <w:jc w:val="left"/>
              <w:rPr>
                <w:rFonts w:ascii="宋体" w:hAnsi="宋体" w:cs="宋体" w:eastAsia="宋体" w:hint="default"/>
                <w:sz w:val="18"/>
                <w:szCs w:val="18"/>
              </w:rPr>
            </w:pPr>
            <w:r>
              <w:rPr>
                <w:rFonts w:ascii="宋体" w:hAnsi="宋体" w:cs="宋体" w:eastAsia="宋体" w:hint="default"/>
                <w:sz w:val="18"/>
                <w:szCs w:val="18"/>
              </w:rPr>
              <w:t>百达永信投 资有限公司； 彭聪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192"/>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基于对公司未来发展前景的信心以及对公司价值的合理判断，为维护广大中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小投资者利益，支持公司持续、稳定、健康发展，彭聪先生及其控制的百达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永信投资有限公司承诺，自本承诺函出具之日的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个月内不以任何方式减 持所持有的公司股份。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pacing w:val="-6"/>
                <w:sz w:val="18"/>
                <w:szCs w:val="18"/>
              </w:rPr>
              <w:t>该承诺已履行完毕，履行期</w:t>
            </w:r>
            <w:r>
              <w:rPr>
                <w:rFonts w:ascii="宋体" w:hAnsi="宋体" w:cs="宋体" w:eastAsia="宋体" w:hint="default"/>
                <w:sz w:val="18"/>
                <w:szCs w:val="18"/>
              </w:rPr>
              <w:t> 间未发生违背该承诺的情 形。</w:t>
            </w:r>
          </w:p>
        </w:tc>
      </w:tr>
      <w:tr>
        <w:trPr>
          <w:trHeight w:val="129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22"/>
              <w:jc w:val="left"/>
              <w:rPr>
                <w:rFonts w:ascii="宋体" w:hAnsi="宋体" w:cs="宋体" w:eastAsia="宋体" w:hint="default"/>
                <w:sz w:val="18"/>
                <w:szCs w:val="18"/>
              </w:rPr>
            </w:pPr>
            <w:r>
              <w:rPr>
                <w:rFonts w:ascii="宋体" w:hAnsi="宋体" w:cs="宋体" w:eastAsia="宋体" w:hint="default"/>
                <w:spacing w:val="-3"/>
                <w:sz w:val="18"/>
                <w:szCs w:val="18"/>
              </w:rPr>
              <w:t>连良桂；智尚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1" w:right="192"/>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、本人取得本次发行股份自发行结束并上市之日起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个月内不转让。前述 </w:t>
            </w:r>
            <w:r>
              <w:rPr>
                <w:rFonts w:ascii="宋体" w:hAnsi="宋体" w:cs="宋体" w:eastAsia="宋体" w:hint="default"/>
                <w:spacing w:val="-1"/>
                <w:sz w:val="18"/>
                <w:szCs w:val="18"/>
              </w:rPr>
              <w:t>锁定期届满后，股份解锁事宜按照中国证券监督管理委员会、深圳证券交易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所的有关规定执行。</w:t>
            </w:r>
            <w:r>
              <w:rPr>
                <w:rFonts w:ascii="Times New Roman" w:hAnsi="Times New Roman" w:cs="Times New Roman" w:eastAsia="Times New Roman" w:hint="default"/>
                <w:sz w:val="18"/>
                <w:szCs w:val="18"/>
              </w:rPr>
              <w:t>2</w:t>
            </w:r>
            <w:r>
              <w:rPr>
                <w:rFonts w:ascii="宋体" w:hAnsi="宋体" w:cs="宋体" w:eastAsia="宋体" w:hint="default"/>
                <w:sz w:val="18"/>
                <w:szCs w:val="18"/>
              </w:rPr>
              <w:t>、本次股份发行结束后，本人持有的基于本次交易认 </w:t>
            </w:r>
            <w:r>
              <w:rPr>
                <w:rFonts w:ascii="宋体" w:hAnsi="宋体" w:cs="宋体" w:eastAsia="宋体" w:hint="default"/>
                <w:spacing w:val="-1"/>
                <w:sz w:val="18"/>
                <w:szCs w:val="18"/>
              </w:rPr>
              <w:t>购的上市公司股份由于上市公司送红股、转增股本等原因而增加的，增加的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1" w:right="22"/>
              <w:jc w:val="both"/>
              <w:rPr>
                <w:rFonts w:ascii="宋体" w:hAnsi="宋体" w:cs="宋体" w:eastAsia="宋体" w:hint="default"/>
                <w:sz w:val="18"/>
                <w:szCs w:val="18"/>
              </w:rPr>
            </w:pPr>
            <w:r>
              <w:rPr>
                <w:rFonts w:ascii="宋体" w:hAnsi="宋体" w:cs="宋体" w:eastAsia="宋体" w:hint="default"/>
                <w:spacing w:val="-6"/>
                <w:sz w:val="18"/>
                <w:szCs w:val="18"/>
              </w:rPr>
              <w:t>该承诺已履行完毕，承诺履</w:t>
            </w:r>
            <w:r>
              <w:rPr>
                <w:rFonts w:ascii="宋体" w:hAnsi="宋体" w:cs="宋体" w:eastAsia="宋体" w:hint="default"/>
                <w:sz w:val="18"/>
                <w:szCs w:val="18"/>
              </w:rPr>
              <w:t> </w:t>
            </w:r>
            <w:r>
              <w:rPr>
                <w:rFonts w:ascii="宋体" w:hAnsi="宋体" w:cs="宋体" w:eastAsia="宋体" w:hint="default"/>
                <w:spacing w:val="-6"/>
                <w:sz w:val="18"/>
                <w:szCs w:val="18"/>
              </w:rPr>
              <w:t>行期内，未发生违背该承诺</w:t>
            </w:r>
            <w:r>
              <w:rPr>
                <w:rFonts w:ascii="宋体" w:hAnsi="宋体" w:cs="宋体" w:eastAsia="宋体" w:hint="default"/>
                <w:sz w:val="18"/>
                <w:szCs w:val="18"/>
              </w:rPr>
              <w:t> 的情形。</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260" w:left="1320" w:right="1100"/>
        </w:sectPr>
      </w:pPr>
    </w:p>
    <w:p>
      <w:pPr>
        <w:spacing w:line="240" w:lineRule="auto" w:before="4"/>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560"/>
        <w:gridCol w:w="1126"/>
        <w:gridCol w:w="1126"/>
        <w:gridCol w:w="5970"/>
        <w:gridCol w:w="1128"/>
        <w:gridCol w:w="1121"/>
        <w:gridCol w:w="2146"/>
      </w:tblGrid>
      <w:tr>
        <w:trPr>
          <w:trHeight w:val="1001"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970"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股份亦应遵守上述锁定期限安排。</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、本人同意若前述认购股份的锁定期的 </w:t>
            </w:r>
            <w:r>
              <w:rPr>
                <w:rFonts w:ascii="宋体" w:hAnsi="宋体" w:cs="宋体" w:eastAsia="宋体" w:hint="default"/>
                <w:spacing w:val="-1"/>
                <w:sz w:val="18"/>
                <w:szCs w:val="18"/>
              </w:rPr>
              <w:t>规定与证券监管机构的最新监管规定不相符的，本人将根据相关监管规定对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锁定期进行相应调整。</w:t>
            </w:r>
          </w:p>
        </w:tc>
        <w:tc>
          <w:tcPr>
            <w:tcW w:w="1128"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2146" w:type="dxa"/>
            <w:tcBorders>
              <w:top w:val="single" w:sz="15" w:space="0" w:color="000000"/>
              <w:left w:val="single" w:sz="4" w:space="0" w:color="000000"/>
              <w:bottom w:val="single" w:sz="4" w:space="0" w:color="000000"/>
              <w:right w:val="single" w:sz="4" w:space="0" w:color="000000"/>
            </w:tcBorders>
          </w:tcPr>
          <w:p>
            <w:pPr/>
          </w:p>
        </w:tc>
      </w:tr>
      <w:tr>
        <w:trPr>
          <w:trHeight w:val="1339" w:hRule="exact"/>
        </w:trPr>
        <w:tc>
          <w:tcPr>
            <w:tcW w:w="1560"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11"/>
              <w:jc w:val="left"/>
              <w:rPr>
                <w:rFonts w:ascii="宋体" w:hAnsi="宋体" w:cs="宋体" w:eastAsia="宋体" w:hint="default"/>
                <w:sz w:val="18"/>
                <w:szCs w:val="18"/>
              </w:rPr>
            </w:pPr>
            <w:r>
              <w:rPr>
                <w:rFonts w:ascii="宋体" w:hAnsi="宋体" w:cs="宋体" w:eastAsia="宋体" w:hint="default"/>
                <w:sz w:val="18"/>
                <w:szCs w:val="18"/>
              </w:rPr>
              <w:t>百达永信投 资有限公司； 彭聪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 w:right="192"/>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8"/>
              <w:ind w:left="23" w:right="17"/>
              <w:jc w:val="both"/>
              <w:rPr>
                <w:rFonts w:ascii="宋体" w:hAnsi="宋体" w:cs="宋体" w:eastAsia="宋体" w:hint="default"/>
                <w:sz w:val="18"/>
                <w:szCs w:val="18"/>
              </w:rPr>
            </w:pPr>
            <w:r>
              <w:rPr>
                <w:rFonts w:ascii="宋体" w:hAnsi="宋体" w:cs="宋体" w:eastAsia="宋体" w:hint="default"/>
                <w:spacing w:val="-1"/>
                <w:sz w:val="18"/>
                <w:szCs w:val="18"/>
              </w:rPr>
              <w:t>自新增股份发行上市之日起十二个月内不以任何形式转让；自新增股份发行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上市之日起十二个月后，解锁全部取得股份的</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；自新增股份发行上市之</w:t>
            </w:r>
            <w:r>
              <w:rPr>
                <w:rFonts w:ascii="宋体" w:hAnsi="宋体" w:cs="宋体" w:eastAsia="宋体" w:hint="default"/>
                <w:sz w:val="18"/>
                <w:szCs w:val="18"/>
              </w:rPr>
              <w:t> </w:t>
            </w:r>
            <w:r>
              <w:rPr>
                <w:rFonts w:ascii="宋体" w:hAnsi="宋体" w:cs="宋体" w:eastAsia="宋体" w:hint="default"/>
                <w:spacing w:val="-2"/>
                <w:sz w:val="18"/>
                <w:szCs w:val="18"/>
              </w:rPr>
              <w:t>日起二十四个月后，解锁全部取得股份的</w:t>
            </w:r>
            <w:r>
              <w:rPr>
                <w:rFonts w:ascii="宋体" w:hAnsi="宋体" w:cs="宋体" w:eastAsia="宋体" w:hint="default"/>
                <w:spacing w:val="-25"/>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；自新增股份发行上市之日起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三十六个月后，解锁全部剩余股份。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1" w:right="22"/>
              <w:jc w:val="both"/>
              <w:rPr>
                <w:rFonts w:ascii="宋体" w:hAnsi="宋体" w:cs="宋体" w:eastAsia="宋体" w:hint="default"/>
                <w:sz w:val="18"/>
                <w:szCs w:val="18"/>
              </w:rPr>
            </w:pPr>
            <w:r>
              <w:rPr>
                <w:rFonts w:ascii="宋体" w:hAnsi="宋体" w:cs="宋体" w:eastAsia="宋体" w:hint="default"/>
                <w:spacing w:val="-6"/>
                <w:sz w:val="18"/>
                <w:szCs w:val="18"/>
              </w:rPr>
              <w:t>该承诺已履行完毕，履行期</w:t>
            </w:r>
            <w:r>
              <w:rPr>
                <w:rFonts w:ascii="宋体" w:hAnsi="宋体" w:cs="宋体" w:eastAsia="宋体" w:hint="default"/>
                <w:sz w:val="18"/>
                <w:szCs w:val="18"/>
              </w:rPr>
              <w:t> </w:t>
            </w:r>
            <w:r>
              <w:rPr>
                <w:rFonts w:ascii="宋体" w:hAnsi="宋体" w:cs="宋体" w:eastAsia="宋体" w:hint="default"/>
                <w:spacing w:val="-6"/>
                <w:sz w:val="18"/>
                <w:szCs w:val="18"/>
              </w:rPr>
              <w:t>内，未发生违背该承诺的情</w:t>
            </w:r>
            <w:r>
              <w:rPr>
                <w:rFonts w:ascii="宋体" w:hAnsi="宋体" w:cs="宋体" w:eastAsia="宋体" w:hint="default"/>
                <w:sz w:val="18"/>
                <w:szCs w:val="18"/>
              </w:rPr>
              <w:t> 形。</w:t>
            </w:r>
          </w:p>
        </w:tc>
      </w:tr>
      <w:tr>
        <w:trPr>
          <w:trHeight w:val="1025"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91"/>
              <w:jc w:val="both"/>
              <w:rPr>
                <w:rFonts w:ascii="宋体" w:hAnsi="宋体" w:cs="宋体" w:eastAsia="宋体" w:hint="default"/>
                <w:sz w:val="18"/>
                <w:szCs w:val="18"/>
              </w:rPr>
            </w:pPr>
            <w:r>
              <w:rPr>
                <w:rFonts w:ascii="宋体" w:hAnsi="宋体" w:cs="宋体" w:eastAsia="宋体" w:hint="default"/>
                <w:sz w:val="18"/>
                <w:szCs w:val="18"/>
              </w:rPr>
              <w:t>广西泰达新 原股权投资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1" w:right="192"/>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自新增股份发行上市之日起锁定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1" w:right="22"/>
              <w:jc w:val="both"/>
              <w:rPr>
                <w:rFonts w:ascii="宋体" w:hAnsi="宋体" w:cs="宋体" w:eastAsia="宋体" w:hint="default"/>
                <w:sz w:val="18"/>
                <w:szCs w:val="18"/>
              </w:rPr>
            </w:pPr>
            <w:r>
              <w:rPr>
                <w:rFonts w:ascii="宋体" w:hAnsi="宋体" w:cs="宋体" w:eastAsia="宋体" w:hint="default"/>
                <w:spacing w:val="-6"/>
                <w:sz w:val="18"/>
                <w:szCs w:val="18"/>
              </w:rPr>
              <w:t>该承诺已履行完毕，承诺履</w:t>
            </w:r>
            <w:r>
              <w:rPr>
                <w:rFonts w:ascii="宋体" w:hAnsi="宋体" w:cs="宋体" w:eastAsia="宋体" w:hint="default"/>
                <w:sz w:val="18"/>
                <w:szCs w:val="18"/>
              </w:rPr>
              <w:t> </w:t>
            </w:r>
            <w:r>
              <w:rPr>
                <w:rFonts w:ascii="宋体" w:hAnsi="宋体" w:cs="宋体" w:eastAsia="宋体" w:hint="default"/>
                <w:spacing w:val="-6"/>
                <w:sz w:val="18"/>
                <w:szCs w:val="18"/>
              </w:rPr>
              <w:t>行期内，未发生违背该承诺</w:t>
            </w:r>
            <w:r>
              <w:rPr>
                <w:rFonts w:ascii="宋体" w:hAnsi="宋体" w:cs="宋体" w:eastAsia="宋体" w:hint="default"/>
                <w:sz w:val="18"/>
                <w:szCs w:val="18"/>
              </w:rPr>
              <w:t> 的情形。</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3" w:right="84"/>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97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97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
              <w:jc w:val="left"/>
              <w:rPr>
                <w:rFonts w:ascii="宋体" w:hAnsi="宋体" w:cs="宋体" w:eastAsia="宋体" w:hint="default"/>
                <w:sz w:val="18"/>
                <w:szCs w:val="18"/>
              </w:rPr>
            </w:pPr>
            <w:r>
              <w:rPr>
                <w:rFonts w:ascii="宋体" w:hAnsi="宋体" w:cs="宋体" w:eastAsia="宋体" w:hint="default"/>
                <w:sz w:val="18"/>
                <w:szCs w:val="18"/>
              </w:rPr>
              <w:t>陈颖；陈勇； 谢鹏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192"/>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广州网融信息技术有限公司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7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年度以及</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度承诺扣非净</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利润分别不低于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万元。上述承诺扣非净利润 均不低于《资产评估报告》中所确定的相应年度盈利预测净利润。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1" w:right="-46"/>
              <w:jc w:val="left"/>
              <w:rPr>
                <w:rFonts w:ascii="宋体" w:hAnsi="宋体" w:cs="宋体" w:eastAsia="宋体" w:hint="default"/>
                <w:sz w:val="18"/>
                <w:szCs w:val="18"/>
              </w:rPr>
            </w:pPr>
            <w:r>
              <w:rPr>
                <w:rFonts w:ascii="宋体" w:hAnsi="宋体" w:cs="宋体" w:eastAsia="宋体" w:hint="default"/>
                <w:sz w:val="18"/>
                <w:szCs w:val="18"/>
              </w:rPr>
              <w:t>根据天职国际会计师事务 </w:t>
            </w:r>
            <w:r>
              <w:rPr>
                <w:rFonts w:ascii="宋体" w:hAnsi="宋体" w:cs="宋体" w:eastAsia="宋体" w:hint="default"/>
                <w:spacing w:val="-6"/>
                <w:sz w:val="18"/>
                <w:szCs w:val="18"/>
              </w:rPr>
              <w:t>所（特殊普通合伙）出具的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6368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6"/>
                <w:sz w:val="18"/>
                <w:szCs w:val="18"/>
              </w:rPr>
              <w:t>审计报告，补偿义务人完成</w:t>
            </w:r>
            <w:r>
              <w:rPr>
                <w:rFonts w:ascii="宋体" w:hAnsi="宋体" w:cs="宋体" w:eastAsia="宋体" w:hint="default"/>
                <w:sz w:val="18"/>
                <w:szCs w:val="18"/>
              </w:rPr>
              <w:t> 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年度承诺的业绩。 根据天职国际会计师事务 </w:t>
            </w:r>
            <w:r>
              <w:rPr>
                <w:rFonts w:ascii="宋体" w:hAnsi="宋体" w:cs="宋体" w:eastAsia="宋体" w:hint="default"/>
                <w:spacing w:val="-6"/>
                <w:sz w:val="18"/>
                <w:szCs w:val="18"/>
              </w:rPr>
              <w:t>所（特殊普通合伙）出具的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19921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 </w:t>
            </w:r>
            <w:r>
              <w:rPr>
                <w:rFonts w:ascii="宋体" w:hAnsi="宋体" w:cs="宋体" w:eastAsia="宋体" w:hint="default"/>
                <w:spacing w:val="-6"/>
                <w:sz w:val="18"/>
                <w:szCs w:val="18"/>
              </w:rPr>
              <w:t>审计报告，补偿义务人未完</w:t>
            </w:r>
            <w:r>
              <w:rPr>
                <w:rFonts w:ascii="宋体" w:hAnsi="宋体" w:cs="宋体" w:eastAsia="宋体" w:hint="default"/>
                <w:sz w:val="18"/>
                <w:szCs w:val="18"/>
              </w:rPr>
              <w:t> 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年度承诺的业绩， </w:t>
            </w:r>
            <w:r>
              <w:rPr>
                <w:rFonts w:ascii="宋体" w:hAnsi="宋体" w:cs="宋体" w:eastAsia="宋体" w:hint="default"/>
                <w:spacing w:val="-6"/>
                <w:sz w:val="18"/>
                <w:szCs w:val="18"/>
              </w:rPr>
              <w:t>按照《盈利补偿协议书》约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定和计算结果，公司将应收</w:t>
            </w:r>
            <w:r>
              <w:rPr>
                <w:rFonts w:ascii="宋体" w:hAnsi="宋体" w:cs="宋体" w:eastAsia="宋体" w:hint="default"/>
                <w:sz w:val="18"/>
                <w:szCs w:val="18"/>
              </w:rPr>
              <w:t> 补偿款和尚未支付的股权 </w:t>
            </w:r>
            <w:r>
              <w:rPr>
                <w:rFonts w:ascii="宋体" w:hAnsi="宋体" w:cs="宋体" w:eastAsia="宋体" w:hint="default"/>
                <w:spacing w:val="-6"/>
                <w:sz w:val="18"/>
                <w:szCs w:val="18"/>
              </w:rPr>
              <w:t>价款进行了冲减，补偿结算</w:t>
            </w:r>
            <w:r>
              <w:rPr>
                <w:rFonts w:ascii="宋体" w:hAnsi="宋体" w:cs="宋体" w:eastAsia="宋体" w:hint="default"/>
                <w:sz w:val="18"/>
                <w:szCs w:val="18"/>
              </w:rPr>
              <w:t> </w:t>
            </w:r>
            <w:r>
              <w:rPr>
                <w:rFonts w:ascii="宋体" w:hAnsi="宋体" w:cs="宋体" w:eastAsia="宋体" w:hint="default"/>
                <w:spacing w:val="-6"/>
                <w:sz w:val="18"/>
                <w:szCs w:val="18"/>
              </w:rPr>
              <w:t>已完成。根据天职国际会计</w:t>
            </w:r>
            <w:r>
              <w:rPr>
                <w:rFonts w:ascii="宋体" w:hAnsi="宋体" w:cs="宋体" w:eastAsia="宋体" w:hint="default"/>
                <w:sz w:val="18"/>
                <w:szCs w:val="18"/>
              </w:rPr>
              <w:t> 师事务所（特殊普通合伙）</w:t>
            </w:r>
          </w:p>
        </w:tc>
      </w:tr>
    </w:tbl>
    <w:p>
      <w:pPr>
        <w:spacing w:after="0" w:line="314" w:lineRule="auto"/>
        <w:jc w:val="left"/>
        <w:rPr>
          <w:rFonts w:ascii="宋体" w:hAnsi="宋体" w:cs="宋体" w:eastAsia="宋体" w:hint="default"/>
          <w:sz w:val="18"/>
          <w:szCs w:val="18"/>
        </w:rPr>
        <w:sectPr>
          <w:pgSz w:w="16840" w:h="11910" w:orient="landscape"/>
          <w:pgMar w:header="867" w:footer="980" w:top="1060" w:bottom="1260" w:left="1320" w:right="11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560"/>
        <w:gridCol w:w="1126"/>
        <w:gridCol w:w="1126"/>
        <w:gridCol w:w="5970"/>
        <w:gridCol w:w="1128"/>
        <w:gridCol w:w="1121"/>
        <w:gridCol w:w="2146"/>
      </w:tblGrid>
      <w:tr>
        <w:trPr>
          <w:trHeight w:val="2561"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970"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21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出具的天职业字【</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18151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号审计报告，补偿义</w:t>
            </w:r>
          </w:p>
          <w:p>
            <w:pPr>
              <w:pStyle w:val="TableParagraph"/>
              <w:spacing w:line="314" w:lineRule="auto" w:before="63"/>
              <w:ind w:left="21" w:right="-46"/>
              <w:jc w:val="left"/>
              <w:rPr>
                <w:rFonts w:ascii="宋体" w:hAnsi="宋体" w:cs="宋体" w:eastAsia="宋体" w:hint="default"/>
                <w:sz w:val="18"/>
                <w:szCs w:val="18"/>
              </w:rPr>
            </w:pPr>
            <w:r>
              <w:rPr>
                <w:rFonts w:ascii="宋体" w:hAnsi="宋体" w:cs="宋体" w:eastAsia="宋体" w:hint="default"/>
                <w:sz w:val="18"/>
                <w:szCs w:val="18"/>
              </w:rPr>
              <w:t>务人未完成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年度承诺 </w:t>
            </w:r>
            <w:r>
              <w:rPr>
                <w:rFonts w:ascii="宋体" w:hAnsi="宋体" w:cs="宋体" w:eastAsia="宋体" w:hint="default"/>
                <w:spacing w:val="-6"/>
                <w:sz w:val="18"/>
                <w:szCs w:val="18"/>
              </w:rPr>
              <w:t>的业绩，按照《盈利补偿协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议书》约定和计算结果，公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司将应收补偿款和尚未支 付的股权价款进行了冲减， 补偿结算已完成。</w:t>
            </w:r>
          </w:p>
        </w:tc>
      </w:tr>
      <w:tr>
        <w:trPr>
          <w:trHeight w:val="1028" w:hRule="exact"/>
        </w:trPr>
        <w:tc>
          <w:tcPr>
            <w:tcW w:w="1560"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百达永信投 资有限公司； 彭聪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1"/>
                <w:sz w:val="18"/>
                <w:szCs w:val="18"/>
              </w:rPr>
              <w:t>未来公司实际经营过程中若有融资需求，可以采用担保、保证以及所持股份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抵押等增信方式为公司获取外部融资提供支持。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both"/>
              <w:rPr>
                <w:rFonts w:ascii="宋体" w:hAnsi="宋体" w:cs="宋体" w:eastAsia="宋体" w:hint="default"/>
                <w:sz w:val="18"/>
                <w:szCs w:val="18"/>
              </w:rPr>
            </w:pPr>
            <w:r>
              <w:rPr>
                <w:rFonts w:ascii="宋体" w:hAnsi="宋体" w:cs="宋体" w:eastAsia="宋体" w:hint="default"/>
                <w:spacing w:val="-6"/>
                <w:sz w:val="18"/>
                <w:szCs w:val="18"/>
              </w:rPr>
              <w:t>截至目前，该承诺正在履行</w:t>
            </w:r>
            <w:r>
              <w:rPr>
                <w:rFonts w:ascii="宋体" w:hAnsi="宋体" w:cs="宋体" w:eastAsia="宋体" w:hint="default"/>
                <w:sz w:val="18"/>
                <w:szCs w:val="18"/>
              </w:rPr>
              <w:t> </w:t>
            </w:r>
            <w:r>
              <w:rPr>
                <w:rFonts w:ascii="宋体" w:hAnsi="宋体" w:cs="宋体" w:eastAsia="宋体" w:hint="default"/>
                <w:spacing w:val="-6"/>
                <w:sz w:val="18"/>
                <w:szCs w:val="18"/>
              </w:rPr>
              <w:t>期内，履行期间不存在违背</w:t>
            </w:r>
            <w:r>
              <w:rPr>
                <w:rFonts w:ascii="宋体" w:hAnsi="宋体" w:cs="宋体" w:eastAsia="宋体" w:hint="default"/>
                <w:sz w:val="18"/>
                <w:szCs w:val="18"/>
              </w:rPr>
              <w:t> 承诺的情形。</w:t>
            </w:r>
          </w:p>
        </w:tc>
      </w:tr>
      <w:tr>
        <w:trPr>
          <w:trHeight w:val="1337" w:hRule="exact"/>
        </w:trPr>
        <w:tc>
          <w:tcPr>
            <w:tcW w:w="1560"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
              <w:jc w:val="left"/>
              <w:rPr>
                <w:rFonts w:ascii="宋体" w:hAnsi="宋体" w:cs="宋体" w:eastAsia="宋体" w:hint="default"/>
                <w:sz w:val="18"/>
                <w:szCs w:val="18"/>
              </w:rPr>
            </w:pPr>
            <w:r>
              <w:rPr>
                <w:rFonts w:ascii="宋体" w:hAnsi="宋体" w:cs="宋体" w:eastAsia="宋体" w:hint="default"/>
                <w:sz w:val="18"/>
                <w:szCs w:val="18"/>
              </w:rPr>
              <w:t>百达永信投 资有限公司； 彭聪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192"/>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彭聪先生及其控制的关联方拟于增持股份计划公告披露之日起六个月内（敏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感期除外）通过深圳证券交易所证券交易系统（包括但不限于参与定增、集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中竞价、大宗交易等方式）增持公司股份，拟增持股份的金额不低于</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10,000</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万元人民币，且不超过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pacing w:val="-6"/>
                <w:sz w:val="18"/>
                <w:szCs w:val="18"/>
              </w:rPr>
              <w:t>该承诺正在履行期内，履行</w:t>
            </w:r>
            <w:r>
              <w:rPr>
                <w:rFonts w:ascii="宋体" w:hAnsi="宋体" w:cs="宋体" w:eastAsia="宋体" w:hint="default"/>
                <w:sz w:val="18"/>
                <w:szCs w:val="18"/>
              </w:rPr>
              <w:t> 期间不存在违背承诺的情 形。</w:t>
            </w:r>
          </w:p>
        </w:tc>
      </w:tr>
      <w:tr>
        <w:trPr>
          <w:trHeight w:val="1340"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192"/>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5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pacing w:val="-1"/>
                <w:sz w:val="18"/>
                <w:szCs w:val="18"/>
              </w:rPr>
              <w:t>基于公司控股股东及其关联方减持，以及连良桂先生解除与控股股东一致行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动关系的通知，出于公司目前业务的良性发展和对公司价值的判断，支持公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司做大做强，本人进一步承诺：在担任公司董事、董事长期间，对于本人直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接持有的全部公司股票，本人自愿延长不减持期限至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1" w:right="22"/>
              <w:jc w:val="both"/>
              <w:rPr>
                <w:rFonts w:ascii="宋体" w:hAnsi="宋体" w:cs="宋体" w:eastAsia="宋体" w:hint="default"/>
                <w:sz w:val="18"/>
                <w:szCs w:val="18"/>
              </w:rPr>
            </w:pPr>
            <w:r>
              <w:rPr>
                <w:rFonts w:ascii="宋体" w:hAnsi="宋体" w:cs="宋体" w:eastAsia="宋体" w:hint="default"/>
                <w:spacing w:val="-6"/>
                <w:sz w:val="18"/>
                <w:szCs w:val="18"/>
              </w:rPr>
              <w:t>截至目前，该承诺正在履行</w:t>
            </w:r>
            <w:r>
              <w:rPr>
                <w:rFonts w:ascii="宋体" w:hAnsi="宋体" w:cs="宋体" w:eastAsia="宋体" w:hint="default"/>
                <w:sz w:val="18"/>
                <w:szCs w:val="18"/>
              </w:rPr>
              <w:t> </w:t>
            </w:r>
            <w:r>
              <w:rPr>
                <w:rFonts w:ascii="宋体" w:hAnsi="宋体" w:cs="宋体" w:eastAsia="宋体" w:hint="default"/>
                <w:spacing w:val="-6"/>
                <w:sz w:val="18"/>
                <w:szCs w:val="18"/>
              </w:rPr>
              <w:t>期内，履行期间不存在违背</w:t>
            </w:r>
            <w:r>
              <w:rPr>
                <w:rFonts w:ascii="宋体" w:hAnsi="宋体" w:cs="宋体" w:eastAsia="宋体" w:hint="default"/>
                <w:sz w:val="18"/>
                <w:szCs w:val="18"/>
              </w:rPr>
              <w:t> 承诺的情形。</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6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84"/>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 具体原因及下一步 的工作计划</w:t>
            </w:r>
          </w:p>
        </w:tc>
        <w:tc>
          <w:tcPr>
            <w:tcW w:w="126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20" w:right="11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pStyle w:val="Heading3"/>
        <w:spacing w:line="259" w:lineRule="auto" w:before="36"/>
        <w:ind w:left="192" w:right="0"/>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0"/>
        </w:rPr>
        <w:t> </w:t>
      </w:r>
      <w:r>
        <w:rPr>
          <w:spacing w:val="-60"/>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1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306"/>
        <w:gridCol w:w="1178"/>
        <w:gridCol w:w="1181"/>
        <w:gridCol w:w="1181"/>
        <w:gridCol w:w="1179"/>
        <w:gridCol w:w="1181"/>
        <w:gridCol w:w="1018"/>
        <w:gridCol w:w="1558"/>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7" w:right="106"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3"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霍尔果斯快马 财税管理服务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10,978</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10,429.96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《重大资产购买报 </w:t>
            </w:r>
            <w:r>
              <w:rPr>
                <w:rFonts w:ascii="宋体" w:hAnsi="宋体" w:cs="宋体" w:eastAsia="宋体" w:hint="default"/>
                <w:spacing w:val="-14"/>
                <w:sz w:val="18"/>
                <w:szCs w:val="18"/>
              </w:rPr>
              <w:t>告书（草案）》刊载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于巨潮资讯网</w:t>
            </w:r>
          </w:p>
        </w:tc>
      </w:tr>
    </w:tbl>
    <w:p>
      <w:pPr>
        <w:pStyle w:val="BodyText"/>
        <w:spacing w:line="240" w:lineRule="auto" w:before="49"/>
        <w:ind w:left="192" w:right="0"/>
        <w:jc w:val="left"/>
      </w:pPr>
      <w:r>
        <w:rPr/>
        <w:t>公司股东、交易对手方在报告年度经营业绩做出的承诺情况</w:t>
      </w:r>
    </w:p>
    <w:p>
      <w:pPr>
        <w:pStyle w:val="BodyText"/>
        <w:spacing w:line="240" w:lineRule="auto" w:before="117"/>
        <w:ind w:left="1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13"/>
          <w:szCs w:val="13"/>
        </w:rPr>
      </w:pPr>
    </w:p>
    <w:p>
      <w:pPr>
        <w:pStyle w:val="BodyText"/>
        <w:spacing w:line="355" w:lineRule="auto"/>
        <w:ind w:left="192" w:right="1162" w:firstLine="425"/>
        <w:jc w:val="both"/>
      </w:pPr>
      <w:r>
        <w:rPr>
          <w:rFonts w:ascii="宋体" w:hAnsi="宋体" w:cs="宋体" w:eastAsia="宋体" w:hint="default"/>
        </w:rPr>
        <w:t>2018</w:t>
      </w:r>
      <w:r>
        <w:rPr/>
        <w:t>年</w:t>
      </w:r>
      <w:r>
        <w:rPr>
          <w:rFonts w:ascii="宋体" w:hAnsi="宋体" w:cs="宋体" w:eastAsia="宋体" w:hint="default"/>
        </w:rPr>
        <w:t>6</w:t>
      </w:r>
      <w:r>
        <w:rPr/>
        <w:t>月，公司实施完成霍尔果斯快马财税管理服务有限公司</w:t>
      </w:r>
      <w:r>
        <w:rPr>
          <w:rFonts w:ascii="宋体" w:hAnsi="宋体" w:cs="宋体" w:eastAsia="宋体" w:hint="default"/>
        </w:rPr>
        <w:t>60%</w:t>
      </w:r>
      <w:r>
        <w:rPr/>
        <w:t>股权收购事项，交易对手方霍尔果斯神州易桥股权 投资合伙企业（有限合伙）对标的公司终端资产</w:t>
      </w:r>
      <w:r>
        <w:rPr>
          <w:rFonts w:ascii="宋体" w:hAnsi="宋体" w:cs="宋体" w:eastAsia="宋体" w:hint="default"/>
        </w:rPr>
        <w:t>2017-2019</w:t>
      </w:r>
      <w:r>
        <w:rPr/>
        <w:t>年度承诺扣非净利润的实现承担保证责任。</w:t>
      </w:r>
    </w:p>
    <w:p>
      <w:pPr>
        <w:spacing w:line="240" w:lineRule="auto" w:before="3"/>
        <w:rPr>
          <w:rFonts w:ascii="宋体" w:hAnsi="宋体" w:cs="宋体" w:eastAsia="宋体" w:hint="default"/>
          <w:sz w:val="17"/>
          <w:szCs w:val="17"/>
        </w:rPr>
      </w:pPr>
    </w:p>
    <w:p>
      <w:pPr>
        <w:pStyle w:val="BodyText"/>
        <w:spacing w:line="436" w:lineRule="auto"/>
        <w:ind w:left="618" w:right="1148" w:hanging="426"/>
        <w:jc w:val="left"/>
      </w:pPr>
      <w:r>
        <w:rPr/>
        <w:t>业绩承诺的完成情况及其对商誉减值测试的影响 根据立信会计师事务所（特殊普通合伙）审计后的报表，截止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日，快马财税剩余</w:t>
      </w:r>
      <w:r>
        <w:rPr>
          <w:rFonts w:ascii="宋体" w:hAnsi="宋体" w:cs="宋体" w:eastAsia="宋体" w:hint="default"/>
        </w:rPr>
        <w:t>30</w:t>
      </w:r>
      <w:r>
        <w:rPr/>
        <w:t>家终端资产原股东承</w:t>
      </w:r>
    </w:p>
    <w:p>
      <w:pPr>
        <w:pStyle w:val="BodyText"/>
        <w:spacing w:line="200" w:lineRule="exact"/>
        <w:ind w:left="192" w:right="0"/>
        <w:jc w:val="left"/>
      </w:pPr>
      <w:r>
        <w:rPr/>
        <w:t>诺</w:t>
      </w:r>
      <w:r>
        <w:rPr>
          <w:rFonts w:ascii="宋体" w:hAnsi="宋体" w:cs="宋体" w:eastAsia="宋体" w:hint="default"/>
        </w:rPr>
        <w:t>2017-2019</w:t>
      </w:r>
      <w:r>
        <w:rPr/>
        <w:t>年度经审计的扣除非经常性损益后的净利润累计完成率为</w:t>
      </w:r>
      <w:r>
        <w:rPr>
          <w:rFonts w:ascii="宋体" w:hAnsi="宋体" w:cs="宋体" w:eastAsia="宋体" w:hint="default"/>
        </w:rPr>
        <w:t>105.92%</w:t>
      </w:r>
      <w:r>
        <w:rPr/>
        <w:t>。</w:t>
      </w:r>
    </w:p>
    <w:p>
      <w:pPr>
        <w:spacing w:line="240" w:lineRule="auto" w:before="9"/>
        <w:rPr>
          <w:rFonts w:ascii="宋体" w:hAnsi="宋体" w:cs="宋体" w:eastAsia="宋体" w:hint="default"/>
          <w:sz w:val="20"/>
          <w:szCs w:val="20"/>
        </w:rPr>
      </w:pPr>
    </w:p>
    <w:p>
      <w:pPr>
        <w:pStyle w:val="BodyText"/>
        <w:spacing w:line="357" w:lineRule="auto"/>
        <w:ind w:left="192" w:right="1131" w:firstLine="425"/>
        <w:jc w:val="both"/>
      </w:pPr>
      <w:r>
        <w:rPr>
          <w:spacing w:val="-2"/>
        </w:rPr>
        <w:t>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日，依据银信财报字（</w:t>
      </w:r>
      <w:r>
        <w:rPr>
          <w:rFonts w:ascii="宋体" w:hAnsi="宋体" w:cs="宋体" w:eastAsia="宋体" w:hint="default"/>
          <w:spacing w:val="-2"/>
        </w:rPr>
        <w:t>2020</w:t>
      </w:r>
      <w:r>
        <w:rPr>
          <w:spacing w:val="-2"/>
        </w:rPr>
        <w:t>）沪第</w:t>
      </w:r>
      <w:r>
        <w:rPr>
          <w:rFonts w:ascii="宋体" w:hAnsi="宋体" w:cs="宋体" w:eastAsia="宋体" w:hint="default"/>
          <w:spacing w:val="-2"/>
        </w:rPr>
        <w:t>385</w:t>
      </w:r>
      <w:r>
        <w:rPr>
          <w:spacing w:val="-2"/>
        </w:rPr>
        <w:t>号《顺利办信息服务股份有限公司拟进行商誉减值测试涉及的</w:t>
      </w:r>
      <w:r>
        <w:rPr/>
        <w:t> </w:t>
      </w:r>
      <w:r>
        <w:rPr>
          <w:spacing w:val="-2"/>
        </w:rPr>
        <w:t>霍尔果斯快马财税管理服务有限公司商誉所在资产组可回收价值资产评估报告》，经银信资产评估有限公司以商誉减值测试</w:t>
      </w:r>
      <w:r>
        <w:rPr>
          <w:spacing w:val="-64"/>
        </w:rPr>
        <w:t> </w:t>
      </w:r>
      <w:r>
        <w:rPr>
          <w:spacing w:val="-64"/>
        </w:rPr>
      </w:r>
      <w:r>
        <w:rPr/>
        <w:t>为目的评估后，认定截至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日商誉减值</w:t>
      </w:r>
      <w:r>
        <w:rPr>
          <w:rFonts w:ascii="Times New Roman" w:hAnsi="Times New Roman" w:cs="Times New Roman" w:eastAsia="Times New Roman" w:hint="default"/>
        </w:rPr>
        <w:t>17,873.40</w:t>
      </w:r>
      <w:r>
        <w:rPr/>
        <w:t>万元。</w:t>
      </w:r>
    </w:p>
    <w:p>
      <w:pPr>
        <w:spacing w:line="240" w:lineRule="auto" w:before="11"/>
        <w:rPr>
          <w:rFonts w:ascii="宋体" w:hAnsi="宋体" w:cs="宋体" w:eastAsia="宋体" w:hint="default"/>
          <w:sz w:val="22"/>
          <w:szCs w:val="22"/>
        </w:rPr>
      </w:pPr>
    </w:p>
    <w:p>
      <w:pPr>
        <w:pStyle w:val="Heading2"/>
        <w:spacing w:line="240" w:lineRule="auto"/>
        <w:ind w:left="192" w:right="0"/>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92"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left="192" w:right="0"/>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1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192" w:right="0"/>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355" w:lineRule="auto"/>
        <w:ind w:left="192" w:right="1133" w:firstLine="425"/>
        <w:jc w:val="both"/>
      </w:pPr>
      <w:r>
        <w:rPr>
          <w:rFonts w:ascii="宋体" w:hAnsi="宋体" w:cs="宋体" w:eastAsia="宋体" w:hint="default"/>
        </w:rPr>
        <w:t>2019</w:t>
      </w:r>
      <w:r>
        <w:rPr/>
        <w:t>年公司根据新准则的执行，变更了相关会计政策，具体见第十二节财务报告中五、重要的会计政策及估计变更部 </w:t>
      </w:r>
      <w:r>
        <w:rPr>
          <w:spacing w:val="-2"/>
        </w:rPr>
        <w:t>分，除公司按准则要求将年初列报在可供出售金融资产的项目调整至其他权益工具投资项目外，相关政策的变更对公司财务</w:t>
      </w:r>
      <w:r>
        <w:rPr>
          <w:spacing w:val="-64"/>
        </w:rPr>
        <w:t> </w:t>
      </w:r>
      <w:r>
        <w:rPr>
          <w:spacing w:val="-64"/>
        </w:rPr>
      </w:r>
      <w:r>
        <w:rPr/>
        <w:t>报表不产生重要影响。</w:t>
      </w:r>
    </w:p>
    <w:p>
      <w:pPr>
        <w:spacing w:line="240" w:lineRule="auto" w:before="9"/>
        <w:rPr>
          <w:rFonts w:ascii="宋体" w:hAnsi="宋体" w:cs="宋体" w:eastAsia="宋体" w:hint="default"/>
          <w:sz w:val="24"/>
          <w:szCs w:val="24"/>
        </w:rPr>
      </w:pPr>
    </w:p>
    <w:p>
      <w:pPr>
        <w:pStyle w:val="Heading2"/>
        <w:spacing w:line="240" w:lineRule="auto"/>
        <w:ind w:left="192" w:right="0"/>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20"/>
          <w:footerReference w:type="default" r:id="rId21"/>
          <w:pgSz w:w="11910" w:h="16840"/>
          <w:pgMar w:header="877" w:footer="980" w:top="1100" w:bottom="1160" w:left="940" w:right="0"/>
          <w:pgNumType w:start="4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公司报告期无重大会计差错更正需追溯重述的情况。</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本报告期，公司子公司等部分终端资产因终止合作等原因不再纳入相关合并主体。</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王首一、王磊</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1133"/>
        <w:jc w:val="left"/>
      </w:pPr>
      <w:r>
        <w:rPr/>
        <w:t>当期是否改聘会计师事务所</w:t>
      </w:r>
    </w:p>
    <w:p>
      <w:pPr>
        <w:pStyle w:val="BodyText"/>
        <w:spacing w:line="340" w:lineRule="auto" w:before="115"/>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38" w:lineRule="auto" w:before="41"/>
        <w:ind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40" w:lineRule="auto" w:before="43"/>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对改聘、变更会计师事务所情况的详细说明</w:t>
      </w:r>
    </w:p>
    <w:p>
      <w:pPr>
        <w:pStyle w:val="BodyText"/>
        <w:spacing w:line="357" w:lineRule="auto" w:before="116"/>
        <w:ind w:right="1128" w:firstLine="425"/>
        <w:jc w:val="both"/>
      </w:pP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26</w:t>
      </w:r>
      <w:r>
        <w:rPr/>
        <w:t>日，经公司第八届董事会</w:t>
      </w:r>
      <w:r>
        <w:rPr>
          <w:rFonts w:ascii="宋体" w:hAnsi="宋体" w:cs="宋体" w:eastAsia="宋体" w:hint="default"/>
        </w:rPr>
        <w:t>2019</w:t>
      </w:r>
      <w:r>
        <w:rPr/>
        <w:t>年第六次临时会议、第八届监事会</w:t>
      </w:r>
      <w:r>
        <w:rPr>
          <w:rFonts w:ascii="宋体" w:hAnsi="宋体" w:cs="宋体" w:eastAsia="宋体" w:hint="default"/>
        </w:rPr>
        <w:t>2019</w:t>
      </w:r>
      <w:r>
        <w:rPr/>
        <w:t>年第六次临时会议，以及</w:t>
      </w:r>
      <w:r>
        <w:rPr>
          <w:rFonts w:ascii="宋体" w:hAnsi="宋体" w:cs="宋体" w:eastAsia="宋体" w:hint="default"/>
        </w:rPr>
        <w:t>12</w:t>
      </w:r>
      <w:r>
        <w:rPr/>
        <w:t>月</w:t>
      </w:r>
      <w:r>
        <w:rPr>
          <w:rFonts w:ascii="宋体" w:hAnsi="宋体" w:cs="宋体" w:eastAsia="宋体" w:hint="default"/>
        </w:rPr>
        <w:t>12</w:t>
      </w:r>
      <w:r>
        <w:rPr/>
        <w:t>日 </w:t>
      </w:r>
      <w:r>
        <w:rPr>
          <w:spacing w:val="-2"/>
        </w:rPr>
        <w:t>召开的</w:t>
      </w:r>
      <w:r>
        <w:rPr>
          <w:rFonts w:ascii="宋体" w:hAnsi="宋体" w:cs="宋体" w:eastAsia="宋体" w:hint="default"/>
          <w:spacing w:val="-2"/>
        </w:rPr>
        <w:t>2019</w:t>
      </w:r>
      <w:r>
        <w:rPr>
          <w:spacing w:val="-2"/>
        </w:rPr>
        <w:t>年第三次临时股东大会审议，同意改聘立信会计师事务所（特殊普通合伙）为公司</w:t>
      </w:r>
      <w:r>
        <w:rPr>
          <w:rFonts w:ascii="宋体" w:hAnsi="宋体" w:cs="宋体" w:eastAsia="宋体" w:hint="default"/>
          <w:spacing w:val="-2"/>
        </w:rPr>
        <w:t>2019</w:t>
      </w:r>
      <w:r>
        <w:rPr>
          <w:spacing w:val="-2"/>
        </w:rPr>
        <w:t>年度审计机构，审计费用</w:t>
      </w:r>
      <w:r>
        <w:rPr>
          <w:spacing w:val="-57"/>
        </w:rPr>
        <w:t> </w:t>
      </w:r>
      <w:r>
        <w:rPr>
          <w:spacing w:val="-57"/>
        </w:rPr>
      </w:r>
      <w:r>
        <w:rPr/>
        <w:t>依照市场公允合理的定价原则，与会计师事务所协商确定。公司独立董事发表了事前认可意见和独立意见。</w:t>
      </w:r>
    </w:p>
    <w:p>
      <w:pPr>
        <w:spacing w:line="240" w:lineRule="auto" w:before="12"/>
        <w:rPr>
          <w:rFonts w:ascii="宋体" w:hAnsi="宋体" w:cs="宋体" w:eastAsia="宋体" w:hint="default"/>
          <w:sz w:val="16"/>
          <w:szCs w:val="16"/>
        </w:rPr>
      </w:pPr>
    </w:p>
    <w:p>
      <w:pPr>
        <w:pStyle w:val="BodyText"/>
        <w:spacing w:line="240" w:lineRule="auto"/>
        <w:ind w:right="1133"/>
        <w:jc w:val="left"/>
      </w:pPr>
      <w:r>
        <w:rPr/>
        <w:t>聘请内部控制审计会计师事务所、财务顾问或保荐人情况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64" w:firstLine="425"/>
        <w:jc w:val="both"/>
      </w:pPr>
      <w:r>
        <w:rPr/>
        <w:t>本年度，公司改聘立信会计师事务所（特殊普通合伙）为</w:t>
      </w:r>
      <w:r>
        <w:rPr>
          <w:rFonts w:ascii="Times New Roman" w:hAnsi="Times New Roman" w:cs="Times New Roman" w:eastAsia="Times New Roman" w:hint="default"/>
        </w:rPr>
        <w:t>2019</w:t>
      </w:r>
      <w:r>
        <w:rPr/>
        <w:t>年度内部控制审计机构，审计费用依照市场公允合理的 定价原则，与会计师事务所协商确定。</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38"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8" w:right="1133"/>
        <w:jc w:val="left"/>
      </w:pPr>
      <w:r>
        <w:rPr>
          <w:rFonts w:ascii="宋体" w:hAnsi="宋体" w:cs="宋体" w:eastAsia="宋体" w:hint="default"/>
        </w:rPr>
        <w:t>1</w:t>
      </w:r>
      <w:r>
        <w:rPr/>
        <w:t>、股权激励计划</w:t>
      </w:r>
    </w:p>
    <w:p>
      <w:pPr>
        <w:spacing w:line="240" w:lineRule="auto" w:before="7"/>
        <w:rPr>
          <w:rFonts w:ascii="宋体" w:hAnsi="宋体" w:cs="宋体" w:eastAsia="宋体" w:hint="default"/>
          <w:sz w:val="20"/>
          <w:szCs w:val="20"/>
        </w:rPr>
      </w:pPr>
    </w:p>
    <w:p>
      <w:pPr>
        <w:pStyle w:val="BodyText"/>
        <w:spacing w:line="357" w:lineRule="auto"/>
        <w:ind w:right="1128" w:firstLine="425"/>
        <w:jc w:val="both"/>
      </w:pP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29</w:t>
      </w:r>
      <w:r>
        <w:rPr>
          <w:spacing w:val="-2"/>
        </w:rPr>
        <w:t>日，公司召开第八届董事会第二次会议、第八届监事会第二次会议，审议通过了《关于</w:t>
      </w:r>
      <w:r>
        <w:rPr>
          <w:rFonts w:ascii="宋体" w:hAnsi="宋体" w:cs="宋体" w:eastAsia="宋体" w:hint="default"/>
          <w:spacing w:val="-2"/>
        </w:rPr>
        <w:t>2018</w:t>
      </w:r>
      <w:r>
        <w:rPr>
          <w:spacing w:val="-2"/>
        </w:rPr>
        <w:t>年股票期权激</w:t>
      </w:r>
      <w:r>
        <w:rPr/>
        <w:t> </w:t>
      </w:r>
      <w:r>
        <w:rPr>
          <w:spacing w:val="-2"/>
        </w:rPr>
        <w:t>励计划第一个行权期获授股票期权未达到行权条件予以注销的议案》，因</w:t>
      </w:r>
      <w:r>
        <w:rPr>
          <w:rFonts w:ascii="宋体" w:hAnsi="宋体" w:cs="宋体" w:eastAsia="宋体" w:hint="default"/>
          <w:spacing w:val="-2"/>
        </w:rPr>
        <w:t>2018</w:t>
      </w:r>
      <w:r>
        <w:rPr>
          <w:spacing w:val="-2"/>
        </w:rPr>
        <w:t>年股票期权激励计划第一个行权期行权条件未</w:t>
      </w:r>
      <w:r>
        <w:rPr>
          <w:spacing w:val="-61"/>
        </w:rPr>
        <w:t> </w:t>
      </w:r>
      <w:r>
        <w:rPr>
          <w:spacing w:val="-61"/>
        </w:rPr>
      </w:r>
      <w:r>
        <w:rPr>
          <w:spacing w:val="-2"/>
        </w:rPr>
        <w:t>达成，公司对未达到行权条件的已获授但不具备行权条件的</w:t>
      </w:r>
      <w:r>
        <w:rPr>
          <w:rFonts w:ascii="宋体" w:hAnsi="宋体" w:cs="宋体" w:eastAsia="宋体" w:hint="default"/>
          <w:spacing w:val="-2"/>
        </w:rPr>
        <w:t>658.5</w:t>
      </w:r>
      <w:r>
        <w:rPr>
          <w:spacing w:val="-2"/>
        </w:rPr>
        <w:t>万份股票期权予以注销，本次股票期权授予数量由原</w:t>
      </w:r>
      <w:r>
        <w:rPr>
          <w:rFonts w:ascii="宋体" w:hAnsi="宋体" w:cs="宋体" w:eastAsia="宋体" w:hint="default"/>
          <w:spacing w:val="-2"/>
        </w:rPr>
        <w:t>2,195</w:t>
      </w:r>
      <w:r>
        <w:rPr>
          <w:rFonts w:ascii="宋体" w:hAnsi="宋体" w:cs="宋体" w:eastAsia="宋体" w:hint="default"/>
          <w:spacing w:val="-52"/>
        </w:rPr>
        <w:t> </w:t>
      </w:r>
      <w:r>
        <w:rPr>
          <w:rFonts w:ascii="宋体" w:hAnsi="宋体" w:cs="宋体" w:eastAsia="宋体" w:hint="default"/>
          <w:spacing w:val="-52"/>
        </w:rPr>
      </w:r>
      <w:r>
        <w:rPr/>
        <w:t>万份调整为</w:t>
      </w:r>
      <w:r>
        <w:rPr>
          <w:rFonts w:ascii="宋体" w:hAnsi="宋体" w:cs="宋体" w:eastAsia="宋体" w:hint="default"/>
        </w:rPr>
        <w:t>1,536.5</w:t>
      </w:r>
      <w:r>
        <w:rPr/>
        <w:t>万份。</w:t>
      </w:r>
    </w:p>
    <w:p>
      <w:pPr>
        <w:spacing w:line="240" w:lineRule="auto" w:before="13"/>
        <w:rPr>
          <w:rFonts w:ascii="宋体" w:hAnsi="宋体" w:cs="宋体" w:eastAsia="宋体" w:hint="default"/>
          <w:sz w:val="13"/>
          <w:szCs w:val="13"/>
        </w:rPr>
      </w:pPr>
    </w:p>
    <w:p>
      <w:pPr>
        <w:pStyle w:val="BodyText"/>
        <w:spacing w:line="240" w:lineRule="auto"/>
        <w:ind w:left="578" w:right="1123"/>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16</w:t>
      </w:r>
      <w:r>
        <w:rPr/>
        <w:t>日，公司召开第八届董事会</w:t>
      </w:r>
      <w:r>
        <w:rPr>
          <w:rFonts w:ascii="宋体" w:hAnsi="宋体" w:cs="宋体" w:eastAsia="宋体" w:hint="default"/>
        </w:rPr>
        <w:t>2019</w:t>
      </w:r>
      <w:r>
        <w:rPr/>
        <w:t>年第七次临时会议、第八届监事会</w:t>
      </w:r>
      <w:r>
        <w:rPr>
          <w:rFonts w:ascii="宋体" w:hAnsi="宋体" w:cs="宋体" w:eastAsia="宋体" w:hint="default"/>
        </w:rPr>
        <w:t>2019</w:t>
      </w:r>
      <w:r>
        <w:rPr/>
        <w:t>年第七次临时会议，审议通过了</w:t>
      </w:r>
    </w:p>
    <w:p>
      <w:pPr>
        <w:pStyle w:val="BodyText"/>
        <w:spacing w:line="357" w:lineRule="auto" w:before="115"/>
        <w:ind w:right="1124"/>
        <w:jc w:val="left"/>
      </w:pPr>
      <w:r>
        <w:rPr/>
        <w:t>《关于</w:t>
      </w:r>
      <w:r>
        <w:rPr>
          <w:rFonts w:ascii="宋体" w:hAnsi="宋体" w:cs="宋体" w:eastAsia="宋体" w:hint="default"/>
        </w:rPr>
        <w:t>2018</w:t>
      </w:r>
      <w:r>
        <w:rPr/>
        <w:t>年股票期权激励计划部分股票期权注销的议案》，因激励计划中</w:t>
      </w:r>
      <w:r>
        <w:rPr>
          <w:rFonts w:ascii="宋体" w:hAnsi="宋体" w:cs="宋体" w:eastAsia="宋体" w:hint="default"/>
        </w:rPr>
        <w:t>8</w:t>
      </w:r>
      <w:r>
        <w:rPr/>
        <w:t>名激励对象离职，公司对上述离职人员已获授 但尚未行权的</w:t>
      </w:r>
      <w:r>
        <w:rPr>
          <w:rFonts w:ascii="宋体" w:hAnsi="宋体" w:cs="宋体" w:eastAsia="宋体" w:hint="default"/>
        </w:rPr>
        <w:t>350</w:t>
      </w:r>
      <w:r>
        <w:rPr/>
        <w:t>万份股票期权予以注销，本次股票期权授予数量由原</w:t>
      </w:r>
      <w:r>
        <w:rPr>
          <w:rFonts w:ascii="宋体" w:hAnsi="宋体" w:cs="宋体" w:eastAsia="宋体" w:hint="default"/>
        </w:rPr>
        <w:t>1,536.5</w:t>
      </w:r>
      <w:r>
        <w:rPr/>
        <w:t>万份调整为</w:t>
      </w:r>
      <w:r>
        <w:rPr>
          <w:rFonts w:ascii="宋体" w:hAnsi="宋体" w:cs="宋体" w:eastAsia="宋体" w:hint="default"/>
        </w:rPr>
        <w:t>1,186.5</w:t>
      </w:r>
      <w:r>
        <w:rPr/>
        <w:t>万份。</w:t>
      </w:r>
    </w:p>
    <w:p>
      <w:pPr>
        <w:spacing w:line="240" w:lineRule="auto" w:before="13"/>
        <w:rPr>
          <w:rFonts w:ascii="宋体" w:hAnsi="宋体" w:cs="宋体" w:eastAsia="宋体" w:hint="default"/>
          <w:sz w:val="13"/>
          <w:szCs w:val="13"/>
        </w:rPr>
      </w:pPr>
    </w:p>
    <w:p>
      <w:pPr>
        <w:pStyle w:val="BodyText"/>
        <w:spacing w:line="357" w:lineRule="auto"/>
        <w:ind w:right="1163" w:firstLine="425"/>
        <w:jc w:val="both"/>
      </w:pPr>
      <w:r>
        <w:rPr/>
        <w:t>具体内容详见</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w:t>
      </w:r>
      <w:r>
        <w:rPr>
          <w:rFonts w:ascii="宋体" w:hAnsi="宋体" w:cs="宋体" w:eastAsia="宋体" w:hint="default"/>
        </w:rPr>
        <w:t>5</w:t>
      </w:r>
      <w:r>
        <w:rPr/>
        <w:t>月</w:t>
      </w:r>
      <w:r>
        <w:rPr>
          <w:rFonts w:ascii="宋体" w:hAnsi="宋体" w:cs="宋体" w:eastAsia="宋体" w:hint="default"/>
        </w:rPr>
        <w:t>10</w:t>
      </w:r>
      <w:r>
        <w:rPr/>
        <w:t>日、</w:t>
      </w:r>
      <w:r>
        <w:rPr>
          <w:rFonts w:ascii="宋体" w:hAnsi="宋体" w:cs="宋体" w:eastAsia="宋体" w:hint="default"/>
        </w:rPr>
        <w:t>12</w:t>
      </w:r>
      <w:r>
        <w:rPr/>
        <w:t>月</w:t>
      </w:r>
      <w:r>
        <w:rPr>
          <w:rFonts w:ascii="宋体" w:hAnsi="宋体" w:cs="宋体" w:eastAsia="宋体" w:hint="default"/>
        </w:rPr>
        <w:t>17</w:t>
      </w:r>
      <w:r>
        <w:rPr/>
        <w:t>日、</w:t>
      </w:r>
      <w:r>
        <w:rPr>
          <w:rFonts w:ascii="宋体" w:hAnsi="宋体" w:cs="宋体" w:eastAsia="宋体" w:hint="default"/>
        </w:rPr>
        <w:t>12</w:t>
      </w:r>
      <w:r>
        <w:rPr/>
        <w:t>月</w:t>
      </w:r>
      <w:r>
        <w:rPr>
          <w:rFonts w:ascii="宋体" w:hAnsi="宋体" w:cs="宋体" w:eastAsia="宋体" w:hint="default"/>
        </w:rPr>
        <w:t>24</w:t>
      </w:r>
      <w:r>
        <w:rPr/>
        <w:t>日刊载于《中国证券报》、《证券时报》、《证券日报》 和巨潮资讯网的相关公告。</w:t>
      </w:r>
    </w:p>
    <w:p>
      <w:pPr>
        <w:spacing w:line="240" w:lineRule="auto" w:before="10"/>
        <w:rPr>
          <w:rFonts w:ascii="宋体" w:hAnsi="宋体" w:cs="宋体" w:eastAsia="宋体" w:hint="default"/>
          <w:sz w:val="13"/>
          <w:szCs w:val="13"/>
        </w:rPr>
      </w:pPr>
    </w:p>
    <w:p>
      <w:pPr>
        <w:pStyle w:val="BodyText"/>
        <w:spacing w:line="240" w:lineRule="auto"/>
        <w:ind w:left="578" w:right="1133"/>
        <w:jc w:val="left"/>
      </w:pPr>
      <w:r>
        <w:rPr>
          <w:rFonts w:ascii="宋体" w:hAnsi="宋体" w:cs="宋体" w:eastAsia="宋体" w:hint="default"/>
        </w:rPr>
        <w:t>2</w:t>
      </w:r>
      <w:r>
        <w:rPr/>
        <w:t>、员工持股计划</w:t>
      </w:r>
    </w:p>
    <w:p>
      <w:pPr>
        <w:spacing w:line="240" w:lineRule="auto" w:before="9"/>
        <w:rPr>
          <w:rFonts w:ascii="宋体" w:hAnsi="宋体" w:cs="宋体" w:eastAsia="宋体" w:hint="default"/>
          <w:sz w:val="20"/>
          <w:szCs w:val="20"/>
        </w:rPr>
      </w:pPr>
    </w:p>
    <w:p>
      <w:pPr>
        <w:pStyle w:val="BodyText"/>
        <w:spacing w:line="357" w:lineRule="auto"/>
        <w:ind w:right="1133" w:firstLine="425"/>
        <w:jc w:val="both"/>
      </w:pPr>
      <w:r>
        <w:rPr>
          <w:rFonts w:ascii="宋体" w:hAnsi="宋体" w:cs="宋体" w:eastAsia="宋体" w:hint="default"/>
          <w:spacing w:val="-5"/>
        </w:rPr>
        <w:t>2019</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14</w:t>
      </w:r>
      <w:r>
        <w:rPr>
          <w:spacing w:val="-5"/>
        </w:rPr>
        <w:t>日，公司召开第八届董事会</w:t>
      </w:r>
      <w:r>
        <w:rPr>
          <w:rFonts w:ascii="宋体" w:hAnsi="宋体" w:cs="宋体" w:eastAsia="宋体" w:hint="default"/>
          <w:spacing w:val="-5"/>
        </w:rPr>
        <w:t>2019</w:t>
      </w:r>
      <w:r>
        <w:rPr>
          <w:spacing w:val="-5"/>
        </w:rPr>
        <w:t>年第二次临时会议、第八届监事会</w:t>
      </w:r>
      <w:r>
        <w:rPr>
          <w:rFonts w:ascii="宋体" w:hAnsi="宋体" w:cs="宋体" w:eastAsia="宋体" w:hint="default"/>
          <w:spacing w:val="-5"/>
        </w:rPr>
        <w:t>2019</w:t>
      </w:r>
      <w:r>
        <w:rPr>
          <w:spacing w:val="-5"/>
        </w:rPr>
        <w:t>年第二次临时会议，审议通过了《关</w:t>
      </w:r>
      <w:r>
        <w:rPr/>
        <w:t> </w:t>
      </w:r>
      <w:r>
        <w:rPr>
          <w:spacing w:val="-2"/>
        </w:rPr>
        <w:t>于第一期员工持股计划存续期延长的议案》，鉴于公司第一期员工持股计划实施以来，公司股价受资本市场因素影响出现较</w:t>
      </w:r>
      <w:r>
        <w:rPr>
          <w:spacing w:val="-66"/>
        </w:rPr>
        <w:t> </w:t>
      </w:r>
      <w:r>
        <w:rPr>
          <w:spacing w:val="-66"/>
        </w:rPr>
      </w:r>
      <w:r>
        <w:rPr>
          <w:spacing w:val="-2"/>
        </w:rPr>
        <w:t>大波动，为进一步发挥员工持股计划的激励作用，确保公司长期、稳定发展，经第一期员工持股计划持有人会议同意，决定</w:t>
      </w:r>
      <w:r>
        <w:rPr>
          <w:spacing w:val="-67"/>
        </w:rPr>
        <w:t> </w:t>
      </w:r>
      <w:r>
        <w:rPr>
          <w:spacing w:val="-67"/>
        </w:rPr>
      </w:r>
      <w:r>
        <w:rPr/>
        <w:t>将第一期员工持股计划存续期延长</w:t>
      </w:r>
      <w:r>
        <w:rPr>
          <w:rFonts w:ascii="宋体" w:hAnsi="宋体" w:cs="宋体" w:eastAsia="宋体" w:hint="default"/>
        </w:rPr>
        <w:t>6</w:t>
      </w:r>
      <w:r>
        <w:rPr/>
        <w:t>个月，即延长至</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17</w:t>
      </w:r>
      <w:r>
        <w:rPr/>
        <w:t>日。</w:t>
      </w:r>
    </w:p>
    <w:p>
      <w:pPr>
        <w:spacing w:line="240" w:lineRule="auto" w:before="13"/>
        <w:rPr>
          <w:rFonts w:ascii="宋体" w:hAnsi="宋体" w:cs="宋体" w:eastAsia="宋体" w:hint="default"/>
          <w:sz w:val="13"/>
          <w:szCs w:val="13"/>
        </w:rPr>
      </w:pPr>
    </w:p>
    <w:p>
      <w:pPr>
        <w:pStyle w:val="BodyText"/>
        <w:spacing w:line="357" w:lineRule="auto"/>
        <w:ind w:right="1037" w:firstLine="425"/>
        <w:jc w:val="left"/>
      </w:pP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15</w:t>
      </w:r>
      <w:r>
        <w:rPr>
          <w:spacing w:val="-3"/>
        </w:rPr>
        <w:t>日，公司通过大宗交易方式将第一期员工持股计划所持</w:t>
      </w:r>
      <w:r>
        <w:rPr>
          <w:rFonts w:ascii="宋体" w:hAnsi="宋体" w:cs="宋体" w:eastAsia="宋体" w:hint="default"/>
          <w:spacing w:val="-3"/>
        </w:rPr>
        <w:t>18,764,066</w:t>
      </w:r>
      <w:r>
        <w:rPr>
          <w:spacing w:val="-3"/>
        </w:rPr>
        <w:t>股（占公司总股本的</w:t>
      </w:r>
      <w:r>
        <w:rPr>
          <w:rFonts w:ascii="宋体" w:hAnsi="宋体" w:cs="宋体" w:eastAsia="宋体" w:hint="default"/>
          <w:spacing w:val="-3"/>
        </w:rPr>
        <w:t>2.45%</w:t>
      </w:r>
      <w:r>
        <w:rPr>
          <w:spacing w:val="-3"/>
        </w:rPr>
        <w:t>）全部出售。</w:t>
      </w:r>
      <w:r>
        <w:rPr/>
        <w:t> 根据中国证监会《关于上市公司实施员工持股计划试点的指导意见》、深圳证券交易所《上市公司信息披露指引第</w:t>
      </w:r>
      <w:r>
        <w:rPr>
          <w:rFonts w:ascii="宋体" w:hAnsi="宋体" w:cs="宋体" w:eastAsia="宋体" w:hint="default"/>
        </w:rPr>
        <w:t>4</w:t>
      </w:r>
      <w:r>
        <w:rPr/>
        <w:t>号——</w:t>
      </w:r>
      <w:r>
        <w:rPr>
          <w:spacing w:val="-87"/>
        </w:rPr>
        <w:t> </w:t>
      </w:r>
      <w:r>
        <w:rPr/>
        <w:t>员工持股计划》及公司《</w:t>
      </w:r>
      <w:r>
        <w:rPr>
          <w:rFonts w:ascii="宋体" w:hAnsi="宋体" w:cs="宋体" w:eastAsia="宋体" w:hint="default"/>
        </w:rPr>
        <w:t>2017-2019</w:t>
      </w:r>
      <w:r>
        <w:rPr/>
        <w:t>年员工持股计划方案（草案）》等相关规定，第一期员工持股计划已实施完毕。</w:t>
      </w:r>
    </w:p>
    <w:p>
      <w:pPr>
        <w:spacing w:line="240" w:lineRule="auto" w:before="7"/>
        <w:rPr>
          <w:rFonts w:ascii="宋体" w:hAnsi="宋体" w:cs="宋体" w:eastAsia="宋体" w:hint="default"/>
          <w:sz w:val="10"/>
          <w:szCs w:val="10"/>
        </w:rPr>
      </w:pPr>
    </w:p>
    <w:p>
      <w:pPr>
        <w:pStyle w:val="BodyText"/>
        <w:spacing w:line="240" w:lineRule="auto" w:before="44"/>
        <w:ind w:left="578" w:right="0"/>
        <w:jc w:val="left"/>
      </w:pPr>
      <w:r>
        <w:rPr/>
        <w:t>具体内容详见</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15</w:t>
      </w:r>
      <w:r>
        <w:rPr/>
        <w:t>日、</w:t>
      </w:r>
      <w:r>
        <w:rPr>
          <w:rFonts w:ascii="宋体" w:hAnsi="宋体" w:cs="宋体" w:eastAsia="宋体" w:hint="default"/>
        </w:rPr>
        <w:t>11</w:t>
      </w:r>
      <w:r>
        <w:rPr/>
        <w:t>月</w:t>
      </w:r>
      <w:r>
        <w:rPr>
          <w:rFonts w:ascii="宋体" w:hAnsi="宋体" w:cs="宋体" w:eastAsia="宋体" w:hint="default"/>
        </w:rPr>
        <w:t>16</w:t>
      </w:r>
      <w:r>
        <w:rPr/>
        <w:t>日刊载于《中国证券报》、《证券时报》、《证券日报》和巨潮资讯网的相关公</w:t>
      </w:r>
    </w:p>
    <w:p>
      <w:pPr>
        <w:pStyle w:val="BodyText"/>
        <w:spacing w:line="240" w:lineRule="auto" w:before="115"/>
        <w:ind w:right="1133"/>
        <w:jc w:val="left"/>
      </w:pPr>
      <w:r>
        <w:rPr/>
        <w:t>告。</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公司报告期不存在租赁情况。</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3"/>
        <w:gridCol w:w="915"/>
        <w:gridCol w:w="927"/>
        <w:gridCol w:w="1305"/>
        <w:gridCol w:w="1054"/>
        <w:gridCol w:w="1038"/>
        <w:gridCol w:w="1055"/>
        <w:gridCol w:w="786"/>
        <w:gridCol w:w="783"/>
      </w:tblGrid>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8"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49"/>
              <w:ind w:left="96"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3"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0"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洛阳蓝宝氟业有限公 司</w:t>
            </w:r>
          </w:p>
        </w:tc>
        <w:tc>
          <w:tcPr>
            <w:tcW w:w="915"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2,700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9"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洛阳蓝宝氟业有限公 司</w:t>
            </w:r>
          </w:p>
        </w:tc>
        <w:tc>
          <w:tcPr>
            <w:tcW w:w="915"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1,900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9"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w:t>
            </w:r>
          </w:p>
        </w:tc>
      </w:tr>
      <w:tr>
        <w:trPr>
          <w:trHeight w:val="720"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5" w:type="dxa"/>
            <w:vMerge w:val="restart"/>
            <w:tcBorders>
              <w:top w:val="single" w:sz="4" w:space="0" w:color="000000"/>
              <w:left w:val="single" w:sz="4" w:space="0" w:color="000000"/>
              <w:right w:val="single" w:sz="4" w:space="0" w:color="FFFFFF"/>
            </w:tcBorders>
            <w:shd w:val="clear" w:color="auto" w:fill="D2D2D2"/>
          </w:tcPr>
          <w:p>
            <w:pPr>
              <w:pStyle w:val="TableParagraph"/>
              <w:spacing w:line="316" w:lineRule="auto" w:before="53"/>
              <w:ind w:left="91"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vMerge w:val="restart"/>
            <w:tcBorders>
              <w:top w:val="single" w:sz="4" w:space="0" w:color="000000"/>
              <w:left w:val="single" w:sz="4" w:space="0" w:color="FFFFFF"/>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5" w:type="dxa"/>
            <w:vMerge/>
            <w:tcBorders>
              <w:left w:val="single" w:sz="4" w:space="0" w:color="000000"/>
              <w:right w:val="single" w:sz="4" w:space="0" w:color="FFFFFF"/>
            </w:tcBorders>
            <w:shd w:val="clear" w:color="auto" w:fill="D2D2D2"/>
          </w:tcPr>
          <w:p>
            <w:pPr/>
          </w:p>
        </w:tc>
        <w:tc>
          <w:tcPr>
            <w:tcW w:w="927" w:type="dxa"/>
            <w:vMerge/>
            <w:tcBorders>
              <w:left w:val="single" w:sz="4" w:space="0" w:color="FFFFFF"/>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3"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7"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vMerge/>
            <w:tcBorders>
              <w:left w:val="single" w:sz="4" w:space="0" w:color="000000"/>
              <w:right w:val="single" w:sz="4" w:space="0" w:color="FFFFFF"/>
            </w:tcBorders>
            <w:shd w:val="clear" w:color="auto" w:fill="D2D2D2"/>
          </w:tcPr>
          <w:p>
            <w:pPr/>
          </w:p>
        </w:tc>
        <w:tc>
          <w:tcPr>
            <w:tcW w:w="927"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3"/>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5" w:type="dxa"/>
            <w:vMerge/>
            <w:tcBorders>
              <w:left w:val="single" w:sz="4" w:space="0" w:color="000000"/>
              <w:right w:val="single" w:sz="4" w:space="0" w:color="FFFFFF"/>
            </w:tcBorders>
            <w:shd w:val="clear" w:color="auto" w:fill="D2D2D2"/>
          </w:tcPr>
          <w:p>
            <w:pPr/>
          </w:p>
        </w:tc>
        <w:tc>
          <w:tcPr>
            <w:tcW w:w="927" w:type="dxa"/>
            <w:vMerge w:val="restart"/>
            <w:tcBorders>
              <w:top w:val="nil" w:sz="6" w:space="0" w:color="auto"/>
              <w:left w:val="single" w:sz="4" w:space="0" w:color="FFFFFF"/>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5" w:type="dxa"/>
            <w:vMerge/>
            <w:tcBorders>
              <w:left w:val="single" w:sz="4" w:space="0" w:color="000000"/>
              <w:bottom w:val="single" w:sz="4" w:space="0" w:color="000000"/>
              <w:right w:val="single" w:sz="4" w:space="0" w:color="FFFFFF"/>
            </w:tcBorders>
            <w:shd w:val="clear" w:color="auto" w:fill="D2D2D2"/>
          </w:tcPr>
          <w:p>
            <w:pPr/>
          </w:p>
        </w:tc>
        <w:tc>
          <w:tcPr>
            <w:tcW w:w="927" w:type="dxa"/>
            <w:vMerge/>
            <w:tcBorders>
              <w:left w:val="single" w:sz="4" w:space="0" w:color="FFFFFF"/>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神州易桥（北京）财 税科技有限公司</w:t>
            </w:r>
          </w:p>
        </w:tc>
        <w:tc>
          <w:tcPr>
            <w:tcW w:w="91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9"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2" w:type="dxa"/>
            <w:gridSpan w:val="2"/>
            <w:tcBorders>
              <w:top w:val="single" w:sz="4" w:space="0" w:color="000000"/>
              <w:left w:val="single" w:sz="4" w:space="0" w:color="FFFFFF"/>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2628"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2" w:type="dxa"/>
            <w:gridSpan w:val="2"/>
            <w:tcBorders>
              <w:top w:val="single" w:sz="4" w:space="0" w:color="000000"/>
              <w:left w:val="single" w:sz="4" w:space="0" w:color="FFFFFF"/>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25,000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9"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4" w:right="7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3"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vMerge/>
            <w:tcBorders>
              <w:left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3"/>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927"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5"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w:t>
            </w: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380" w:type="dxa"/>
        <w:tblLayout w:type="fixed"/>
        <w:tblCellMar>
          <w:top w:w="0" w:type="dxa"/>
          <w:left w:w="0" w:type="dxa"/>
          <w:bottom w:w="0" w:type="dxa"/>
          <w:right w:w="0" w:type="dxa"/>
        </w:tblCellMar>
        <w:tblLook w:val="01E0"/>
      </w:tblPr>
      <w:tblGrid>
        <w:gridCol w:w="4833"/>
        <w:gridCol w:w="4730"/>
      </w:tblGrid>
      <w:tr>
        <w:trPr>
          <w:trHeight w:val="408"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95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1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left="372" w:right="6805"/>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left="372" w:right="6805"/>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372" w:right="68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left="372" w:right="6805"/>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72" w:right="6805"/>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760" w:right="0"/>
        </w:sectPr>
      </w:pPr>
    </w:p>
    <w:p>
      <w:pPr>
        <w:pStyle w:val="BodyText"/>
        <w:spacing w:line="340" w:lineRule="auto" w:before="44"/>
        <w:ind w:left="37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72" w:right="0"/>
        <w:jc w:val="left"/>
      </w:pPr>
      <w:r>
        <w:rPr/>
        <w:t>单位：万元</w:t>
      </w:r>
    </w:p>
    <w:p>
      <w:pPr>
        <w:spacing w:after="0" w:line="240" w:lineRule="auto"/>
        <w:jc w:val="left"/>
        <w:sectPr>
          <w:type w:val="continuous"/>
          <w:pgSz w:w="11910" w:h="16840"/>
          <w:pgMar w:top="1060" w:bottom="1160" w:left="760" w:right="0"/>
          <w:cols w:num="2" w:equalWidth="0">
            <w:col w:w="2173" w:space="6567"/>
            <w:col w:w="2410"/>
          </w:cols>
        </w:sectPr>
      </w:pPr>
    </w:p>
    <w:p>
      <w:pPr>
        <w:spacing w:line="240" w:lineRule="auto" w:before="4"/>
        <w:rPr>
          <w:rFonts w:ascii="宋体" w:hAnsi="宋体" w:cs="宋体" w:eastAsia="宋体" w:hint="default"/>
          <w:sz w:val="8"/>
          <w:szCs w:val="8"/>
        </w:rPr>
      </w:pPr>
    </w:p>
    <w:tbl>
      <w:tblPr>
        <w:tblW w:w="0" w:type="auto"/>
        <w:jc w:val="left"/>
        <w:tblInd w:w="367" w:type="dxa"/>
        <w:tblLayout w:type="fixed"/>
        <w:tblCellMar>
          <w:top w:w="0" w:type="dxa"/>
          <w:left w:w="0" w:type="dxa"/>
          <w:bottom w:w="0" w:type="dxa"/>
          <w:right w:w="0" w:type="dxa"/>
        </w:tblCellMar>
        <w:tblLook w:val="01E0"/>
      </w:tblPr>
      <w:tblGrid>
        <w:gridCol w:w="1868"/>
        <w:gridCol w:w="1961"/>
        <w:gridCol w:w="1980"/>
        <w:gridCol w:w="1909"/>
        <w:gridCol w:w="1850"/>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24,935.1</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9,554.35</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24,935.1</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9,554.35</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760" w:right="0"/>
        </w:sectPr>
      </w:pPr>
    </w:p>
    <w:p>
      <w:pPr>
        <w:pStyle w:val="BodyText"/>
        <w:spacing w:line="240" w:lineRule="auto" w:before="49"/>
        <w:ind w:left="372" w:right="-20"/>
        <w:jc w:val="left"/>
      </w:pPr>
      <w:r>
        <w:rPr/>
        <w:t>单项金额重大或安全性较低、流动性较差、不保本的高风险委托理财具体情况</w:t>
      </w:r>
    </w:p>
    <w:p>
      <w:pPr>
        <w:pStyle w:val="BodyText"/>
        <w:spacing w:line="240" w:lineRule="auto" w:before="115"/>
        <w:ind w:left="37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372" w:right="0"/>
        <w:jc w:val="left"/>
      </w:pPr>
      <w:r>
        <w:rPr/>
        <w:t>单位：万元</w:t>
      </w:r>
    </w:p>
    <w:p>
      <w:pPr>
        <w:spacing w:after="0" w:line="240" w:lineRule="auto"/>
        <w:jc w:val="left"/>
        <w:sectPr>
          <w:type w:val="continuous"/>
          <w:pgSz w:w="11910" w:h="16840"/>
          <w:pgMar w:top="1060" w:bottom="1160" w:left="760" w:right="0"/>
          <w:cols w:num="2" w:equalWidth="0">
            <w:col w:w="6493" w:space="2247"/>
            <w:col w:w="2410"/>
          </w:cols>
        </w:sectPr>
      </w:pPr>
    </w:p>
    <w:p>
      <w:pPr>
        <w:spacing w:line="240" w:lineRule="auto" w:before="3"/>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707"/>
        <w:gridCol w:w="590"/>
        <w:gridCol w:w="607"/>
        <w:gridCol w:w="574"/>
        <w:gridCol w:w="562"/>
        <w:gridCol w:w="718"/>
        <w:gridCol w:w="646"/>
        <w:gridCol w:w="559"/>
        <w:gridCol w:w="716"/>
        <w:gridCol w:w="562"/>
        <w:gridCol w:w="562"/>
        <w:gridCol w:w="559"/>
        <w:gridCol w:w="562"/>
        <w:gridCol w:w="550"/>
        <w:gridCol w:w="547"/>
        <w:gridCol w:w="547"/>
        <w:gridCol w:w="610"/>
      </w:tblGrid>
      <w:tr>
        <w:trPr>
          <w:trHeight w:val="196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7" w:right="77"/>
              <w:jc w:val="both"/>
              <w:rPr>
                <w:rFonts w:ascii="宋体" w:hAnsi="宋体" w:cs="宋体" w:eastAsia="宋体" w:hint="default"/>
                <w:sz w:val="18"/>
                <w:szCs w:val="18"/>
              </w:rPr>
            </w:pPr>
            <w:r>
              <w:rPr>
                <w:rFonts w:ascii="宋体" w:hAnsi="宋体" w:cs="宋体" w:eastAsia="宋体" w:hint="default"/>
                <w:sz w:val="18"/>
                <w:szCs w:val="18"/>
              </w:rPr>
              <w:t>受托机 构名称</w:t>
            </w:r>
          </w:p>
          <w:p>
            <w:pPr>
              <w:pStyle w:val="TableParagraph"/>
              <w:spacing w:line="316" w:lineRule="auto" w:before="20"/>
              <w:ind w:left="77" w:right="77"/>
              <w:jc w:val="both"/>
              <w:rPr>
                <w:rFonts w:ascii="宋体" w:hAnsi="宋体" w:cs="宋体" w:eastAsia="宋体" w:hint="default"/>
                <w:sz w:val="18"/>
                <w:szCs w:val="18"/>
              </w:rPr>
            </w:pPr>
            <w:r>
              <w:rPr>
                <w:rFonts w:ascii="宋体" w:hAnsi="宋体" w:cs="宋体" w:eastAsia="宋体" w:hint="default"/>
                <w:sz w:val="18"/>
                <w:szCs w:val="18"/>
              </w:rPr>
              <w:t>（或受 托人姓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3"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95"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263" w:right="83"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96" w:right="91"/>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83" w:right="81"/>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5"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96"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20"/>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5" w:right="91"/>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1"/>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9"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9"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 w:right="29"/>
              <w:jc w:val="both"/>
              <w:rPr>
                <w:rFonts w:ascii="宋体" w:hAnsi="宋体" w:cs="宋体" w:eastAsia="宋体" w:hint="default"/>
                <w:sz w:val="18"/>
                <w:szCs w:val="18"/>
              </w:rPr>
            </w:pPr>
            <w:r>
              <w:rPr>
                <w:rFonts w:ascii="宋体" w:hAnsi="宋体" w:cs="宋体" w:eastAsia="宋体" w:hint="default"/>
                <w:sz w:val="18"/>
                <w:szCs w:val="18"/>
              </w:rPr>
              <w:t>事项概 述及相 关查询 索引</w:t>
            </w:r>
          </w:p>
          <w:p>
            <w:pPr>
              <w:pStyle w:val="TableParagraph"/>
              <w:spacing w:line="316" w:lineRule="auto" w:before="19"/>
              <w:ind w:left="119" w:right="119"/>
              <w:jc w:val="both"/>
              <w:rPr>
                <w:rFonts w:ascii="宋体" w:hAnsi="宋体" w:cs="宋体" w:eastAsia="宋体" w:hint="default"/>
                <w:sz w:val="18"/>
                <w:szCs w:val="18"/>
              </w:rPr>
            </w:pPr>
            <w:r>
              <w:rPr>
                <w:rFonts w:ascii="宋体" w:hAnsi="宋体" w:cs="宋体" w:eastAsia="宋体" w:hint="default"/>
                <w:sz w:val="18"/>
                <w:szCs w:val="18"/>
              </w:rPr>
              <w:t>（如 有）</w:t>
            </w:r>
          </w:p>
        </w:tc>
      </w:tr>
      <w:tr>
        <w:trPr>
          <w:trHeight w:val="1027" w:hRule="exact"/>
        </w:trPr>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2"/>
              <w:jc w:val="left"/>
              <w:rPr>
                <w:rFonts w:ascii="宋体" w:hAnsi="宋体" w:cs="宋体" w:eastAsia="宋体" w:hint="default"/>
                <w:sz w:val="18"/>
                <w:szCs w:val="18"/>
              </w:rPr>
            </w:pPr>
            <w:r>
              <w:rPr>
                <w:rFonts w:ascii="宋体" w:hAnsi="宋体" w:cs="宋体" w:eastAsia="宋体" w:hint="default"/>
                <w:sz w:val="18"/>
                <w:szCs w:val="18"/>
              </w:rPr>
              <w:t>兴业银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1"/>
              <w:jc w:val="both"/>
              <w:rPr>
                <w:rFonts w:ascii="宋体" w:hAnsi="宋体" w:cs="宋体" w:eastAsia="宋体" w:hint="default"/>
                <w:sz w:val="18"/>
                <w:szCs w:val="18"/>
              </w:rPr>
            </w:pPr>
            <w:r>
              <w:rPr>
                <w:rFonts w:ascii="宋体" w:hAnsi="宋体" w:cs="宋体" w:eastAsia="宋体" w:hint="default"/>
                <w:sz w:val="18"/>
                <w:szCs w:val="18"/>
              </w:rPr>
              <w:t>一次性 还本付 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19.83</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19.83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19.83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6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76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708"/>
        <w:gridCol w:w="590"/>
        <w:gridCol w:w="607"/>
        <w:gridCol w:w="574"/>
        <w:gridCol w:w="562"/>
        <w:gridCol w:w="718"/>
        <w:gridCol w:w="646"/>
        <w:gridCol w:w="559"/>
        <w:gridCol w:w="716"/>
        <w:gridCol w:w="562"/>
        <w:gridCol w:w="562"/>
        <w:gridCol w:w="559"/>
        <w:gridCol w:w="562"/>
        <w:gridCol w:w="550"/>
        <w:gridCol w:w="547"/>
        <w:gridCol w:w="547"/>
        <w:gridCol w:w="610"/>
      </w:tblGrid>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工商银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1"/>
              <w:jc w:val="both"/>
              <w:rPr>
                <w:rFonts w:ascii="宋体" w:hAnsi="宋体" w:cs="宋体" w:eastAsia="宋体" w:hint="default"/>
                <w:sz w:val="18"/>
                <w:szCs w:val="18"/>
              </w:rPr>
            </w:pPr>
            <w:r>
              <w:rPr>
                <w:rFonts w:ascii="宋体" w:hAnsi="宋体" w:cs="宋体" w:eastAsia="宋体" w:hint="default"/>
                <w:sz w:val="18"/>
                <w:szCs w:val="18"/>
              </w:rPr>
              <w:t>一次性 还本付 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4.83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32"/>
              <w:jc w:val="left"/>
              <w:rPr>
                <w:rFonts w:ascii="宋体" w:hAnsi="宋体" w:cs="宋体" w:eastAsia="宋体" w:hint="default"/>
                <w:sz w:val="18"/>
                <w:szCs w:val="18"/>
              </w:rPr>
            </w:pPr>
            <w:r>
              <w:rPr>
                <w:rFonts w:ascii="宋体" w:hAnsi="宋体" w:cs="宋体" w:eastAsia="宋体" w:hint="default"/>
                <w:sz w:val="18"/>
                <w:szCs w:val="18"/>
              </w:rPr>
              <w:t>工商银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3"/>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1"/>
              <w:jc w:val="both"/>
              <w:rPr>
                <w:rFonts w:ascii="宋体" w:hAnsi="宋体" w:cs="宋体" w:eastAsia="宋体" w:hint="default"/>
                <w:sz w:val="18"/>
                <w:szCs w:val="18"/>
              </w:rPr>
            </w:pPr>
            <w:r>
              <w:rPr>
                <w:rFonts w:ascii="宋体" w:hAnsi="宋体" w:cs="宋体" w:eastAsia="宋体" w:hint="default"/>
                <w:sz w:val="18"/>
                <w:szCs w:val="18"/>
              </w:rPr>
              <w:t>一次性 还本付 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2.86%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4.76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工商银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1"/>
              <w:jc w:val="both"/>
              <w:rPr>
                <w:rFonts w:ascii="宋体" w:hAnsi="宋体" w:cs="宋体" w:eastAsia="宋体" w:hint="default"/>
                <w:sz w:val="18"/>
                <w:szCs w:val="18"/>
              </w:rPr>
            </w:pPr>
            <w:r>
              <w:rPr>
                <w:rFonts w:ascii="宋体" w:hAnsi="宋体" w:cs="宋体" w:eastAsia="宋体" w:hint="default"/>
                <w:sz w:val="18"/>
                <w:szCs w:val="18"/>
              </w:rPr>
              <w:t>一次性 还本付 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9.66</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9.66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32"/>
              <w:jc w:val="left"/>
              <w:rPr>
                <w:rFonts w:ascii="宋体" w:hAnsi="宋体" w:cs="宋体" w:eastAsia="宋体" w:hint="default"/>
                <w:sz w:val="18"/>
                <w:szCs w:val="18"/>
              </w:rPr>
            </w:pPr>
            <w:r>
              <w:rPr>
                <w:rFonts w:ascii="宋体" w:hAnsi="宋体" w:cs="宋体" w:eastAsia="宋体" w:hint="default"/>
                <w:sz w:val="18"/>
                <w:szCs w:val="18"/>
              </w:rPr>
              <w:t>工商银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3"/>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1"/>
              <w:jc w:val="both"/>
              <w:rPr>
                <w:rFonts w:ascii="宋体" w:hAnsi="宋体" w:cs="宋体" w:eastAsia="宋体" w:hint="default"/>
                <w:sz w:val="18"/>
                <w:szCs w:val="18"/>
              </w:rPr>
            </w:pPr>
            <w:r>
              <w:rPr>
                <w:rFonts w:ascii="宋体" w:hAnsi="宋体" w:cs="宋体" w:eastAsia="宋体" w:hint="default"/>
                <w:sz w:val="18"/>
                <w:szCs w:val="18"/>
              </w:rPr>
              <w:t>一次性 还本付 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w:t>
            </w: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兴业银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1"/>
              <w:jc w:val="both"/>
              <w:rPr>
                <w:rFonts w:ascii="宋体" w:hAnsi="宋体" w:cs="宋体" w:eastAsia="宋体" w:hint="default"/>
                <w:sz w:val="18"/>
                <w:szCs w:val="18"/>
              </w:rPr>
            </w:pPr>
            <w:r>
              <w:rPr>
                <w:rFonts w:ascii="宋体" w:hAnsi="宋体" w:cs="宋体" w:eastAsia="宋体" w:hint="default"/>
                <w:sz w:val="18"/>
                <w:szCs w:val="18"/>
              </w:rPr>
              <w:t>一次性 还本付 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4.40%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22.00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32"/>
              <w:jc w:val="left"/>
              <w:rPr>
                <w:rFonts w:ascii="宋体" w:hAnsi="宋体" w:cs="宋体" w:eastAsia="宋体" w:hint="default"/>
                <w:sz w:val="18"/>
                <w:szCs w:val="18"/>
              </w:rPr>
            </w:pPr>
            <w:r>
              <w:rPr>
                <w:rFonts w:ascii="宋体" w:hAnsi="宋体" w:cs="宋体" w:eastAsia="宋体" w:hint="default"/>
                <w:sz w:val="18"/>
                <w:szCs w:val="18"/>
              </w:rPr>
              <w:t>工商银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3"/>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1"/>
              <w:jc w:val="both"/>
              <w:rPr>
                <w:rFonts w:ascii="宋体" w:hAnsi="宋体" w:cs="宋体" w:eastAsia="宋体" w:hint="default"/>
                <w:sz w:val="18"/>
                <w:szCs w:val="18"/>
              </w:rPr>
            </w:pPr>
            <w:r>
              <w:rPr>
                <w:rFonts w:ascii="宋体" w:hAnsi="宋体" w:cs="宋体" w:eastAsia="宋体" w:hint="default"/>
                <w:sz w:val="18"/>
                <w:szCs w:val="18"/>
              </w:rPr>
              <w:t>一次性 还本付 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25.89</w:t>
            </w: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17,410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61.08</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392" w:right="0"/>
        <w:jc w:val="left"/>
      </w:pPr>
      <w:r>
        <w:rPr/>
        <w:t>委托理财出现预期无法收回本金或存在其他可能导致减值的情形</w:t>
      </w:r>
    </w:p>
    <w:p>
      <w:pPr>
        <w:pStyle w:val="BodyText"/>
        <w:spacing w:line="240" w:lineRule="auto" w:before="115"/>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392" w:right="0"/>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39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left="392" w:right="0"/>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39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left="392" w:right="0"/>
        <w:jc w:val="left"/>
        <w:rPr>
          <w:b w:val="0"/>
          <w:bCs w:val="0"/>
        </w:rPr>
      </w:pPr>
      <w:bookmarkStart w:name="十八、社会责任情况" w:id="100"/>
      <w:bookmarkEnd w:id="100"/>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92" w:right="0"/>
        <w:jc w:val="left"/>
        <w:rPr>
          <w:b w:val="0"/>
          <w:bCs w:val="0"/>
        </w:rPr>
      </w:pPr>
      <w:bookmarkStart w:name="1、履行社会责任情况" w:id="101"/>
      <w:bookmarkEnd w:id="101"/>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0"/>
        <w:rPr>
          <w:rFonts w:ascii="宋体" w:hAnsi="宋体" w:cs="宋体" w:eastAsia="宋体" w:hint="default"/>
          <w:b/>
          <w:bCs/>
          <w:sz w:val="23"/>
          <w:szCs w:val="23"/>
        </w:rPr>
      </w:pPr>
    </w:p>
    <w:p>
      <w:pPr>
        <w:pStyle w:val="BodyText"/>
        <w:spacing w:line="357" w:lineRule="auto"/>
        <w:ind w:left="392" w:right="1129" w:firstLine="425"/>
        <w:jc w:val="both"/>
      </w:pPr>
      <w:r>
        <w:rPr/>
        <w:t>公司严格按照国家相关法律法规和行政规章的规定，结合公司实际情况，积极履行社会责任，将公司自身发展与社会 </w:t>
      </w:r>
      <w:r>
        <w:rPr>
          <w:spacing w:val="-2"/>
        </w:rPr>
        <w:t>进步紧密相连。作为企业服务行业的深耕者，公司对上链接区域政府及园区，通过精准招商帮助政府促进当地经济发展，对</w:t>
      </w:r>
      <w:r>
        <w:rPr>
          <w:spacing w:val="-63"/>
        </w:rPr>
        <w:t> </w:t>
      </w:r>
      <w:r>
        <w:rPr>
          <w:spacing w:val="-63"/>
        </w:rPr>
      </w:r>
      <w:r>
        <w:rPr>
          <w:spacing w:val="-2"/>
        </w:rPr>
        <w:t>下链接中小微企业，利用自身的百城千店布局，组织优秀企业服务提供商，全方位服务企业需求，达到“千店协同、跨越空</w:t>
      </w:r>
      <w:r>
        <w:rPr>
          <w:spacing w:val="-66"/>
        </w:rPr>
        <w:t> </w:t>
      </w:r>
      <w:r>
        <w:rPr>
          <w:spacing w:val="-66"/>
        </w:rPr>
      </w:r>
      <w:r>
        <w:rPr>
          <w:spacing w:val="-2"/>
        </w:rPr>
        <w:t>间、万人服务、分享时间”，切实做到公司效益与社会效益、短期利益与长远利益、自身发展与社会发展相互协调，努力实</w:t>
      </w:r>
      <w:r>
        <w:rPr>
          <w:spacing w:val="-68"/>
        </w:rPr>
        <w:t> </w:t>
      </w:r>
      <w:r>
        <w:rPr>
          <w:spacing w:val="-68"/>
        </w:rPr>
      </w:r>
      <w:r>
        <w:rPr/>
        <w:t>现公司与社会、公司与环境的健康和谐发展。</w:t>
      </w:r>
    </w:p>
    <w:p>
      <w:pPr>
        <w:spacing w:after="0" w:line="357" w:lineRule="auto"/>
        <w:jc w:val="both"/>
        <w:sectPr>
          <w:pgSz w:w="11910" w:h="16840"/>
          <w:pgMar w:header="877" w:footer="980" w:top="1100" w:bottom="1160" w:left="740" w:right="0"/>
        </w:sectPr>
      </w:pPr>
    </w:p>
    <w:p>
      <w:pPr>
        <w:spacing w:line="240" w:lineRule="auto" w:before="9"/>
        <w:rPr>
          <w:rFonts w:ascii="宋体" w:hAnsi="宋体" w:cs="宋体" w:eastAsia="宋体" w:hint="default"/>
          <w:sz w:val="18"/>
          <w:szCs w:val="18"/>
        </w:rPr>
      </w:pPr>
    </w:p>
    <w:p>
      <w:pPr>
        <w:pStyle w:val="BodyText"/>
        <w:spacing w:line="357" w:lineRule="auto" w:before="44"/>
        <w:ind w:right="1130" w:firstLine="425"/>
        <w:jc w:val="both"/>
      </w:pPr>
      <w:r>
        <w:rPr/>
        <w:t>公司严格遵守《劳动法》、《劳动合同法》、《社会保险法》等相关法律法规，尊重、关心、维护员工的合法权益， </w:t>
      </w:r>
      <w:r>
        <w:rPr>
          <w:spacing w:val="-2"/>
        </w:rPr>
        <w:t>建立和完善了符合法律要求的人力资源管理体系。公司建立和完善包括薪酬体系、绩效考核体系等在内的用人制度，充分调</w:t>
      </w:r>
      <w:r>
        <w:rPr>
          <w:spacing w:val="-63"/>
        </w:rPr>
        <w:t> </w:t>
      </w:r>
      <w:r>
        <w:rPr>
          <w:spacing w:val="-63"/>
        </w:rPr>
      </w:r>
      <w:r>
        <w:rPr/>
        <w:t>动员工积极性，保障员工依法享有劳动权利和履行劳动义务。</w:t>
      </w:r>
    </w:p>
    <w:p>
      <w:pPr>
        <w:spacing w:line="240" w:lineRule="auto" w:before="13"/>
        <w:rPr>
          <w:rFonts w:ascii="宋体" w:hAnsi="宋体" w:cs="宋体" w:eastAsia="宋体" w:hint="default"/>
          <w:sz w:val="13"/>
          <w:szCs w:val="13"/>
        </w:rPr>
      </w:pPr>
    </w:p>
    <w:p>
      <w:pPr>
        <w:pStyle w:val="BodyText"/>
        <w:spacing w:line="357" w:lineRule="auto"/>
        <w:ind w:right="1164" w:firstLine="425"/>
        <w:jc w:val="both"/>
      </w:pPr>
      <w:r>
        <w:rPr/>
        <w:t>报告期内，由中国妇女发展基金会、公司联合发起“以爱相伴，雏鹰助飞行动——神州顺利办安全书包捐赠仪式”， 公司向涞源县燕赵小学捐赠价值</w:t>
      </w:r>
      <w:r>
        <w:rPr>
          <w:rFonts w:ascii="宋体" w:hAnsi="宋体" w:cs="宋体" w:eastAsia="宋体" w:hint="default"/>
        </w:rPr>
        <w:t>15</w:t>
      </w:r>
      <w:r>
        <w:rPr/>
        <w:t>万元的儿童安全书包，为需要帮助的学子们送去关心和祝福。</w:t>
      </w:r>
    </w:p>
    <w:p>
      <w:pPr>
        <w:spacing w:line="240" w:lineRule="auto" w:before="4"/>
        <w:rPr>
          <w:rFonts w:ascii="宋体" w:hAnsi="宋体" w:cs="宋体" w:eastAsia="宋体" w:hint="default"/>
          <w:sz w:val="26"/>
          <w:szCs w:val="26"/>
        </w:rPr>
      </w:pPr>
    </w:p>
    <w:p>
      <w:pPr>
        <w:pStyle w:val="Heading3"/>
        <w:spacing w:line="240" w:lineRule="auto"/>
        <w:ind w:right="1133"/>
        <w:jc w:val="left"/>
        <w:rPr>
          <w:b w:val="0"/>
          <w:bCs w:val="0"/>
        </w:rPr>
      </w:pPr>
      <w:bookmarkStart w:name="2、履行精准扶贫社会责任情况" w:id="102"/>
      <w:bookmarkEnd w:id="102"/>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pStyle w:val="BodyText"/>
        <w:spacing w:line="240" w:lineRule="auto" w:before="29"/>
        <w:ind w:right="1133"/>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355" w:lineRule="auto"/>
        <w:ind w:right="1128" w:firstLine="425"/>
        <w:jc w:val="both"/>
      </w:pP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21</w:t>
      </w:r>
      <w:r>
        <w:rPr/>
        <w:t>日，公司召开第八届董事会</w:t>
      </w:r>
      <w:r>
        <w:rPr>
          <w:rFonts w:ascii="宋体" w:hAnsi="宋体" w:cs="宋体" w:eastAsia="宋体" w:hint="default"/>
        </w:rPr>
        <w:t>2019</w:t>
      </w:r>
      <w:r>
        <w:rPr/>
        <w:t>年第一次临时会议、第八届监事会</w:t>
      </w:r>
      <w:r>
        <w:rPr>
          <w:rFonts w:ascii="宋体" w:hAnsi="宋体" w:cs="宋体" w:eastAsia="宋体" w:hint="default"/>
        </w:rPr>
        <w:t>2019</w:t>
      </w:r>
      <w:r>
        <w:rPr/>
        <w:t>年第一次临时会议，审议通过 了《关于使用部分募集资金对子公司企业管家增资的议案》，同意公司使用募集资金</w:t>
      </w:r>
      <w:r>
        <w:rPr>
          <w:rFonts w:ascii="宋体" w:hAnsi="宋体" w:cs="宋体" w:eastAsia="宋体" w:hint="default"/>
        </w:rPr>
        <w:t>2,000</w:t>
      </w:r>
      <w:r>
        <w:rPr/>
        <w:t>万元对企业管家（北京）科技服 </w:t>
      </w:r>
      <w:r>
        <w:rPr>
          <w:spacing w:val="-2"/>
        </w:rPr>
        <w:t>务有限公司进行增资。增资完成后，企业管家（北京）科技服务有限公司注册资本由</w:t>
      </w:r>
      <w:r>
        <w:rPr>
          <w:rFonts w:ascii="宋体" w:hAnsi="宋体" w:cs="宋体" w:eastAsia="宋体" w:hint="default"/>
          <w:spacing w:val="-2"/>
        </w:rPr>
        <w:t>70,000</w:t>
      </w:r>
      <w:r>
        <w:rPr>
          <w:spacing w:val="-2"/>
        </w:rPr>
        <w:t>万元增至</w:t>
      </w:r>
      <w:r>
        <w:rPr>
          <w:rFonts w:ascii="宋体" w:hAnsi="宋体" w:cs="宋体" w:eastAsia="宋体" w:hint="default"/>
          <w:spacing w:val="-2"/>
        </w:rPr>
        <w:t>72,000</w:t>
      </w:r>
      <w:r>
        <w:rPr>
          <w:spacing w:val="-2"/>
        </w:rPr>
        <w:t>万元。上述股权</w:t>
      </w:r>
      <w:r>
        <w:rPr>
          <w:spacing w:val="-55"/>
        </w:rPr>
        <w:t> </w:t>
      </w:r>
      <w:r>
        <w:rPr>
          <w:spacing w:val="-55"/>
        </w:rPr>
      </w:r>
      <w:r>
        <w:rPr/>
        <w:t>变更的工商登记手续于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21</w:t>
      </w:r>
      <w:r>
        <w:rPr/>
        <w:t>日完成。</w:t>
      </w:r>
    </w:p>
    <w:p>
      <w:pPr>
        <w:spacing w:line="240" w:lineRule="auto" w:before="1"/>
        <w:rPr>
          <w:rFonts w:ascii="宋体" w:hAnsi="宋体" w:cs="宋体" w:eastAsia="宋体" w:hint="default"/>
          <w:sz w:val="14"/>
          <w:szCs w:val="14"/>
        </w:rPr>
      </w:pPr>
    </w:p>
    <w:p>
      <w:pPr>
        <w:pStyle w:val="BodyText"/>
        <w:spacing w:line="357" w:lineRule="auto"/>
        <w:ind w:right="0" w:firstLine="425"/>
        <w:jc w:val="left"/>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28</w:t>
      </w:r>
      <w:r>
        <w:rPr>
          <w:spacing w:val="-2"/>
        </w:rPr>
        <w:t>日，经公司总裁办公会审议，根据《证券期货市场诚信监督管理办法》等有关法律、行政法规的规定，</w:t>
      </w:r>
      <w:r>
        <w:rPr/>
        <w:t> </w:t>
      </w:r>
      <w:r>
        <w:rPr>
          <w:spacing w:val="-2"/>
        </w:rPr>
        <w:t>建立《诚信监督管理办法》，进一步规范和推进公司诚信管理工作，加强公司董事、监事、高级管理人员、大股东的诚信建</w:t>
      </w:r>
      <w:r>
        <w:rPr>
          <w:spacing w:val="-72"/>
        </w:rPr>
        <w:t> </w:t>
      </w:r>
      <w:r>
        <w:rPr>
          <w:spacing w:val="-72"/>
        </w:rPr>
      </w:r>
      <w:r>
        <w:rPr/>
        <w:t>设和管理，保护投资者合法权益。</w:t>
      </w:r>
    </w:p>
    <w:p>
      <w:pPr>
        <w:spacing w:line="240" w:lineRule="auto" w:before="13"/>
        <w:rPr>
          <w:rFonts w:ascii="宋体" w:hAnsi="宋体" w:cs="宋体" w:eastAsia="宋体" w:hint="default"/>
          <w:sz w:val="13"/>
          <w:szCs w:val="13"/>
        </w:rPr>
      </w:pPr>
    </w:p>
    <w:p>
      <w:pPr>
        <w:pStyle w:val="BodyText"/>
        <w:spacing w:line="357" w:lineRule="auto"/>
        <w:ind w:right="1162" w:firstLine="425"/>
        <w:jc w:val="both"/>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20</w:t>
      </w:r>
      <w:r>
        <w:rPr/>
        <w:t>日，经公司总裁办公会审议，同意公司向兴业银行股份有限公司北京分行申请授信</w:t>
      </w:r>
      <w:r>
        <w:rPr>
          <w:rFonts w:ascii="宋体" w:hAnsi="宋体" w:cs="宋体" w:eastAsia="宋体" w:hint="default"/>
        </w:rPr>
        <w:t>25,000</w:t>
      </w:r>
      <w:r>
        <w:rPr/>
        <w:t>万元，根据 公司用款需求，本次流动资金实际借款人民币</w:t>
      </w:r>
      <w:r>
        <w:rPr>
          <w:rFonts w:ascii="宋体" w:hAnsi="宋体" w:cs="宋体" w:eastAsia="宋体" w:hint="default"/>
        </w:rPr>
        <w:t>10,000</w:t>
      </w:r>
      <w:r>
        <w:rPr/>
        <w:t>万元，用于公司业务拓展等日常经营。</w:t>
      </w:r>
    </w:p>
    <w:p>
      <w:pPr>
        <w:spacing w:line="240" w:lineRule="auto" w:before="13"/>
        <w:rPr>
          <w:rFonts w:ascii="宋体" w:hAnsi="宋体" w:cs="宋体" w:eastAsia="宋体" w:hint="default"/>
          <w:sz w:val="13"/>
          <w:szCs w:val="13"/>
        </w:rPr>
      </w:pPr>
    </w:p>
    <w:p>
      <w:pPr>
        <w:pStyle w:val="BodyText"/>
        <w:spacing w:line="355" w:lineRule="auto"/>
        <w:ind w:right="1128" w:firstLine="425"/>
        <w:jc w:val="both"/>
      </w:pPr>
      <w:r>
        <w:rPr>
          <w:rFonts w:ascii="宋体" w:hAnsi="宋体" w:cs="宋体" w:eastAsia="宋体" w:hint="default"/>
          <w:spacing w:val="-2"/>
        </w:rPr>
        <w:t>4</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6</w:t>
      </w:r>
      <w:r>
        <w:rPr>
          <w:spacing w:val="-2"/>
        </w:rPr>
        <w:t>日，公司收到股东连良桂先生向股东天津泰达科技投资股份有限公司发出的《解除</w:t>
      </w:r>
      <w:r>
        <w:rPr>
          <w:rFonts w:ascii="宋体" w:hAnsi="宋体" w:cs="宋体" w:eastAsia="宋体" w:hint="default"/>
          <w:spacing w:val="-2"/>
        </w:rPr>
        <w:t>&lt;</w:t>
      </w:r>
      <w:r>
        <w:rPr>
          <w:spacing w:val="-2"/>
        </w:rPr>
        <w:t>一致行动协议</w:t>
      </w:r>
      <w:r>
        <w:rPr>
          <w:rFonts w:ascii="宋体" w:hAnsi="宋体" w:cs="宋体" w:eastAsia="宋体" w:hint="default"/>
          <w:spacing w:val="-2"/>
        </w:rPr>
        <w:t>&gt;</w:t>
      </w:r>
      <w:r>
        <w:rPr>
          <w:spacing w:val="-2"/>
        </w:rPr>
        <w:t>通知</w:t>
      </w:r>
      <w:r>
        <w:rPr/>
        <w:t> </w:t>
      </w:r>
      <w:r>
        <w:rPr>
          <w:spacing w:val="-2"/>
        </w:rPr>
        <w:t>书》。根据该通知书的内容，基于天津泰达科技投资股份有限公司减持计划已背离了《一致行动协议》签署的初衷，因此连</w:t>
      </w:r>
      <w:r>
        <w:rPr>
          <w:spacing w:val="-66"/>
        </w:rPr>
        <w:t> </w:t>
      </w:r>
      <w:r>
        <w:rPr>
          <w:spacing w:val="-66"/>
        </w:rPr>
      </w:r>
      <w:r>
        <w:rPr/>
        <w:t>良桂先生决定自即日起解除与天津泰达科技投资股份有限公司及其关联企业的一致行动关系。</w:t>
      </w:r>
    </w:p>
    <w:p>
      <w:pPr>
        <w:spacing w:line="240" w:lineRule="auto" w:before="2"/>
        <w:rPr>
          <w:rFonts w:ascii="宋体" w:hAnsi="宋体" w:cs="宋体" w:eastAsia="宋体" w:hint="default"/>
          <w:sz w:val="14"/>
          <w:szCs w:val="14"/>
        </w:rPr>
      </w:pPr>
    </w:p>
    <w:p>
      <w:pPr>
        <w:pStyle w:val="BodyText"/>
        <w:spacing w:line="357" w:lineRule="auto"/>
        <w:ind w:right="1132" w:firstLine="425"/>
        <w:jc w:val="both"/>
      </w:pPr>
      <w:r>
        <w:rPr>
          <w:rFonts w:ascii="宋体" w:hAnsi="宋体" w:cs="宋体" w:eastAsia="宋体" w:hint="default"/>
          <w:spacing w:val="-2"/>
        </w:rPr>
        <w:t>5</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7</w:t>
      </w:r>
      <w:r>
        <w:rPr>
          <w:spacing w:val="-2"/>
        </w:rPr>
        <w:t>日，公司收到股东智尚田先生和董事长彭聪先生签订的《表决权委托协议》，协议约定，智尚田先生将</w:t>
      </w:r>
      <w:r>
        <w:rPr/>
        <w:t> 其所持有的公司全部股份表决权委托给彭聪先生行使，协议有效期三年。</w:t>
      </w:r>
    </w:p>
    <w:p>
      <w:pPr>
        <w:spacing w:line="240" w:lineRule="auto" w:before="13"/>
        <w:rPr>
          <w:rFonts w:ascii="宋体" w:hAnsi="宋体" w:cs="宋体" w:eastAsia="宋体" w:hint="default"/>
          <w:sz w:val="13"/>
          <w:szCs w:val="13"/>
        </w:rPr>
      </w:pPr>
    </w:p>
    <w:p>
      <w:pPr>
        <w:pStyle w:val="BodyText"/>
        <w:spacing w:line="357" w:lineRule="auto"/>
        <w:ind w:right="1134" w:firstLine="425"/>
        <w:jc w:val="both"/>
      </w:pPr>
      <w:r>
        <w:rPr>
          <w:rFonts w:ascii="宋体" w:hAnsi="宋体" w:cs="宋体" w:eastAsia="宋体" w:hint="default"/>
        </w:rPr>
        <w:t>6</w:t>
      </w:r>
      <w:r>
        <w:rPr/>
        <w:t>、</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14</w:t>
      </w:r>
      <w:r>
        <w:rPr/>
        <w:t>日，公司收到董事长彭聪先生《股份增持告知函》，彭聪先生及其控制的关联方于增持股份计划公告 </w:t>
      </w:r>
      <w:r>
        <w:rPr>
          <w:spacing w:val="-2"/>
        </w:rPr>
        <w:t>披露之日起六个月内（敏感期除外）通过深圳证券交易所证券交易系统（包括但不限于参与定增、集中竞价、大宗交易等方</w:t>
      </w:r>
      <w:r>
        <w:rPr>
          <w:spacing w:val="-67"/>
        </w:rPr>
        <w:t> </w:t>
      </w:r>
      <w:r>
        <w:rPr>
          <w:spacing w:val="-67"/>
        </w:rPr>
      </w:r>
      <w:r>
        <w:rPr>
          <w:spacing w:val="-2"/>
        </w:rPr>
        <w:t>式）增持公司股份，拟增持股份的金额不低于</w:t>
      </w:r>
      <w:r>
        <w:rPr>
          <w:rFonts w:ascii="宋体" w:hAnsi="宋体" w:cs="宋体" w:eastAsia="宋体" w:hint="default"/>
          <w:spacing w:val="-2"/>
        </w:rPr>
        <w:t>10,000</w:t>
      </w:r>
      <w:r>
        <w:rPr>
          <w:spacing w:val="-2"/>
        </w:rPr>
        <w:t>万元人民币，且不超过</w:t>
      </w:r>
      <w:r>
        <w:rPr>
          <w:rFonts w:ascii="宋体" w:hAnsi="宋体" w:cs="宋体" w:eastAsia="宋体" w:hint="default"/>
          <w:spacing w:val="-2"/>
        </w:rPr>
        <w:t>20,000</w:t>
      </w:r>
      <w:r>
        <w:rPr>
          <w:spacing w:val="-2"/>
        </w:rPr>
        <w:t>万元人民币。截至本报告披露日，上述增</w:t>
      </w:r>
      <w:r>
        <w:rPr>
          <w:spacing w:val="-61"/>
        </w:rPr>
        <w:t> </w:t>
      </w:r>
      <w:r>
        <w:rPr>
          <w:spacing w:val="-61"/>
        </w:rPr>
      </w:r>
      <w:r>
        <w:rPr/>
        <w:t>持计划尚未实施。</w:t>
      </w:r>
    </w:p>
    <w:p>
      <w:pPr>
        <w:spacing w:line="240" w:lineRule="auto" w:before="12"/>
        <w:rPr>
          <w:rFonts w:ascii="宋体" w:hAnsi="宋体" w:cs="宋体" w:eastAsia="宋体" w:hint="default"/>
          <w:sz w:val="13"/>
          <w:szCs w:val="13"/>
        </w:rPr>
      </w:pPr>
    </w:p>
    <w:p>
      <w:pPr>
        <w:pStyle w:val="BodyText"/>
        <w:spacing w:line="240" w:lineRule="auto"/>
        <w:ind w:left="578" w:right="1123"/>
        <w:jc w:val="left"/>
      </w:pPr>
      <w:r>
        <w:rPr>
          <w:rFonts w:ascii="宋体" w:hAnsi="宋体" w:cs="宋体" w:eastAsia="宋体" w:hint="default"/>
        </w:rPr>
        <w:t>7</w:t>
      </w:r>
      <w:r>
        <w:rPr/>
        <w:t>、</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24</w:t>
      </w:r>
      <w:r>
        <w:rPr/>
        <w:t>日，公司股东彭聪先生、百达永信投资有限公司、广西泰达新原股权投资有限公司所持有的限售股上</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8"/>
          <w:szCs w:val="18"/>
        </w:rPr>
      </w:pPr>
    </w:p>
    <w:p>
      <w:pPr>
        <w:pStyle w:val="BodyText"/>
        <w:spacing w:line="240" w:lineRule="auto" w:before="44"/>
        <w:ind w:right="1133"/>
        <w:jc w:val="left"/>
      </w:pPr>
      <w:r>
        <w:rPr/>
        <w:t>市流通，本次解除限售股份数为</w:t>
      </w:r>
      <w:r>
        <w:rPr>
          <w:rFonts w:ascii="宋体" w:hAnsi="宋体" w:cs="宋体" w:eastAsia="宋体" w:hint="default"/>
        </w:rPr>
        <w:t>72,503,676</w:t>
      </w:r>
      <w:r>
        <w:rPr/>
        <w:t>股，占公司总股本的</w:t>
      </w:r>
      <w:r>
        <w:rPr>
          <w:rFonts w:ascii="宋体" w:hAnsi="宋体" w:cs="宋体" w:eastAsia="宋体" w:hint="default"/>
        </w:rPr>
        <w:t>9.47%</w:t>
      </w:r>
      <w:r>
        <w:rPr/>
        <w:t>。</w:t>
      </w:r>
    </w:p>
    <w:p>
      <w:pPr>
        <w:spacing w:line="240" w:lineRule="auto" w:before="10"/>
        <w:rPr>
          <w:rFonts w:ascii="宋体" w:hAnsi="宋体" w:cs="宋体" w:eastAsia="宋体" w:hint="default"/>
          <w:sz w:val="20"/>
          <w:szCs w:val="20"/>
        </w:rPr>
      </w:pPr>
    </w:p>
    <w:p>
      <w:pPr>
        <w:pStyle w:val="BodyText"/>
        <w:spacing w:line="357" w:lineRule="auto"/>
        <w:ind w:right="1134" w:firstLine="425"/>
        <w:jc w:val="both"/>
      </w:pPr>
      <w:r>
        <w:rPr>
          <w:rFonts w:ascii="宋体" w:hAnsi="宋体" w:cs="宋体" w:eastAsia="宋体" w:hint="default"/>
          <w:spacing w:val="-2"/>
        </w:rPr>
        <w:t>8</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w:t>
      </w:r>
      <w:r>
        <w:rPr>
          <w:spacing w:val="-2"/>
        </w:rPr>
        <w:t>日，经公司总裁办公会审议，同意转让洛阳蓝宝氟业有限公司</w:t>
      </w:r>
      <w:r>
        <w:rPr>
          <w:rFonts w:ascii="宋体" w:hAnsi="宋体" w:cs="宋体" w:eastAsia="宋体" w:hint="default"/>
          <w:spacing w:val="-2"/>
        </w:rPr>
        <w:t>23.08%</w:t>
      </w:r>
      <w:r>
        <w:rPr>
          <w:spacing w:val="-2"/>
        </w:rPr>
        <w:t>股权，转让完成后，公司不再持有</w:t>
      </w:r>
      <w:r>
        <w:rPr/>
        <w:t> 洛阳蓝宝氟业有限公司股权，同时解除公司为洛阳蓝宝氟业有限公司</w:t>
      </w:r>
      <w:r>
        <w:rPr>
          <w:rFonts w:ascii="宋体" w:hAnsi="宋体" w:cs="宋体" w:eastAsia="宋体" w:hint="default"/>
        </w:rPr>
        <w:t>4,600</w:t>
      </w:r>
      <w:r>
        <w:rPr/>
        <w:t>万元流动资金借款提供的连带责任保证担保。截 至本报告披露日，该事项已实施完毕。</w:t>
      </w:r>
    </w:p>
    <w:p>
      <w:pPr>
        <w:spacing w:line="240" w:lineRule="auto" w:before="13"/>
        <w:rPr>
          <w:rFonts w:ascii="宋体" w:hAnsi="宋体" w:cs="宋体" w:eastAsia="宋体" w:hint="default"/>
          <w:sz w:val="13"/>
          <w:szCs w:val="13"/>
        </w:rPr>
      </w:pPr>
    </w:p>
    <w:p>
      <w:pPr>
        <w:pStyle w:val="BodyText"/>
        <w:spacing w:line="355" w:lineRule="auto"/>
        <w:ind w:right="1130" w:firstLine="425"/>
        <w:jc w:val="both"/>
      </w:pPr>
      <w:r>
        <w:rPr>
          <w:rFonts w:ascii="宋体" w:hAnsi="宋体" w:cs="宋体" w:eastAsia="宋体" w:hint="default"/>
        </w:rPr>
        <w:t>9</w:t>
      </w:r>
      <w:r>
        <w:rPr/>
        <w:t>、</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8</w:t>
      </w:r>
      <w:r>
        <w:rPr/>
        <w:t>日，经公司第八届董事会</w:t>
      </w:r>
      <w:r>
        <w:rPr>
          <w:rFonts w:ascii="宋体" w:hAnsi="宋体" w:cs="宋体" w:eastAsia="宋体" w:hint="default"/>
        </w:rPr>
        <w:t>2019</w:t>
      </w:r>
      <w:r>
        <w:rPr/>
        <w:t>年第四次临时会议、第八届监事会</w:t>
      </w:r>
      <w:r>
        <w:rPr>
          <w:rFonts w:ascii="宋体" w:hAnsi="宋体" w:cs="宋体" w:eastAsia="宋体" w:hint="default"/>
        </w:rPr>
        <w:t>2019</w:t>
      </w:r>
      <w:r>
        <w:rPr/>
        <w:t>年第四次临时会议，以及</w:t>
      </w:r>
      <w:r>
        <w:rPr>
          <w:rFonts w:ascii="宋体" w:hAnsi="宋体" w:cs="宋体" w:eastAsia="宋体" w:hint="default"/>
        </w:rPr>
        <w:t>7</w:t>
      </w:r>
      <w:r>
        <w:rPr/>
        <w:t>月</w:t>
      </w:r>
      <w:r>
        <w:rPr>
          <w:rFonts w:ascii="宋体" w:hAnsi="宋体" w:cs="宋体" w:eastAsia="宋体" w:hint="default"/>
        </w:rPr>
        <w:t>24</w:t>
      </w:r>
      <w:r>
        <w:rPr/>
        <w:t>日 </w:t>
      </w:r>
      <w:r>
        <w:rPr>
          <w:spacing w:val="-2"/>
        </w:rPr>
        <w:t>召开的</w:t>
      </w:r>
      <w:r>
        <w:rPr>
          <w:rFonts w:ascii="宋体" w:hAnsi="宋体" w:cs="宋体" w:eastAsia="宋体" w:hint="default"/>
          <w:spacing w:val="-2"/>
        </w:rPr>
        <w:t>2019</w:t>
      </w:r>
      <w:r>
        <w:rPr>
          <w:spacing w:val="-2"/>
        </w:rPr>
        <w:t>年第一次临时股东大会审议，同意公司募集资金投资项目结项、终止并将剩余募集资金永久补充流动资金，用于</w:t>
      </w:r>
      <w:r>
        <w:rPr>
          <w:spacing w:val="-61"/>
        </w:rPr>
        <w:t> </w:t>
      </w:r>
      <w:r>
        <w:rPr>
          <w:spacing w:val="-61"/>
        </w:rPr>
      </w:r>
      <w:r>
        <w:rPr/>
        <w:t>公司日常经营。截至本报告披露日，该事项已实施完毕。</w:t>
      </w:r>
    </w:p>
    <w:p>
      <w:pPr>
        <w:spacing w:line="240" w:lineRule="auto" w:before="1"/>
        <w:rPr>
          <w:rFonts w:ascii="宋体" w:hAnsi="宋体" w:cs="宋体" w:eastAsia="宋体" w:hint="default"/>
          <w:sz w:val="14"/>
          <w:szCs w:val="14"/>
        </w:rPr>
      </w:pPr>
    </w:p>
    <w:p>
      <w:pPr>
        <w:pStyle w:val="BodyText"/>
        <w:spacing w:line="357" w:lineRule="auto"/>
        <w:ind w:right="1166" w:firstLine="425"/>
        <w:jc w:val="both"/>
      </w:pPr>
      <w:r>
        <w:rPr>
          <w:rFonts w:ascii="宋体" w:hAnsi="宋体" w:cs="宋体" w:eastAsia="宋体" w:hint="default"/>
        </w:rPr>
        <w:t>10</w:t>
      </w:r>
      <w:r>
        <w:rPr/>
        <w:t>、报告期内，公司筹划非公开发行事项，募集资金拟用于偿还银行贷款、补充公司流动资金等，进一步满足公司业 务发展的资金需求。截至本报告披露日，该事项正在推进过程中。</w:t>
      </w:r>
    </w:p>
    <w:p>
      <w:pPr>
        <w:spacing w:line="240" w:lineRule="auto" w:before="0"/>
        <w:rPr>
          <w:rFonts w:ascii="宋体" w:hAnsi="宋体" w:cs="宋体" w:eastAsia="宋体" w:hint="default"/>
          <w:sz w:val="14"/>
          <w:szCs w:val="14"/>
        </w:rPr>
      </w:pPr>
    </w:p>
    <w:p>
      <w:pPr>
        <w:pStyle w:val="BodyText"/>
        <w:spacing w:line="357" w:lineRule="auto"/>
        <w:ind w:right="1130" w:firstLine="425"/>
        <w:jc w:val="both"/>
      </w:pPr>
      <w:r>
        <w:rPr>
          <w:rFonts w:ascii="宋体" w:hAnsi="宋体" w:cs="宋体" w:eastAsia="宋体" w:hint="default"/>
          <w:spacing w:val="-2"/>
        </w:rPr>
        <w:t>11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日，公司股东连良桂先生、智尚田先生所持有的限售股上市流通，本次解除限售股份数为</w:t>
      </w:r>
      <w:r>
        <w:rPr>
          <w:rFonts w:ascii="宋体" w:hAnsi="宋体" w:cs="宋体" w:eastAsia="宋体" w:hint="default"/>
          <w:spacing w:val="-2"/>
        </w:rPr>
        <w:t>146,842,877</w:t>
      </w:r>
      <w:r>
        <w:rPr>
          <w:rFonts w:ascii="宋体" w:hAnsi="宋体" w:cs="宋体" w:eastAsia="宋体" w:hint="default"/>
        </w:rPr>
        <w:t> </w:t>
      </w:r>
      <w:r>
        <w:rPr/>
        <w:t>股，占公司总股本的</w:t>
      </w:r>
      <w:r>
        <w:rPr>
          <w:rFonts w:ascii="宋体" w:hAnsi="宋体" w:cs="宋体" w:eastAsia="宋体" w:hint="default"/>
        </w:rPr>
        <w:t>19.18%</w:t>
      </w:r>
      <w:r>
        <w:rPr/>
        <w:t>。</w:t>
      </w:r>
    </w:p>
    <w:p>
      <w:pPr>
        <w:spacing w:line="240" w:lineRule="auto" w:before="13"/>
        <w:rPr>
          <w:rFonts w:ascii="宋体" w:hAnsi="宋体" w:cs="宋体" w:eastAsia="宋体" w:hint="default"/>
          <w:sz w:val="13"/>
          <w:szCs w:val="13"/>
        </w:rPr>
      </w:pPr>
    </w:p>
    <w:p>
      <w:pPr>
        <w:pStyle w:val="BodyText"/>
        <w:spacing w:line="240" w:lineRule="auto"/>
        <w:ind w:left="578" w:right="1123"/>
        <w:jc w:val="left"/>
      </w:pPr>
      <w:r>
        <w:rPr>
          <w:rFonts w:ascii="宋体" w:hAnsi="宋体" w:cs="宋体" w:eastAsia="宋体" w:hint="default"/>
        </w:rPr>
        <w:t>12</w:t>
      </w:r>
      <w:r>
        <w:rPr/>
        <w:t>、</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26</w:t>
      </w:r>
      <w:r>
        <w:rPr/>
        <w:t>日，经公司第八届董事会</w:t>
      </w:r>
      <w:r>
        <w:rPr>
          <w:rFonts w:ascii="宋体" w:hAnsi="宋体" w:cs="宋体" w:eastAsia="宋体" w:hint="default"/>
        </w:rPr>
        <w:t>2019</w:t>
      </w:r>
      <w:r>
        <w:rPr/>
        <w:t>年第六次临时会议、第八届监事会</w:t>
      </w:r>
      <w:r>
        <w:rPr>
          <w:rFonts w:ascii="宋体" w:hAnsi="宋体" w:cs="宋体" w:eastAsia="宋体" w:hint="default"/>
        </w:rPr>
        <w:t>2019</w:t>
      </w:r>
      <w:r>
        <w:rPr/>
        <w:t>年第六次临时会议，以及</w:t>
      </w:r>
      <w:r>
        <w:rPr>
          <w:rFonts w:ascii="宋体" w:hAnsi="宋体" w:cs="宋体" w:eastAsia="宋体" w:hint="default"/>
        </w:rPr>
        <w:t>12</w:t>
      </w:r>
      <w:r>
        <w:rPr/>
        <w:t>月</w:t>
      </w:r>
    </w:p>
    <w:p>
      <w:pPr>
        <w:pStyle w:val="BodyText"/>
        <w:spacing w:line="357" w:lineRule="auto" w:before="115"/>
        <w:ind w:right="1123"/>
        <w:jc w:val="left"/>
      </w:pPr>
      <w:r>
        <w:rPr>
          <w:rFonts w:ascii="宋体" w:hAnsi="宋体" w:cs="宋体" w:eastAsia="宋体" w:hint="default"/>
          <w:spacing w:val="-2"/>
        </w:rPr>
        <w:t>12</w:t>
      </w:r>
      <w:r>
        <w:rPr>
          <w:spacing w:val="-2"/>
        </w:rPr>
        <w:t>日召开的</w:t>
      </w:r>
      <w:r>
        <w:rPr>
          <w:rFonts w:ascii="宋体" w:hAnsi="宋体" w:cs="宋体" w:eastAsia="宋体" w:hint="default"/>
          <w:spacing w:val="-2"/>
        </w:rPr>
        <w:t>2019</w:t>
      </w:r>
      <w:r>
        <w:rPr>
          <w:spacing w:val="-2"/>
        </w:rPr>
        <w:t>年第三次临时股东大会审议，同意改聘立信会计师事务所（特殊普通合伙）为公司</w:t>
      </w:r>
      <w:r>
        <w:rPr>
          <w:rFonts w:ascii="宋体" w:hAnsi="宋体" w:cs="宋体" w:eastAsia="宋体" w:hint="default"/>
          <w:spacing w:val="-2"/>
        </w:rPr>
        <w:t>2019</w:t>
      </w:r>
      <w:r>
        <w:rPr>
          <w:spacing w:val="-2"/>
        </w:rPr>
        <w:t>年度审计机构，审计</w:t>
      </w:r>
      <w:r>
        <w:rPr>
          <w:spacing w:val="-57"/>
        </w:rPr>
        <w:t> </w:t>
      </w:r>
      <w:r>
        <w:rPr>
          <w:spacing w:val="-57"/>
        </w:rPr>
      </w:r>
      <w:r>
        <w:rPr/>
        <w:t>费用依照市场公允合理的定价原则，与会计师事务所协商确定。</w:t>
      </w:r>
    </w:p>
    <w:p>
      <w:pPr>
        <w:spacing w:line="240" w:lineRule="auto" w:before="13"/>
        <w:rPr>
          <w:rFonts w:ascii="宋体" w:hAnsi="宋体" w:cs="宋体" w:eastAsia="宋体" w:hint="default"/>
          <w:sz w:val="13"/>
          <w:szCs w:val="13"/>
        </w:rPr>
      </w:pPr>
    </w:p>
    <w:p>
      <w:pPr>
        <w:pStyle w:val="BodyText"/>
        <w:spacing w:line="355" w:lineRule="auto"/>
        <w:ind w:right="1132" w:firstLine="425"/>
        <w:jc w:val="both"/>
      </w:pPr>
      <w:r>
        <w:rPr>
          <w:rFonts w:ascii="宋体" w:hAnsi="宋体" w:cs="宋体" w:eastAsia="宋体" w:hint="default"/>
        </w:rPr>
        <w:t>13</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16</w:t>
      </w:r>
      <w:r>
        <w:rPr/>
        <w:t>日，经公司第八届董事会</w:t>
      </w:r>
      <w:r>
        <w:rPr>
          <w:rFonts w:ascii="宋体" w:hAnsi="宋体" w:cs="宋体" w:eastAsia="宋体" w:hint="default"/>
        </w:rPr>
        <w:t>2019</w:t>
      </w:r>
      <w:r>
        <w:rPr/>
        <w:t>年第七次临时会议、第八届监事会</w:t>
      </w:r>
      <w:r>
        <w:rPr>
          <w:rFonts w:ascii="宋体" w:hAnsi="宋体" w:cs="宋体" w:eastAsia="宋体" w:hint="default"/>
        </w:rPr>
        <w:t>2019</w:t>
      </w:r>
      <w:r>
        <w:rPr/>
        <w:t>年第七次临时会议审议，同意 </w:t>
      </w:r>
      <w:r>
        <w:rPr>
          <w:spacing w:val="-2"/>
        </w:rPr>
        <w:t>公司及子公司使用部分自有资金购买不超过人民币</w:t>
      </w:r>
      <w:r>
        <w:rPr>
          <w:rFonts w:ascii="宋体" w:hAnsi="宋体" w:cs="宋体" w:eastAsia="宋体" w:hint="default"/>
          <w:spacing w:val="-2"/>
        </w:rPr>
        <w:t>15,000</w:t>
      </w:r>
      <w:r>
        <w:rPr>
          <w:spacing w:val="-2"/>
        </w:rPr>
        <w:t>万元额度的银行保本型理财产品，期限一年。在上述额度内，资金</w:t>
      </w:r>
      <w:r>
        <w:rPr>
          <w:spacing w:val="-62"/>
        </w:rPr>
        <w:t> </w:t>
      </w:r>
      <w:r>
        <w:rPr>
          <w:spacing w:val="-62"/>
        </w:rPr>
      </w:r>
      <w:r>
        <w:rPr/>
        <w:t>可以滚动使用。</w:t>
      </w:r>
    </w:p>
    <w:p>
      <w:pPr>
        <w:spacing w:line="240" w:lineRule="auto" w:before="1"/>
        <w:rPr>
          <w:rFonts w:ascii="宋体" w:hAnsi="宋体" w:cs="宋体" w:eastAsia="宋体" w:hint="default"/>
          <w:sz w:val="14"/>
          <w:szCs w:val="14"/>
        </w:rPr>
      </w:pPr>
    </w:p>
    <w:p>
      <w:pPr>
        <w:pStyle w:val="BodyText"/>
        <w:spacing w:line="357" w:lineRule="auto"/>
        <w:ind w:right="1133" w:firstLine="425"/>
        <w:jc w:val="both"/>
      </w:pPr>
      <w:r>
        <w:rPr>
          <w:rFonts w:ascii="宋体" w:hAnsi="宋体" w:cs="宋体" w:eastAsia="宋体" w:hint="default"/>
        </w:rPr>
        <w:t>14</w:t>
      </w:r>
      <w:r>
        <w:rPr/>
        <w:t>、</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4</w:t>
      </w:r>
      <w:r>
        <w:rPr/>
        <w:t>日，经公司总裁办公会审议，同意公司向上海浦东发展银行北京花园路支行申请</w:t>
      </w:r>
      <w:r>
        <w:rPr>
          <w:rFonts w:ascii="宋体" w:hAnsi="宋体" w:cs="宋体" w:eastAsia="宋体" w:hint="default"/>
        </w:rPr>
        <w:t>5,000</w:t>
      </w:r>
      <w:r>
        <w:rPr/>
        <w:t>万元流动资金 </w:t>
      </w:r>
      <w:r>
        <w:rPr>
          <w:spacing w:val="-2"/>
        </w:rPr>
        <w:t>借款，借款期限壹年，并由公司董事长彭聪先生以及子公司神州易桥（北京）财税科技有限公司和霍尔果斯快马财税管理有</w:t>
      </w:r>
      <w:r>
        <w:rPr>
          <w:spacing w:val="-66"/>
        </w:rPr>
        <w:t> </w:t>
      </w:r>
      <w:r>
        <w:rPr>
          <w:spacing w:val="-66"/>
        </w:rPr>
      </w:r>
      <w:r>
        <w:rPr/>
        <w:t>限公司提供保证责任担保。截至本报告披露日，该事项尚未实施。</w:t>
      </w:r>
    </w:p>
    <w:p>
      <w:pPr>
        <w:spacing w:line="240" w:lineRule="auto" w:before="7"/>
        <w:rPr>
          <w:rFonts w:ascii="宋体" w:hAnsi="宋体" w:cs="宋体" w:eastAsia="宋体" w:hint="default"/>
          <w:sz w:val="24"/>
          <w:szCs w:val="24"/>
        </w:rPr>
      </w:pPr>
    </w:p>
    <w:p>
      <w:pPr>
        <w:pStyle w:val="Heading2"/>
        <w:spacing w:line="240" w:lineRule="auto"/>
        <w:ind w:right="1133"/>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8"/>
        <w:rPr>
          <w:rFonts w:ascii="宋体" w:hAnsi="宋体" w:cs="宋体" w:eastAsia="宋体" w:hint="default"/>
          <w:sz w:val="13"/>
          <w:szCs w:val="13"/>
        </w:rPr>
      </w:pPr>
    </w:p>
    <w:p>
      <w:pPr>
        <w:pStyle w:val="BodyText"/>
        <w:spacing w:line="355" w:lineRule="auto"/>
        <w:ind w:right="1133" w:firstLine="425"/>
        <w:jc w:val="both"/>
      </w:pP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8</w:t>
      </w:r>
      <w:r>
        <w:rPr>
          <w:spacing w:val="-2"/>
        </w:rPr>
        <w:t>日，经公司总裁办公会审议，同意子公司神州易桥（北京）财税科技有限公司出资设立全资子公司神州</w:t>
      </w:r>
      <w:r>
        <w:rPr/>
        <w:t> 顺利办（宿迁）人力资源服务有限公司，注册资本</w:t>
      </w:r>
      <w:r>
        <w:rPr>
          <w:rFonts w:ascii="宋体" w:hAnsi="宋体" w:cs="宋体" w:eastAsia="宋体" w:hint="default"/>
        </w:rPr>
        <w:t>300</w:t>
      </w:r>
      <w:r>
        <w:rPr/>
        <w:t>万元。</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26</w:t>
      </w:r>
      <w:r>
        <w:rPr/>
        <w:t>日完成工商登记手续。</w:t>
      </w:r>
    </w:p>
    <w:p>
      <w:pPr>
        <w:spacing w:line="240" w:lineRule="auto" w:before="1"/>
        <w:rPr>
          <w:rFonts w:ascii="宋体" w:hAnsi="宋体" w:cs="宋体" w:eastAsia="宋体" w:hint="default"/>
          <w:sz w:val="14"/>
          <w:szCs w:val="14"/>
        </w:rPr>
      </w:pPr>
    </w:p>
    <w:p>
      <w:pPr>
        <w:pStyle w:val="BodyText"/>
        <w:spacing w:line="357" w:lineRule="auto"/>
        <w:ind w:right="1133" w:firstLine="425"/>
        <w:jc w:val="both"/>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w:t>
      </w:r>
      <w:r>
        <w:rPr>
          <w:spacing w:val="-2"/>
        </w:rPr>
        <w:t>日，经公司总裁办公会审议，同意子公司神州易桥（北京）财税科技有限公司出资设立全资子公司喀什</w:t>
      </w:r>
      <w:r>
        <w:rPr/>
        <w:t> 顺利办信息服务有限公司，注册资本</w:t>
      </w:r>
      <w:r>
        <w:rPr>
          <w:rFonts w:ascii="宋体" w:hAnsi="宋体" w:cs="宋体" w:eastAsia="宋体" w:hint="default"/>
        </w:rPr>
        <w:t>5,000</w:t>
      </w:r>
      <w:r>
        <w:rPr/>
        <w:t>万元。</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11</w:t>
      </w:r>
      <w:r>
        <w:rPr/>
        <w:t>日完成工商登记手续。</w:t>
      </w:r>
    </w:p>
    <w:p>
      <w:pPr>
        <w:spacing w:line="240" w:lineRule="auto" w:before="0"/>
        <w:rPr>
          <w:rFonts w:ascii="宋体" w:hAnsi="宋体" w:cs="宋体" w:eastAsia="宋体" w:hint="default"/>
          <w:sz w:val="14"/>
          <w:szCs w:val="14"/>
        </w:rPr>
      </w:pPr>
    </w:p>
    <w:p>
      <w:pPr>
        <w:pStyle w:val="BodyText"/>
        <w:spacing w:line="357" w:lineRule="auto"/>
        <w:ind w:right="1034" w:firstLine="425"/>
        <w:jc w:val="left"/>
      </w:pP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17</w:t>
      </w:r>
      <w:r>
        <w:rPr>
          <w:spacing w:val="-2"/>
        </w:rPr>
        <w:t>日，经公司总裁办公会审议，同意子公司神州易桥（北京）财税科技有限公司出资设立知和家（北京）</w:t>
      </w:r>
      <w:r>
        <w:rPr/>
        <w:t> </w:t>
      </w:r>
      <w:r>
        <w:rPr>
          <w:spacing w:val="-2"/>
        </w:rPr>
        <w:t>信息技术有限公司，注册资本</w:t>
      </w:r>
      <w:r>
        <w:rPr>
          <w:rFonts w:ascii="宋体" w:hAnsi="宋体" w:cs="宋体" w:eastAsia="宋体" w:hint="default"/>
          <w:spacing w:val="-2"/>
        </w:rPr>
        <w:t>1,000</w:t>
      </w:r>
      <w:r>
        <w:rPr>
          <w:spacing w:val="-2"/>
        </w:rPr>
        <w:t>万元，其中神州易桥（北京）财税科技有限公司股权比例为</w:t>
      </w:r>
      <w:r>
        <w:rPr>
          <w:rFonts w:ascii="宋体" w:hAnsi="宋体" w:cs="宋体" w:eastAsia="宋体" w:hint="default"/>
          <w:spacing w:val="-2"/>
        </w:rPr>
        <w:t>30%</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日完成工商</w:t>
      </w:r>
      <w:r>
        <w:rPr>
          <w:spacing w:val="-55"/>
        </w:rPr>
        <w:t> </w:t>
      </w:r>
      <w:r>
        <w:rPr>
          <w:spacing w:val="-55"/>
        </w:rPr>
      </w:r>
      <w:r>
        <w:rPr/>
        <w:t>登记手续。</w:t>
      </w:r>
    </w:p>
    <w:p>
      <w:pPr>
        <w:spacing w:line="240" w:lineRule="auto" w:before="13"/>
        <w:rPr>
          <w:rFonts w:ascii="宋体" w:hAnsi="宋体" w:cs="宋体" w:eastAsia="宋体" w:hint="default"/>
          <w:sz w:val="13"/>
          <w:szCs w:val="13"/>
        </w:rPr>
      </w:pPr>
    </w:p>
    <w:p>
      <w:pPr>
        <w:pStyle w:val="BodyText"/>
        <w:spacing w:line="357" w:lineRule="auto"/>
        <w:ind w:right="1133" w:firstLine="425"/>
        <w:jc w:val="both"/>
      </w:pPr>
      <w:r>
        <w:rPr>
          <w:rFonts w:ascii="宋体" w:hAnsi="宋体" w:cs="宋体" w:eastAsia="宋体" w:hint="default"/>
          <w:spacing w:val="-2"/>
        </w:rPr>
        <w:t>4</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w:t>
      </w:r>
      <w:r>
        <w:rPr>
          <w:spacing w:val="-2"/>
        </w:rPr>
        <w:t>日，经公司总裁办公会审议，同意子公司神州易桥（北京）财税科技有限公司出资设立全资子公司顺利</w:t>
      </w:r>
      <w:r>
        <w:rPr/>
        <w:t> 办（厦门）人力资源服务有限公司，注册资本</w:t>
      </w:r>
      <w:r>
        <w:rPr>
          <w:rFonts w:ascii="宋体" w:hAnsi="宋体" w:cs="宋体" w:eastAsia="宋体" w:hint="default"/>
        </w:rPr>
        <w:t>5,000</w:t>
      </w:r>
      <w:r>
        <w:rPr/>
        <w:t>万元。</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5</w:t>
      </w:r>
      <w:r>
        <w:rPr/>
        <w:t>日完成工商登记手续。</w:t>
      </w:r>
    </w:p>
    <w:p>
      <w:pPr>
        <w:spacing w:line="240" w:lineRule="auto" w:before="12"/>
        <w:rPr>
          <w:rFonts w:ascii="宋体" w:hAnsi="宋体" w:cs="宋体" w:eastAsia="宋体" w:hint="default"/>
          <w:sz w:val="13"/>
          <w:szCs w:val="13"/>
        </w:rPr>
      </w:pPr>
    </w:p>
    <w:p>
      <w:pPr>
        <w:pStyle w:val="BodyText"/>
        <w:spacing w:line="355" w:lineRule="auto"/>
        <w:ind w:right="1133" w:firstLine="425"/>
        <w:jc w:val="both"/>
      </w:pPr>
      <w:r>
        <w:rPr>
          <w:rFonts w:ascii="宋体" w:hAnsi="宋体" w:cs="宋体" w:eastAsia="宋体" w:hint="default"/>
          <w:spacing w:val="-2"/>
        </w:rPr>
        <w:t>5</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日，经公司总裁办公会审议，同意子公司神州易桥（北京）财税科技有限公司出资设立全资子公司顺利</w:t>
      </w:r>
      <w:r>
        <w:rPr/>
        <w:t> 办（共青城）信息服务有限公司，注册资本</w:t>
      </w:r>
      <w:r>
        <w:rPr>
          <w:rFonts w:ascii="宋体" w:hAnsi="宋体" w:cs="宋体" w:eastAsia="宋体" w:hint="default"/>
        </w:rPr>
        <w:t>5,000</w:t>
      </w:r>
      <w:r>
        <w:rPr/>
        <w:t>万元。</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12</w:t>
      </w:r>
      <w:r>
        <w:rPr/>
        <w:t>日完成工商登记手续。</w:t>
      </w:r>
    </w:p>
    <w:p>
      <w:pPr>
        <w:spacing w:after="0" w:line="355" w:lineRule="auto"/>
        <w:jc w:val="both"/>
        <w:sectPr>
          <w:pgSz w:w="11910" w:h="16840"/>
          <w:pgMar w:header="877" w:footer="980" w:top="1100" w:bottom="1160" w:left="980" w:right="0"/>
        </w:sectPr>
      </w:pPr>
    </w:p>
    <w:p>
      <w:pPr>
        <w:spacing w:line="240" w:lineRule="auto" w:before="9"/>
        <w:rPr>
          <w:rFonts w:ascii="宋体" w:hAnsi="宋体" w:cs="宋体" w:eastAsia="宋体" w:hint="default"/>
          <w:sz w:val="18"/>
          <w:szCs w:val="18"/>
        </w:rPr>
      </w:pPr>
    </w:p>
    <w:p>
      <w:pPr>
        <w:pStyle w:val="BodyText"/>
        <w:spacing w:line="357" w:lineRule="auto" w:before="44"/>
        <w:ind w:right="1133" w:firstLine="425"/>
        <w:jc w:val="both"/>
      </w:pPr>
      <w:r>
        <w:rPr>
          <w:rFonts w:ascii="宋体" w:hAnsi="宋体" w:cs="宋体" w:eastAsia="宋体" w:hint="default"/>
        </w:rPr>
        <w:t>6</w:t>
      </w:r>
      <w:r>
        <w:rPr/>
        <w:t>、</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29</w:t>
      </w:r>
      <w:r>
        <w:rPr/>
        <w:t>日，经公司第八届董事会第三次会议、第八届监事会第三次会议，并经</w:t>
      </w:r>
      <w:r>
        <w:rPr>
          <w:rFonts w:ascii="宋体" w:hAnsi="宋体" w:cs="宋体" w:eastAsia="宋体" w:hint="default"/>
        </w:rPr>
        <w:t>2019</w:t>
      </w:r>
      <w:r>
        <w:rPr/>
        <w:t>年第二次临时股东大会审 </w:t>
      </w:r>
      <w:r>
        <w:rPr>
          <w:spacing w:val="-2"/>
        </w:rPr>
        <w:t>议，同意子公司神州易桥（北京）财税科技有限公司吸收合并子公司企业管家（北京）科技服务有限公司。截至本报告披露</w:t>
      </w:r>
      <w:r>
        <w:rPr>
          <w:spacing w:val="-68"/>
        </w:rPr>
        <w:t> </w:t>
      </w:r>
      <w:r>
        <w:rPr>
          <w:spacing w:val="-68"/>
        </w:rPr>
      </w:r>
      <w:r>
        <w:rPr/>
        <w:t>日，该事项尚未完成。</w:t>
      </w:r>
    </w:p>
    <w:p>
      <w:pPr>
        <w:spacing w:line="240" w:lineRule="auto" w:before="13"/>
        <w:rPr>
          <w:rFonts w:ascii="宋体" w:hAnsi="宋体" w:cs="宋体" w:eastAsia="宋体" w:hint="default"/>
          <w:sz w:val="13"/>
          <w:szCs w:val="13"/>
        </w:rPr>
      </w:pPr>
    </w:p>
    <w:p>
      <w:pPr>
        <w:pStyle w:val="BodyText"/>
        <w:spacing w:line="357" w:lineRule="auto"/>
        <w:ind w:right="1166" w:firstLine="425"/>
        <w:jc w:val="both"/>
      </w:pPr>
      <w:r>
        <w:rPr>
          <w:rFonts w:ascii="宋体" w:hAnsi="宋体" w:cs="宋体" w:eastAsia="宋体" w:hint="default"/>
        </w:rPr>
        <w:t>7</w:t>
      </w:r>
      <w:r>
        <w:rPr/>
        <w:t>、</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20</w:t>
      </w:r>
      <w:r>
        <w:rPr/>
        <w:t>日，经公司总裁办公会审议，同意子公司神州易桥（北京）财税科技有限公司出资设立全资子公司顺 利办（无锡）数据服务有限公司，注册资本</w:t>
      </w:r>
      <w:r>
        <w:rPr>
          <w:rFonts w:ascii="宋体" w:hAnsi="宋体" w:cs="宋体" w:eastAsia="宋体" w:hint="default"/>
        </w:rPr>
        <w:t>1,000</w:t>
      </w:r>
      <w:r>
        <w:rPr/>
        <w:t>万元。</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14</w:t>
      </w:r>
      <w:r>
        <w:rPr/>
        <w:t>日完成工商登记手续。</w:t>
      </w:r>
    </w:p>
    <w:p>
      <w:pPr>
        <w:spacing w:line="240" w:lineRule="auto" w:before="10"/>
        <w:rPr>
          <w:rFonts w:ascii="宋体" w:hAnsi="宋体" w:cs="宋体" w:eastAsia="宋体" w:hint="default"/>
          <w:sz w:val="13"/>
          <w:szCs w:val="13"/>
        </w:rPr>
      </w:pPr>
    </w:p>
    <w:p>
      <w:pPr>
        <w:pStyle w:val="BodyText"/>
        <w:spacing w:line="357" w:lineRule="auto"/>
        <w:ind w:right="1131" w:firstLine="425"/>
        <w:jc w:val="both"/>
      </w:pPr>
      <w:r>
        <w:rPr>
          <w:rFonts w:ascii="宋体" w:hAnsi="宋体" w:cs="宋体" w:eastAsia="宋体" w:hint="default"/>
        </w:rPr>
        <w:t>8</w:t>
      </w:r>
      <w:r>
        <w:rPr/>
        <w:t>、</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20</w:t>
      </w:r>
      <w:r>
        <w:rPr/>
        <w:t>日，经公司总裁办公会审议，同意子公司神州易桥（北京）财税科技有限公司出资设立参股公司乾元 </w:t>
      </w:r>
      <w:r>
        <w:rPr>
          <w:spacing w:val="-2"/>
        </w:rPr>
        <w:t>慧谷智慧科技有限公司，注册资本</w:t>
      </w:r>
      <w:r>
        <w:rPr>
          <w:rFonts w:ascii="宋体" w:hAnsi="宋体" w:cs="宋体" w:eastAsia="宋体" w:hint="default"/>
          <w:spacing w:val="-2"/>
        </w:rPr>
        <w:t>5,000</w:t>
      </w:r>
      <w:r>
        <w:rPr>
          <w:spacing w:val="-2"/>
        </w:rPr>
        <w:t>万元，其中神州易桥（北京）财税科技有限公司股权比例为</w:t>
      </w: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8</w:t>
      </w:r>
      <w:r>
        <w:rPr>
          <w:spacing w:val="-2"/>
        </w:rPr>
        <w:t>日完成</w:t>
      </w:r>
      <w:r>
        <w:rPr>
          <w:spacing w:val="-57"/>
        </w:rPr>
        <w:t> </w:t>
      </w:r>
      <w:r>
        <w:rPr>
          <w:spacing w:val="-57"/>
        </w:rPr>
      </w:r>
      <w:r>
        <w:rPr/>
        <w:t>工商登记手续。</w:t>
      </w:r>
    </w:p>
    <w:p>
      <w:pPr>
        <w:spacing w:line="240" w:lineRule="auto" w:before="13"/>
        <w:rPr>
          <w:rFonts w:ascii="宋体" w:hAnsi="宋体" w:cs="宋体" w:eastAsia="宋体" w:hint="default"/>
          <w:sz w:val="13"/>
          <w:szCs w:val="13"/>
        </w:rPr>
      </w:pPr>
    </w:p>
    <w:p>
      <w:pPr>
        <w:pStyle w:val="BodyText"/>
        <w:spacing w:line="357" w:lineRule="auto"/>
        <w:ind w:right="1131" w:firstLine="425"/>
        <w:jc w:val="both"/>
      </w:pPr>
      <w:r>
        <w:rPr>
          <w:rFonts w:ascii="宋体" w:hAnsi="宋体" w:cs="宋体" w:eastAsia="宋体" w:hint="default"/>
        </w:rPr>
        <w:t>9</w:t>
      </w:r>
      <w:r>
        <w:rPr/>
        <w:t>、</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9</w:t>
      </w:r>
      <w:r>
        <w:rPr/>
        <w:t>日，经公司总裁办公会审议，同意子公司神州易桥（北京）财税科技有限公司收购西藏天元方创创业 </w:t>
      </w:r>
      <w:r>
        <w:rPr>
          <w:spacing w:val="-2"/>
        </w:rPr>
        <w:t>投资有限公司、霍尔果斯硕佳股权投资有限公司、霍尔果斯神州易桥股权投资合伙企业（有限合伙）所持宁波神州开元会计</w:t>
      </w:r>
      <w:r>
        <w:rPr>
          <w:spacing w:val="-65"/>
        </w:rPr>
        <w:t> </w:t>
      </w:r>
      <w:r>
        <w:rPr>
          <w:spacing w:val="-65"/>
        </w:rPr>
      </w:r>
      <w:r>
        <w:rPr>
          <w:spacing w:val="-2"/>
        </w:rPr>
        <w:t>服务有限公司（现更名为“宁波顺利办财税服务有限公司”）股权，本次收购完成后，宁波顺利办财税服务有限公司为神州</w:t>
      </w:r>
      <w:r>
        <w:rPr>
          <w:spacing w:val="-66"/>
        </w:rPr>
        <w:t> </w:t>
      </w:r>
      <w:r>
        <w:rPr>
          <w:spacing w:val="-66"/>
        </w:rPr>
      </w:r>
      <w:r>
        <w:rPr/>
        <w:t>易桥（北京）财税科技有限公司的全资子公司。</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10</w:t>
      </w:r>
      <w:r>
        <w:rPr/>
        <w:t>日完成工商变更登记手续。</w:t>
      </w:r>
    </w:p>
    <w:p>
      <w:pPr>
        <w:spacing w:line="240" w:lineRule="auto" w:before="13"/>
        <w:rPr>
          <w:rFonts w:ascii="宋体" w:hAnsi="宋体" w:cs="宋体" w:eastAsia="宋体" w:hint="default"/>
          <w:sz w:val="13"/>
          <w:szCs w:val="13"/>
        </w:rPr>
      </w:pPr>
    </w:p>
    <w:p>
      <w:pPr>
        <w:pStyle w:val="BodyText"/>
        <w:spacing w:line="357" w:lineRule="auto"/>
        <w:ind w:right="1166" w:firstLine="425"/>
        <w:jc w:val="both"/>
      </w:pPr>
      <w:r>
        <w:rPr>
          <w:rFonts w:ascii="宋体" w:hAnsi="宋体" w:cs="宋体" w:eastAsia="宋体" w:hint="default"/>
        </w:rPr>
        <w:t>10</w:t>
      </w:r>
      <w:r>
        <w:rPr/>
        <w:t>、</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29</w:t>
      </w:r>
      <w:r>
        <w:rPr/>
        <w:t>日，经公司总裁办公会审议，同意子公司神州易桥（北京）财税科技有限公司出资设立全资子公司 神州摆渡人教育科技有限公司，注册资本</w:t>
      </w:r>
      <w:r>
        <w:rPr>
          <w:rFonts w:ascii="宋体" w:hAnsi="宋体" w:cs="宋体" w:eastAsia="宋体" w:hint="default"/>
        </w:rPr>
        <w:t>5,000</w:t>
      </w:r>
      <w:r>
        <w:rPr/>
        <w:t>万元。</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4</w:t>
      </w:r>
      <w:r>
        <w:rPr/>
        <w:t>日完成工商登记手续。</w:t>
      </w:r>
    </w:p>
    <w:p>
      <w:pPr>
        <w:spacing w:line="240" w:lineRule="auto" w:before="13"/>
        <w:rPr>
          <w:rFonts w:ascii="宋体" w:hAnsi="宋体" w:cs="宋体" w:eastAsia="宋体" w:hint="default"/>
          <w:sz w:val="13"/>
          <w:szCs w:val="13"/>
        </w:rPr>
      </w:pPr>
    </w:p>
    <w:p>
      <w:pPr>
        <w:pStyle w:val="BodyText"/>
        <w:spacing w:line="355" w:lineRule="auto"/>
        <w:ind w:right="1133" w:firstLine="425"/>
        <w:jc w:val="both"/>
      </w:pPr>
      <w:r>
        <w:rPr>
          <w:rFonts w:ascii="宋体" w:hAnsi="宋体" w:cs="宋体" w:eastAsia="宋体" w:hint="default"/>
          <w:spacing w:val="-2"/>
        </w:rPr>
        <w:t>11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w:t>
      </w:r>
      <w:r>
        <w:rPr>
          <w:spacing w:val="-2"/>
        </w:rPr>
        <w:t>日，经公司总裁办公会审议，同意子公司神州易桥（北京）财税科技有限公司出资设立全资子公司顺</w:t>
      </w:r>
      <w:r>
        <w:rPr/>
        <w:t> 利办（厦门）数据服务有限公司，注册资本</w:t>
      </w:r>
      <w:r>
        <w:rPr>
          <w:rFonts w:ascii="宋体" w:hAnsi="宋体" w:cs="宋体" w:eastAsia="宋体" w:hint="default"/>
        </w:rPr>
        <w:t>10,000</w:t>
      </w:r>
      <w:r>
        <w:rPr/>
        <w:t>万元。</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日完成工商登记手续。</w:t>
      </w:r>
    </w:p>
    <w:p>
      <w:pPr>
        <w:spacing w:line="240" w:lineRule="auto" w:before="1"/>
        <w:rPr>
          <w:rFonts w:ascii="宋体" w:hAnsi="宋体" w:cs="宋体" w:eastAsia="宋体" w:hint="default"/>
          <w:sz w:val="14"/>
          <w:szCs w:val="14"/>
        </w:rPr>
      </w:pPr>
    </w:p>
    <w:p>
      <w:pPr>
        <w:pStyle w:val="BodyText"/>
        <w:spacing w:line="357" w:lineRule="auto"/>
        <w:ind w:right="1129" w:firstLine="425"/>
        <w:jc w:val="both"/>
      </w:pPr>
      <w:r>
        <w:rPr>
          <w:rFonts w:ascii="宋体" w:hAnsi="宋体" w:cs="宋体" w:eastAsia="宋体" w:hint="default"/>
          <w:spacing w:val="-5"/>
        </w:rPr>
        <w:t>12</w:t>
      </w:r>
      <w:r>
        <w:rPr>
          <w:spacing w:val="-5"/>
        </w:rPr>
        <w:t>、</w:t>
      </w:r>
      <w:r>
        <w:rPr>
          <w:rFonts w:ascii="宋体" w:hAnsi="宋体" w:cs="宋体" w:eastAsia="宋体" w:hint="default"/>
          <w:spacing w:val="-5"/>
        </w:rPr>
        <w:t>2019</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2</w:t>
      </w:r>
      <w:r>
        <w:rPr>
          <w:spacing w:val="-5"/>
        </w:rPr>
        <w:t>日，经公司总裁办公会审议，同意子公司神州易桥（北京）财税科技有限公司与孙公司神州顺利办（宿</w:t>
      </w:r>
      <w:r>
        <w:rPr/>
        <w:t> 迁）人力资源服务有限公司共同出资设立宿迁神州易桥商务秘书有限公司，注册资本</w:t>
      </w:r>
      <w:r>
        <w:rPr>
          <w:rFonts w:ascii="宋体" w:hAnsi="宋体" w:cs="宋体" w:eastAsia="宋体" w:hint="default"/>
        </w:rPr>
        <w:t>100</w:t>
      </w:r>
      <w:r>
        <w:rPr/>
        <w:t>万元。其中神州易桥（北京）财税 科技有限公司持股比例为</w:t>
      </w:r>
      <w:r>
        <w:rPr>
          <w:rFonts w:ascii="宋体" w:hAnsi="宋体" w:cs="宋体" w:eastAsia="宋体" w:hint="default"/>
        </w:rPr>
        <w:t>20%</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5</w:t>
      </w:r>
      <w:r>
        <w:rPr/>
        <w:t>日完成工商登记手续。</w:t>
      </w:r>
    </w:p>
    <w:p>
      <w:pPr>
        <w:spacing w:line="240" w:lineRule="auto" w:before="13"/>
        <w:rPr>
          <w:rFonts w:ascii="宋体" w:hAnsi="宋体" w:cs="宋体" w:eastAsia="宋体" w:hint="default"/>
          <w:sz w:val="13"/>
          <w:szCs w:val="13"/>
        </w:rPr>
      </w:pPr>
    </w:p>
    <w:p>
      <w:pPr>
        <w:pStyle w:val="BodyText"/>
        <w:spacing w:line="357" w:lineRule="auto"/>
        <w:ind w:right="1134" w:firstLine="425"/>
        <w:jc w:val="both"/>
      </w:pPr>
      <w:r>
        <w:rPr>
          <w:rFonts w:ascii="宋体" w:hAnsi="宋体" w:cs="宋体" w:eastAsia="宋体" w:hint="default"/>
        </w:rPr>
        <w:t>13</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16</w:t>
      </w:r>
      <w:r>
        <w:rPr/>
        <w:t>日，经公司第八届董事会</w:t>
      </w:r>
      <w:r>
        <w:rPr>
          <w:rFonts w:ascii="宋体" w:hAnsi="宋体" w:cs="宋体" w:eastAsia="宋体" w:hint="default"/>
        </w:rPr>
        <w:t>2019</w:t>
      </w:r>
      <w:r>
        <w:rPr/>
        <w:t>年第七次临时会议、第八届监事会</w:t>
      </w:r>
      <w:r>
        <w:rPr>
          <w:rFonts w:ascii="宋体" w:hAnsi="宋体" w:cs="宋体" w:eastAsia="宋体" w:hint="default"/>
        </w:rPr>
        <w:t>2019</w:t>
      </w:r>
      <w:r>
        <w:rPr/>
        <w:t>年第七次临时会议审议，同意 </w:t>
      </w:r>
      <w:r>
        <w:rPr>
          <w:spacing w:val="-2"/>
        </w:rPr>
        <w:t>子公司霍尔果斯快马财税管理服务有限公司对部分终端资产进行整合优化，并签署《终止合作协议》。截至本报告期末，上</w:t>
      </w:r>
      <w:r>
        <w:rPr>
          <w:spacing w:val="-66"/>
        </w:rPr>
        <w:t> </w:t>
      </w:r>
      <w:r>
        <w:rPr>
          <w:spacing w:val="-66"/>
        </w:rPr>
      </w:r>
      <w:r>
        <w:rPr/>
        <w:t>述终端资产已处置完毕。</w:t>
      </w:r>
    </w:p>
    <w:p>
      <w:pPr>
        <w:spacing w:line="240" w:lineRule="auto" w:before="13"/>
        <w:rPr>
          <w:rFonts w:ascii="宋体" w:hAnsi="宋体" w:cs="宋体" w:eastAsia="宋体" w:hint="default"/>
          <w:sz w:val="13"/>
          <w:szCs w:val="13"/>
        </w:rPr>
      </w:pPr>
    </w:p>
    <w:p>
      <w:pPr>
        <w:pStyle w:val="BodyText"/>
        <w:spacing w:line="355" w:lineRule="auto"/>
        <w:ind w:right="1034" w:firstLine="425"/>
        <w:jc w:val="left"/>
      </w:pPr>
      <w:r>
        <w:rPr>
          <w:rFonts w:ascii="宋体" w:hAnsi="宋体" w:cs="宋体" w:eastAsia="宋体" w:hint="default"/>
        </w:rPr>
        <w:t>14</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20</w:t>
      </w:r>
      <w:r>
        <w:rPr/>
        <w:t>日，经公司总裁办公会审议，同意子公司霍尔果斯快马财税管理服务有限公司收购佛山市顺利办金 鼎壹财税有限公司</w:t>
      </w:r>
      <w:r>
        <w:rPr>
          <w:rFonts w:ascii="宋体" w:hAnsi="宋体" w:cs="宋体" w:eastAsia="宋体" w:hint="default"/>
        </w:rPr>
        <w:t>100%</w:t>
      </w:r>
      <w:r>
        <w:rPr/>
        <w:t>股权、内蒙古顺利办墨希财税顾问有限公司</w:t>
      </w:r>
      <w:r>
        <w:rPr>
          <w:rFonts w:ascii="宋体" w:hAnsi="宋体" w:cs="宋体" w:eastAsia="宋体" w:hint="default"/>
        </w:rPr>
        <w:t>100%</w:t>
      </w:r>
      <w:r>
        <w:rPr/>
        <w:t>股权、顺利办耀宗财税（中山）有限公司</w:t>
      </w:r>
      <w:r>
        <w:rPr>
          <w:rFonts w:ascii="宋体" w:hAnsi="宋体" w:cs="宋体" w:eastAsia="宋体" w:hint="default"/>
        </w:rPr>
        <w:t>100%</w:t>
      </w:r>
      <w:r>
        <w:rPr/>
        <w:t>股权， </w:t>
      </w:r>
      <w:r>
        <w:rPr>
          <w:spacing w:val="-2"/>
        </w:rPr>
        <w:t>本次收购完成后，上述三家公司为霍尔果斯快马财税管理服务有限公司的全资子公司。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24</w:t>
      </w:r>
      <w:r>
        <w:rPr>
          <w:spacing w:val="-2"/>
        </w:rPr>
        <w:t>日完成工商变更登记手</w:t>
      </w:r>
      <w:r>
        <w:rPr>
          <w:spacing w:val="-59"/>
        </w:rPr>
        <w:t> </w:t>
      </w:r>
      <w:r>
        <w:rPr>
          <w:spacing w:val="-59"/>
        </w:rPr>
      </w:r>
      <w:r>
        <w:rPr/>
        <w:t>续。</w:t>
      </w:r>
    </w:p>
    <w:p>
      <w:pPr>
        <w:spacing w:line="240" w:lineRule="auto" w:before="1"/>
        <w:rPr>
          <w:rFonts w:ascii="宋体" w:hAnsi="宋体" w:cs="宋体" w:eastAsia="宋体" w:hint="default"/>
          <w:sz w:val="14"/>
          <w:szCs w:val="14"/>
        </w:rPr>
      </w:pPr>
    </w:p>
    <w:p>
      <w:pPr>
        <w:pStyle w:val="BodyText"/>
        <w:spacing w:line="357" w:lineRule="auto"/>
        <w:ind w:right="1129" w:firstLine="425"/>
        <w:jc w:val="both"/>
      </w:pPr>
      <w:r>
        <w:rPr>
          <w:rFonts w:ascii="宋体" w:hAnsi="宋体" w:cs="宋体" w:eastAsia="宋体" w:hint="default"/>
        </w:rPr>
        <w:t>15</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20</w:t>
      </w:r>
      <w:r>
        <w:rPr/>
        <w:t>日，经公司总裁办公会审议，同意孙公司霍尔果斯易桥快马企业管理咨询有限公司收购玉林市易桥 </w:t>
      </w:r>
      <w:r>
        <w:rPr>
          <w:spacing w:val="-2"/>
        </w:rPr>
        <w:t>瑞智会计服务有限公司</w:t>
      </w:r>
      <w:r>
        <w:rPr>
          <w:rFonts w:ascii="宋体" w:hAnsi="宋体" w:cs="宋体" w:eastAsia="宋体" w:hint="default"/>
          <w:spacing w:val="-2"/>
        </w:rPr>
        <w:t>51%</w:t>
      </w:r>
      <w:r>
        <w:rPr>
          <w:spacing w:val="-2"/>
        </w:rPr>
        <w:t>股权、贵港市易桥瑞智会计服务有限公司</w:t>
      </w:r>
      <w:r>
        <w:rPr>
          <w:rFonts w:ascii="宋体" w:hAnsi="宋体" w:cs="宋体" w:eastAsia="宋体" w:hint="default"/>
          <w:spacing w:val="-2"/>
        </w:rPr>
        <w:t>51%</w:t>
      </w:r>
      <w:r>
        <w:rPr>
          <w:spacing w:val="-2"/>
        </w:rPr>
        <w:t>股权，本次收购完成后，上述两家公司为霍尔果斯易</w:t>
      </w:r>
      <w:r>
        <w:rPr>
          <w:spacing w:val="-59"/>
        </w:rPr>
        <w:t> </w:t>
      </w:r>
      <w:r>
        <w:rPr>
          <w:spacing w:val="-59"/>
        </w:rPr>
      </w:r>
      <w:r>
        <w:rPr/>
        <w:t>桥快马企业管理咨询有限公司的全资子公司。</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日完成工商变更登记手续。</w:t>
      </w:r>
    </w:p>
    <w:p>
      <w:pPr>
        <w:spacing w:line="240" w:lineRule="auto" w:before="13"/>
        <w:rPr>
          <w:rFonts w:ascii="宋体" w:hAnsi="宋体" w:cs="宋体" w:eastAsia="宋体" w:hint="default"/>
          <w:sz w:val="13"/>
          <w:szCs w:val="13"/>
        </w:rPr>
      </w:pPr>
    </w:p>
    <w:p>
      <w:pPr>
        <w:pStyle w:val="BodyText"/>
        <w:spacing w:line="357" w:lineRule="auto"/>
        <w:ind w:right="1166" w:firstLine="425"/>
        <w:jc w:val="both"/>
      </w:pPr>
      <w:r>
        <w:rPr>
          <w:rFonts w:ascii="宋体" w:hAnsi="宋体" w:cs="宋体" w:eastAsia="宋体" w:hint="default"/>
        </w:rPr>
        <w:t>16</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20</w:t>
      </w:r>
      <w:r>
        <w:rPr/>
        <w:t>日，经公司总裁办公会审议，同意子公司神州易桥（财税）科技有限公司出资设立全资子公司新疆 顺利办信息服务有限公司，注册资本</w:t>
      </w:r>
      <w:r>
        <w:rPr>
          <w:rFonts w:ascii="宋体" w:hAnsi="宋体" w:cs="宋体" w:eastAsia="宋体" w:hint="default"/>
        </w:rPr>
        <w:t>2,000</w:t>
      </w:r>
      <w:r>
        <w:rPr/>
        <w:t>万元。</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20</w:t>
      </w:r>
      <w:r>
        <w:rPr/>
        <w:t>日完成工商登记手续。</w:t>
      </w:r>
    </w:p>
    <w:p>
      <w:pPr>
        <w:spacing w:line="240" w:lineRule="auto" w:before="13"/>
        <w:rPr>
          <w:rFonts w:ascii="宋体" w:hAnsi="宋体" w:cs="宋体" w:eastAsia="宋体" w:hint="default"/>
          <w:sz w:val="13"/>
          <w:szCs w:val="13"/>
        </w:rPr>
      </w:pPr>
    </w:p>
    <w:p>
      <w:pPr>
        <w:pStyle w:val="BodyText"/>
        <w:spacing w:line="357" w:lineRule="auto"/>
        <w:ind w:right="1165" w:firstLine="425"/>
        <w:jc w:val="both"/>
      </w:pPr>
      <w:r>
        <w:rPr>
          <w:rFonts w:ascii="宋体" w:hAnsi="宋体" w:cs="宋体" w:eastAsia="宋体" w:hint="default"/>
        </w:rPr>
        <w:t>17</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23</w:t>
      </w:r>
      <w:r>
        <w:rPr/>
        <w:t>日，经公司总裁办公会审议，同意孙公司霍尔果斯易桥快马企业管理咨询有限公司对部分终端资产 进行整合优化，并签署《终止合作协议》。截至本报告期末，上述终端资产已处置完毕。</w:t>
      </w:r>
    </w:p>
    <w:p>
      <w:pPr>
        <w:spacing w:after="0" w:line="357" w:lineRule="auto"/>
        <w:jc w:val="both"/>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205" w:right="1149"/>
        <w:jc w:val="left"/>
        <w:rPr>
          <w:b w:val="0"/>
          <w:bCs w:val="0"/>
        </w:rPr>
      </w:pPr>
      <w:bookmarkStart w:name="第六节股份变动及股东情况" w:id="106"/>
      <w:bookmarkEnd w:id="106"/>
      <w:r>
        <w:rPr>
          <w:b w:val="0"/>
          <w:bCs w:val="0"/>
        </w:rPr>
      </w:r>
      <w:bookmarkStart w:name="_bookmark4" w:id="107"/>
      <w:bookmarkEnd w:id="107"/>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left="312" w:right="1149"/>
        <w:jc w:val="left"/>
        <w:rPr>
          <w:b w:val="0"/>
          <w:bCs w:val="0"/>
        </w:rPr>
      </w:pPr>
      <w:bookmarkStart w:name="一、股份变动情况" w:id="108"/>
      <w:bookmarkEnd w:id="108"/>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12" w:right="1149"/>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205"/>
        <w:gridCol w:w="1046"/>
        <w:gridCol w:w="823"/>
        <w:gridCol w:w="636"/>
        <w:gridCol w:w="475"/>
        <w:gridCol w:w="821"/>
        <w:gridCol w:w="1104"/>
        <w:gridCol w:w="1136"/>
        <w:gridCol w:w="991"/>
        <w:gridCol w:w="794"/>
      </w:tblGrid>
      <w:tr>
        <w:trPr>
          <w:trHeight w:val="402" w:hRule="exact"/>
        </w:trPr>
        <w:tc>
          <w:tcPr>
            <w:tcW w:w="2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25" w:right="38"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47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7" w:right="45"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05"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36" w:type="dxa"/>
            <w:vMerge/>
            <w:tcBorders>
              <w:left w:val="single" w:sz="4" w:space="0" w:color="000000"/>
              <w:right w:val="single" w:sz="4" w:space="0" w:color="000000"/>
            </w:tcBorders>
            <w:shd w:val="clear" w:color="auto" w:fill="D2D2D2"/>
          </w:tcPr>
          <w:p>
            <w:pPr/>
          </w:p>
        </w:tc>
        <w:tc>
          <w:tcPr>
            <w:tcW w:w="4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vMerge/>
            <w:tcBorders>
              <w:left w:val="single" w:sz="4" w:space="0" w:color="000000"/>
              <w:right w:val="single" w:sz="4" w:space="0" w:color="000000"/>
            </w:tcBorders>
            <w:shd w:val="clear" w:color="auto" w:fill="D2D2D2"/>
          </w:tcPr>
          <w:p>
            <w:pPr/>
          </w:p>
        </w:tc>
        <w:tc>
          <w:tcPr>
            <w:tcW w:w="11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c>
          <w:tcPr>
            <w:tcW w:w="475"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1104"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5" w:type="dxa"/>
            <w:vMerge/>
            <w:tcBorders>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c>
          <w:tcPr>
            <w:tcW w:w="47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1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246,692,167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32.21%</w:t>
            </w:r>
          </w:p>
        </w:tc>
        <w:tc>
          <w:tcPr>
            <w:tcW w:w="63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-188,094,420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-188,094,420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58,597,747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246,692,167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32.21%</w:t>
            </w:r>
          </w:p>
        </w:tc>
        <w:tc>
          <w:tcPr>
            <w:tcW w:w="63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center"/>
              <w:rPr>
                <w:rFonts w:ascii="Times New Roman" w:hAnsi="Times New Roman" w:cs="Times New Roman" w:eastAsia="Times New Roman" w:hint="default"/>
                <w:sz w:val="18"/>
                <w:szCs w:val="18"/>
              </w:rPr>
            </w:pPr>
            <w:r>
              <w:rPr>
                <w:rFonts w:ascii="Times New Roman"/>
                <w:sz w:val="18"/>
              </w:rPr>
              <w:t>-188,094,420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-188,094,420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58,597,747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7.65%</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41,251,543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w:t>
            </w:r>
          </w:p>
        </w:tc>
        <w:tc>
          <w:tcPr>
            <w:tcW w:w="63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center"/>
              <w:rPr>
                <w:rFonts w:ascii="Times New Roman" w:hAnsi="Times New Roman" w:cs="Times New Roman" w:eastAsia="Times New Roman" w:hint="default"/>
                <w:sz w:val="18"/>
                <w:szCs w:val="18"/>
              </w:rPr>
            </w:pPr>
            <w:r>
              <w:rPr>
                <w:rFonts w:ascii="Times New Roman"/>
                <w:sz w:val="18"/>
              </w:rPr>
              <w:t>-41,251,543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-41,251,543</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205,440,624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26.82%</w:t>
            </w:r>
          </w:p>
        </w:tc>
        <w:tc>
          <w:tcPr>
            <w:tcW w:w="63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center"/>
              <w:rPr>
                <w:rFonts w:ascii="Times New Roman" w:hAnsi="Times New Roman" w:cs="Times New Roman" w:eastAsia="Times New Roman" w:hint="default"/>
                <w:sz w:val="18"/>
                <w:szCs w:val="18"/>
              </w:rPr>
            </w:pPr>
            <w:r>
              <w:rPr>
                <w:rFonts w:ascii="Times New Roman"/>
                <w:sz w:val="18"/>
              </w:rPr>
              <w:t>-146,842,877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-146,842,877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58,597,747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7.65%</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519,107,186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67.79%</w:t>
            </w:r>
          </w:p>
        </w:tc>
        <w:tc>
          <w:tcPr>
            <w:tcW w:w="63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center"/>
              <w:rPr>
                <w:rFonts w:ascii="Times New Roman" w:hAnsi="Times New Roman" w:cs="Times New Roman" w:eastAsia="Times New Roman" w:hint="default"/>
                <w:sz w:val="18"/>
                <w:szCs w:val="18"/>
              </w:rPr>
            </w:pPr>
            <w:r>
              <w:rPr>
                <w:rFonts w:ascii="Times New Roman"/>
                <w:sz w:val="18"/>
              </w:rPr>
              <w:t>188,094,420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188,094,420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707,201,606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92.35%</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519,107,186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67.79%</w:t>
            </w:r>
          </w:p>
        </w:tc>
        <w:tc>
          <w:tcPr>
            <w:tcW w:w="63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center"/>
              <w:rPr>
                <w:rFonts w:ascii="Times New Roman" w:hAnsi="Times New Roman" w:cs="Times New Roman" w:eastAsia="Times New Roman" w:hint="default"/>
                <w:sz w:val="18"/>
                <w:szCs w:val="18"/>
              </w:rPr>
            </w:pPr>
            <w:r>
              <w:rPr>
                <w:rFonts w:ascii="Times New Roman"/>
                <w:sz w:val="18"/>
              </w:rPr>
              <w:t>188,094,420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188,094,420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707,201,606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92.35%</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765,799,353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765,799,353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left="312" w:right="1149"/>
        <w:jc w:val="left"/>
      </w:pPr>
      <w:r>
        <w:rPr/>
        <w:t>股份变动的原因</w:t>
      </w:r>
    </w:p>
    <w:p>
      <w:pPr>
        <w:pStyle w:val="BodyText"/>
        <w:spacing w:line="240" w:lineRule="auto" w:before="115"/>
        <w:ind w:left="312"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355" w:lineRule="auto"/>
        <w:ind w:left="312" w:right="1149" w:firstLine="425"/>
        <w:jc w:val="left"/>
      </w:pPr>
      <w:r>
        <w:rPr/>
        <w:t>本报告期办理了股东彭聪、百达永信投资有限公司、广西泰达新原股权投资有限公司、连良桂、智尚田所持部分限售 股解除限售事宜。</w:t>
      </w:r>
    </w:p>
    <w:p>
      <w:pPr>
        <w:spacing w:line="240" w:lineRule="auto" w:before="3"/>
        <w:rPr>
          <w:rFonts w:ascii="宋体" w:hAnsi="宋体" w:cs="宋体" w:eastAsia="宋体" w:hint="default"/>
          <w:sz w:val="17"/>
          <w:szCs w:val="17"/>
        </w:rPr>
      </w:pPr>
    </w:p>
    <w:p>
      <w:pPr>
        <w:pStyle w:val="BodyText"/>
        <w:spacing w:line="240" w:lineRule="auto"/>
        <w:ind w:left="312" w:right="1149"/>
        <w:jc w:val="left"/>
      </w:pPr>
      <w:r>
        <w:rPr/>
        <w:t>股份变动的批准情况</w:t>
      </w:r>
    </w:p>
    <w:p>
      <w:pPr>
        <w:pStyle w:val="BodyText"/>
        <w:spacing w:line="340" w:lineRule="auto" w:before="115"/>
        <w:ind w:left="312"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left="312"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43"/>
        <w:ind w:left="312"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40"/>
        <w:ind w:left="312"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left="31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3"/>
        <w:ind w:left="312"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820" w:right="0"/>
        </w:sectPr>
      </w:pPr>
    </w:p>
    <w:p>
      <w:pPr>
        <w:spacing w:line="240" w:lineRule="auto" w:before="11"/>
        <w:rPr>
          <w:rFonts w:ascii="宋体" w:hAnsi="宋体" w:cs="宋体" w:eastAsia="宋体" w:hint="default"/>
          <w:sz w:val="20"/>
          <w:szCs w:val="20"/>
        </w:rPr>
      </w:pPr>
    </w:p>
    <w:p>
      <w:pPr>
        <w:pStyle w:val="Heading3"/>
        <w:spacing w:line="240" w:lineRule="auto" w:before="36"/>
        <w:ind w:left="532" w:right="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388" w:type="dxa"/>
        <w:tblLayout w:type="fixed"/>
        <w:tblCellMar>
          <w:top w:w="0" w:type="dxa"/>
          <w:left w:w="0" w:type="dxa"/>
          <w:bottom w:w="0" w:type="dxa"/>
          <w:right w:w="0" w:type="dxa"/>
        </w:tblCellMar>
        <w:tblLook w:val="01E0"/>
      </w:tblPr>
      <w:tblGrid>
        <w:gridCol w:w="1479"/>
        <w:gridCol w:w="1349"/>
        <w:gridCol w:w="1001"/>
        <w:gridCol w:w="1133"/>
        <w:gridCol w:w="1349"/>
        <w:gridCol w:w="1913"/>
        <w:gridCol w:w="1694"/>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5" w:right="43"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58,597,747</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58,597,747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8"/>
              <w:jc w:val="left"/>
              <w:rPr>
                <w:rFonts w:ascii="宋体" w:hAnsi="宋体" w:cs="宋体" w:eastAsia="宋体" w:hint="default"/>
                <w:sz w:val="18"/>
                <w:szCs w:val="18"/>
              </w:rPr>
            </w:pPr>
            <w:r>
              <w:rPr>
                <w:rFonts w:ascii="宋体" w:hAnsi="宋体" w:cs="宋体" w:eastAsia="宋体" w:hint="default"/>
                <w:sz w:val="18"/>
                <w:szCs w:val="18"/>
              </w:rPr>
              <w:t>按照深圳证券交易所 相关规则申报解锁。</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百达永信投资有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18,307,336</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18,307,336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发行股份购买资产并募 集配套资金暨关联交易</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广西泰达新原股 权投资有限公司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22,944,207</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22,944,207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发行股份购买资产并募 集配套资金暨关联交易</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124,816,446</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124,816,446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发行股份购买资产并募 集配套资金暨关联交易</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智尚田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22,026,431</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22,026,431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发行股份购买资产并募 集配套资金暨关联交易</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246,692,167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188,094,420</w:t>
            </w:r>
          </w:p>
        </w:tc>
        <w:tc>
          <w:tcPr>
            <w:tcW w:w="134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58,597,747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532"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32" w:right="0"/>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532" w:right="0"/>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532" w:right="0"/>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532"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32"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480.457001pt;margin-top:70.667717pt;width:79pt;height:31.2pt;mso-position-horizontal-relative:page;mso-position-vertical-relative:paragraph;z-index:-1013320"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380.109985pt;margin-top:50.511719pt;width:65.45pt;height:20.8pt;mso-position-horizontal-relative:page;mso-position-vertical-relative:paragraph;z-index:-1013296" coordorigin="7602,1010" coordsize="1309,416">
            <v:group style="position:absolute;left:7614;top:1022;width:2;height:392" coordorigin="7614,1022" coordsize="2,392">
              <v:shape style="position:absolute;left:7614;top:1022;width:2;height:392" coordorigin="7614,1022" coordsize="0,392" path="m7614,1022l7614,1413e" filled="false" stroked="true" strokeweight="1.2pt" strokecolor="#ffffff">
                <v:path arrowok="t"/>
              </v:shape>
            </v:group>
            <v:group style="position:absolute;left:7626;top:1022;width:1285;height:392" coordorigin="7626,1022" coordsize="1285,392">
              <v:shape style="position:absolute;left:7626;top:1022;width:1285;height:392" coordorigin="7626,1022" coordsize="1285,392" path="m7626,1413l8911,1413,8911,1022,7626,1022,7626,1413xe" filled="true" fillcolor="#ffffff" stroked="false">
                <v:path arrowok="t"/>
                <v:fill type="solid"/>
              </v:shape>
            </v:group>
            <w10:wrap type="none"/>
          </v:group>
        </w:pict>
      </w:r>
      <w:r>
        <w:rPr/>
        <w:pict>
          <v:group style="position:absolute;margin-left:513.700012pt;margin-top:70.667717pt;width:45.75pt;height:31.2pt;mso-position-horizontal-relative:page;mso-position-vertical-relative:paragraph;z-index:-1013272" coordorigin="10274,1413" coordsize="915,624">
            <v:shape style="position:absolute;left:10274;top:1413;width:915;height:624" coordorigin="10274,1413" coordsize="915,624" path="m10274,2037l11188,2037,11188,1413,10274,1413,10274,2037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00"/>
        <w:gridCol w:w="1196"/>
        <w:gridCol w:w="1329"/>
        <w:gridCol w:w="1286"/>
        <w:gridCol w:w="1872"/>
        <w:gridCol w:w="1352"/>
        <w:gridCol w:w="1318"/>
        <w:gridCol w:w="926"/>
      </w:tblGrid>
      <w:tr>
        <w:trPr>
          <w:trHeight w:val="165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41,865</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38,760</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36"/>
              <w:jc w:val="left"/>
              <w:rPr>
                <w:rFonts w:ascii="宋体" w:hAnsi="宋体" w:cs="宋体" w:eastAsia="宋体" w:hint="default"/>
                <w:sz w:val="18"/>
                <w:szCs w:val="18"/>
              </w:rPr>
            </w:pPr>
            <w:r>
              <w:rPr>
                <w:rFonts w:ascii="宋体" w:hAnsi="宋体" w:cs="宋体" w:eastAsia="宋体" w:hint="default"/>
                <w:sz w:val="18"/>
                <w:szCs w:val="18"/>
              </w:rPr>
              <w:t>报告期末表决权恢复的 </w:t>
            </w:r>
            <w:r>
              <w:rPr>
                <w:rFonts w:ascii="宋体" w:hAnsi="宋体" w:cs="宋体" w:eastAsia="宋体" w:hint="default"/>
                <w:spacing w:val="-8"/>
                <w:sz w:val="18"/>
                <w:szCs w:val="18"/>
              </w:rPr>
              <w:t>优先股股东总数（如有</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tabs>
                <w:tab w:pos="1217" w:val="left" w:leader="none"/>
              </w:tabs>
              <w:spacing w:line="240" w:lineRule="auto"/>
              <w:ind w:left="-1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8"/>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6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469"/>
        <w:gridCol w:w="1411"/>
        <w:gridCol w:w="788"/>
        <w:gridCol w:w="1010"/>
        <w:gridCol w:w="992"/>
        <w:gridCol w:w="994"/>
        <w:gridCol w:w="1118"/>
        <w:gridCol w:w="1349"/>
        <w:gridCol w:w="1349"/>
      </w:tblGrid>
      <w:tr>
        <w:trPr>
          <w:trHeight w:val="402" w:hRule="exact"/>
        </w:trPr>
        <w:tc>
          <w:tcPr>
            <w:tcW w:w="1048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0"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5" w:right="10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411"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128,536,103</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128,536,103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128,490,000</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78,130,329</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58,597,747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19,532,582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百达永信投资有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45,768,340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45,768,340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32,461,004</w:t>
            </w:r>
          </w:p>
        </w:tc>
      </w:tr>
      <w:tr>
        <w:trPr>
          <w:trHeight w:val="102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青海省国有资产 投资管理有限公 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36,150,000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36,150,000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中国国际金融股 份有限公司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28,776,200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28,776,200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28,776,200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广西泰达新原股 权投资有限公司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22,944,207</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22,944,207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西宁城市投资管 理有限公司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17,385,951</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17,385,951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天津海睿达科技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16,521,766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16,521,766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16,521,766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天津泰达科技投 资股份有限公司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15,345,800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-6,076,200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15,345,800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
              <w:jc w:val="left"/>
              <w:rPr>
                <w:rFonts w:ascii="宋体" w:hAnsi="宋体" w:cs="宋体" w:eastAsia="宋体" w:hint="default"/>
                <w:sz w:val="18"/>
                <w:szCs w:val="18"/>
              </w:rPr>
            </w:pPr>
            <w:r>
              <w:rPr>
                <w:rFonts w:ascii="宋体" w:hAnsi="宋体" w:cs="宋体" w:eastAsia="宋体" w:hint="default"/>
                <w:sz w:val="18"/>
                <w:szCs w:val="18"/>
              </w:rPr>
              <w:t>浙江自贸区顺利 办资产管理合伙 企业（有限合伙）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12,400,354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-1,210,721</w:t>
            </w:r>
          </w:p>
        </w:tc>
        <w:tc>
          <w:tcPr>
            <w:tcW w:w="99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12,400,354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600"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3"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600" w:type="dxa"/>
            <w:gridSpan w:val="7"/>
            <w:vMerge w:val="restart"/>
            <w:tcBorders>
              <w:top w:val="single" w:sz="4" w:space="0" w:color="000000"/>
              <w:left w:val="single" w:sz="9" w:space="0" w:color="D2D2D2"/>
              <w:right w:val="single" w:sz="4" w:space="0" w:color="000000"/>
            </w:tcBorders>
          </w:tcPr>
          <w:p>
            <w:pPr>
              <w:pStyle w:val="TableParagraph"/>
              <w:spacing w:line="307" w:lineRule="auto" w:before="51"/>
              <w:ind w:left="17" w:right="23"/>
              <w:jc w:val="left"/>
              <w:rPr>
                <w:rFonts w:ascii="宋体" w:hAnsi="宋体" w:cs="宋体" w:eastAsia="宋体" w:hint="default"/>
                <w:sz w:val="18"/>
                <w:szCs w:val="18"/>
              </w:rPr>
            </w:pPr>
            <w:r>
              <w:rPr>
                <w:rFonts w:ascii="宋体" w:hAnsi="宋体" w:cs="宋体" w:eastAsia="宋体" w:hint="default"/>
                <w:spacing w:val="-1"/>
                <w:sz w:val="18"/>
                <w:szCs w:val="18"/>
              </w:rPr>
              <w:t>上述股东中，彭聪、百达永信投资有限公司为一致行动人；广西泰达新原股权投资有限公司、天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津泰达科技投资股份有限公司为一致行动人。除此之外，公司未知前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 联关系，也未知是否属于《上市公司股东持股变动信息披露管理办法》中规定的一致行动人。</w:t>
            </w:r>
          </w:p>
        </w:tc>
      </w:tr>
      <w:tr>
        <w:trPr>
          <w:trHeight w:val="703"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600" w:type="dxa"/>
            <w:gridSpan w:val="7"/>
            <w:vMerge/>
            <w:tcBorders>
              <w:left w:val="single" w:sz="9" w:space="0" w:color="D2D2D2"/>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600" w:type="dxa"/>
            <w:gridSpan w:val="7"/>
            <w:vMerge/>
            <w:tcBorders>
              <w:left w:val="single" w:sz="9" w:space="0" w:color="D2D2D2"/>
              <w:bottom w:val="single" w:sz="4" w:space="0" w:color="000000"/>
              <w:right w:val="single" w:sz="4" w:space="0" w:color="000000"/>
            </w:tcBorders>
          </w:tcPr>
          <w:p>
            <w:pPr/>
          </w:p>
        </w:tc>
      </w:tr>
      <w:tr>
        <w:trPr>
          <w:trHeight w:val="402" w:hRule="exact"/>
        </w:trPr>
        <w:tc>
          <w:tcPr>
            <w:tcW w:w="1048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90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90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9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490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90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49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128,536,103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128,536,103</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百达永信投资有限公司</w:t>
            </w:r>
          </w:p>
        </w:tc>
        <w:tc>
          <w:tcPr>
            <w:tcW w:w="49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45,768,340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45,768,340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青海省国有资产投资管理有限公司</w:t>
            </w:r>
          </w:p>
        </w:tc>
        <w:tc>
          <w:tcPr>
            <w:tcW w:w="49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36,150,000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49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28,776,200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28,776,200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广西泰达新原股权投资有限公司</w:t>
            </w:r>
          </w:p>
        </w:tc>
        <w:tc>
          <w:tcPr>
            <w:tcW w:w="49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22,944,207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22,944,207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6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2880"/>
        <w:gridCol w:w="4902"/>
        <w:gridCol w:w="1349"/>
        <w:gridCol w:w="1349"/>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19,532,582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19,532,582</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西宁城市投资管理有限公司</w:t>
            </w:r>
          </w:p>
        </w:tc>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17,385,951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17,385,951</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天津海睿达科技有限公司</w:t>
            </w:r>
          </w:p>
        </w:tc>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16,521,766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16,521,766</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15,345,800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15,345,800</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浙江自贸区顺利办资产管理合伙企 业（有限合伙）</w:t>
            </w:r>
          </w:p>
        </w:tc>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12,400,354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12,400,354</w:t>
            </w:r>
          </w:p>
        </w:tc>
      </w:tr>
      <w:tr>
        <w:trPr>
          <w:trHeight w:val="1339"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7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pacing w:val="-1"/>
                <w:sz w:val="18"/>
                <w:szCs w:val="18"/>
              </w:rPr>
              <w:t>上述股东中，彭聪、百达永信投资有限公司为一致行动人；广西泰达新原股权投资有限公司、天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津泰达科技投资股份有限公司为一致行动人。除此之外，公司未知前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名无限售条件股东之间 </w:t>
            </w:r>
            <w:r>
              <w:rPr>
                <w:rFonts w:ascii="宋体" w:hAnsi="宋体" w:cs="宋体" w:eastAsia="宋体" w:hint="default"/>
                <w:spacing w:val="-1"/>
                <w:sz w:val="18"/>
                <w:szCs w:val="18"/>
              </w:rPr>
              <w:t>是否存在关联关系，也未知是否属于《上市公司股东持股变动信息披露管理办法》中规定的一致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行动人。</w:t>
            </w:r>
          </w:p>
        </w:tc>
      </w:tr>
      <w:tr>
        <w:trPr>
          <w:trHeight w:val="716"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百达永信投资有限公司参与融资融券业务。</w:t>
            </w:r>
          </w:p>
        </w:tc>
      </w:tr>
    </w:tbl>
    <w:p>
      <w:pPr>
        <w:pStyle w:val="BodyText"/>
        <w:spacing w:line="240" w:lineRule="auto" w:before="49"/>
        <w:ind w:left="532"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left="53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532"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left="532"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32" w:right="8234"/>
        <w:jc w:val="left"/>
      </w:pPr>
      <w:r>
        <w:rPr/>
        <w:t>控股股东性质：无控股主体 控股股东类型：不存在 公司不存在控股股东情况的说明</w:t>
      </w:r>
    </w:p>
    <w:p>
      <w:pPr>
        <w:pStyle w:val="BodyText"/>
        <w:spacing w:line="357" w:lineRule="auto" w:before="102"/>
        <w:ind w:left="532" w:right="1051" w:firstLine="425"/>
        <w:jc w:val="both"/>
      </w:pPr>
      <w:r>
        <w:rPr>
          <w:rFonts w:ascii="宋体" w:hAnsi="宋体" w:cs="宋体" w:eastAsia="宋体" w:hint="default"/>
        </w:rPr>
        <w:t>2003</w:t>
      </w:r>
      <w:r>
        <w:rPr/>
        <w:t>年</w:t>
      </w:r>
      <w:r>
        <w:rPr>
          <w:rFonts w:ascii="宋体" w:hAnsi="宋体" w:cs="宋体" w:eastAsia="宋体" w:hint="default"/>
        </w:rPr>
        <w:t>6</w:t>
      </w:r>
      <w:r>
        <w:rPr/>
        <w:t>月，公司第一大股东变更为青海企业技术创新投资管理有限责任公司。</w:t>
      </w:r>
      <w:r>
        <w:rPr>
          <w:rFonts w:ascii="宋体" w:hAnsi="宋体" w:cs="宋体" w:eastAsia="宋体" w:hint="default"/>
        </w:rPr>
        <w:t>2004</w:t>
      </w:r>
      <w:r>
        <w:rPr/>
        <w:t>年初，公司第一大股东变更为天津 泰达科技风险投资股份有限公司（后更名为</w:t>
      </w:r>
      <w:r>
        <w:rPr>
          <w:rFonts w:ascii="宋体" w:hAnsi="宋体" w:cs="宋体" w:eastAsia="宋体" w:hint="default"/>
        </w:rPr>
        <w:t>"</w:t>
      </w:r>
      <w:r>
        <w:rPr/>
        <w:t>天津泰达科技投资股份有限公司</w:t>
      </w:r>
      <w:r>
        <w:rPr>
          <w:rFonts w:ascii="宋体" w:hAnsi="宋体" w:cs="宋体" w:eastAsia="宋体" w:hint="default"/>
        </w:rPr>
        <w:t>"</w:t>
      </w:r>
      <w:r>
        <w:rPr/>
        <w:t>），</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30</w:t>
      </w:r>
      <w:r>
        <w:rPr/>
        <w:t>日起变更为无实际控制人， 天津泰达科技投资股份有限公司仍为第一大股东。</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28</w:t>
      </w:r>
      <w:r>
        <w:rPr/>
        <w:t>日第一大股东变更为连良桂，由于与天津泰达科技投资股份 有限公司为一致行动人，在无实际控制人情况下，仍由天津泰达科技投资股份有限公司行使控股股东权利和义务。</w:t>
      </w:r>
      <w:r>
        <w:rPr>
          <w:rFonts w:ascii="宋体" w:hAnsi="宋体" w:cs="宋体" w:eastAsia="宋体" w:hint="default"/>
        </w:rPr>
        <w:t>2019</w:t>
      </w:r>
      <w:r>
        <w:rPr/>
        <w:t>年</w:t>
      </w:r>
      <w:r>
        <w:rPr>
          <w:rFonts w:ascii="宋体" w:hAnsi="宋体" w:cs="宋体" w:eastAsia="宋体" w:hint="default"/>
        </w:rPr>
        <w:t>4 </w:t>
      </w:r>
      <w:r>
        <w:rPr/>
        <w:t>月</w:t>
      </w:r>
      <w:r>
        <w:rPr>
          <w:rFonts w:ascii="宋体" w:hAnsi="宋体" w:cs="宋体" w:eastAsia="宋体" w:hint="default"/>
        </w:rPr>
        <w:t>6</w:t>
      </w:r>
      <w:r>
        <w:rPr/>
        <w:t>日，公司收到股东连良桂先生向股东天津泰达科技投资股份有限公司发出的《解除</w:t>
      </w:r>
      <w:r>
        <w:rPr>
          <w:rFonts w:ascii="宋体" w:hAnsi="宋体" w:cs="宋体" w:eastAsia="宋体" w:hint="default"/>
        </w:rPr>
        <w:t>&lt;</w:t>
      </w:r>
      <w:r>
        <w:rPr/>
        <w:t>一致行动协议</w:t>
      </w:r>
      <w:r>
        <w:rPr>
          <w:rFonts w:ascii="宋体" w:hAnsi="宋体" w:cs="宋体" w:eastAsia="宋体" w:hint="default"/>
        </w:rPr>
        <w:t>&gt;</w:t>
      </w:r>
      <w:r>
        <w:rPr/>
        <w:t>通知书》，连良桂先</w:t>
      </w:r>
      <w:r>
        <w:rPr>
          <w:spacing w:val="-87"/>
        </w:rPr>
        <w:t> </w:t>
      </w:r>
      <w:r>
        <w:rPr/>
        <w:t>生决定即日起解除与天津泰达科技投资股份有限公司及其关联企业的一致行动关系，公司变更为无控股股东和实际控制人。</w:t>
      </w:r>
    </w:p>
    <w:p>
      <w:pPr>
        <w:spacing w:line="240" w:lineRule="auto" w:before="1"/>
        <w:rPr>
          <w:rFonts w:ascii="宋体" w:hAnsi="宋体" w:cs="宋体" w:eastAsia="宋体" w:hint="default"/>
          <w:sz w:val="17"/>
          <w:szCs w:val="17"/>
        </w:rPr>
      </w:pPr>
    </w:p>
    <w:p>
      <w:pPr>
        <w:pStyle w:val="BodyText"/>
        <w:spacing w:line="240" w:lineRule="auto"/>
        <w:ind w:left="532" w:right="0"/>
        <w:jc w:val="left"/>
      </w:pPr>
      <w:r>
        <w:rPr/>
        <w:t>控股股东报告期内变更</w:t>
      </w:r>
    </w:p>
    <w:p>
      <w:pPr>
        <w:pStyle w:val="BodyText"/>
        <w:spacing w:line="240" w:lineRule="auto" w:before="117"/>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52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3"/>
        <w:spacing w:line="240" w:lineRule="auto" w:before="36"/>
        <w:ind w:left="532" w:right="0"/>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32" w:right="8234"/>
        <w:jc w:val="left"/>
      </w:pPr>
      <w:r>
        <w:rPr/>
        <w:t>实际控制人性质：无实际控制人 实际控制人类型：不存在</w:t>
      </w:r>
    </w:p>
    <w:p>
      <w:pPr>
        <w:spacing w:after="0" w:line="360" w:lineRule="auto"/>
        <w:jc w:val="left"/>
        <w:sectPr>
          <w:pgSz w:w="11910" w:h="16840"/>
          <w:pgMar w:header="877" w:footer="980" w:top="1100" w:bottom="1160" w:left="600" w:right="0"/>
        </w:sectPr>
      </w:pPr>
    </w:p>
    <w:p>
      <w:pPr>
        <w:spacing w:line="240" w:lineRule="auto" w:before="11"/>
        <w:rPr>
          <w:rFonts w:ascii="宋体" w:hAnsi="宋体" w:cs="宋体" w:eastAsia="宋体" w:hint="default"/>
          <w:sz w:val="21"/>
          <w:szCs w:val="21"/>
        </w:rPr>
      </w:pPr>
    </w:p>
    <w:p>
      <w:pPr>
        <w:pStyle w:val="BodyText"/>
        <w:spacing w:line="439" w:lineRule="auto" w:before="44"/>
        <w:ind w:left="578" w:right="1133" w:hanging="426"/>
        <w:jc w:val="left"/>
      </w:pPr>
      <w:r>
        <w:rPr/>
        <w:t>公司不存在实际控制人情况的说明 </w:t>
      </w:r>
      <w:r>
        <w:rPr>
          <w:rFonts w:ascii="宋体" w:hAnsi="宋体" w:cs="宋体" w:eastAsia="宋体" w:hint="default"/>
          <w:spacing w:val="-2"/>
        </w:rPr>
        <w:t>2003</w:t>
      </w:r>
      <w:r>
        <w:rPr>
          <w:spacing w:val="-2"/>
        </w:rPr>
        <w:t>年</w:t>
      </w:r>
      <w:r>
        <w:rPr>
          <w:rFonts w:ascii="宋体" w:hAnsi="宋体" w:cs="宋体" w:eastAsia="宋体" w:hint="default"/>
          <w:spacing w:val="-2"/>
        </w:rPr>
        <w:t>6</w:t>
      </w:r>
      <w:r>
        <w:rPr>
          <w:spacing w:val="-2"/>
        </w:rPr>
        <w:t>月，公司第一大股东变更为青海企业技术创新投资管理有限责任公司。</w:t>
      </w:r>
      <w:r>
        <w:rPr>
          <w:rFonts w:ascii="宋体" w:hAnsi="宋体" w:cs="宋体" w:eastAsia="宋体" w:hint="default"/>
          <w:spacing w:val="-2"/>
        </w:rPr>
        <w:t>2004</w:t>
      </w:r>
      <w:r>
        <w:rPr>
          <w:spacing w:val="-2"/>
        </w:rPr>
        <w:t>年初，公司第一大股东变更为天津</w:t>
      </w:r>
    </w:p>
    <w:p>
      <w:pPr>
        <w:pStyle w:val="BodyText"/>
        <w:spacing w:line="199" w:lineRule="exact"/>
        <w:ind w:right="0"/>
        <w:jc w:val="left"/>
      </w:pPr>
      <w:r>
        <w:rPr/>
        <w:t>泰达科技风险投资股份有限公司（后更名为</w:t>
      </w:r>
      <w:r>
        <w:rPr>
          <w:rFonts w:ascii="宋体" w:hAnsi="宋体" w:cs="宋体" w:eastAsia="宋体" w:hint="default"/>
        </w:rPr>
        <w:t>"</w:t>
      </w:r>
      <w:r>
        <w:rPr/>
        <w:t>天津泰达科技投资股份有限公司</w:t>
      </w:r>
      <w:r>
        <w:rPr>
          <w:rFonts w:ascii="宋体" w:hAnsi="宋体" w:cs="宋体" w:eastAsia="宋体" w:hint="default"/>
        </w:rPr>
        <w:t>"</w:t>
      </w:r>
      <w:r>
        <w:rPr/>
        <w:t>），</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30</w:t>
      </w:r>
      <w:r>
        <w:rPr/>
        <w:t>日起变更为无实际控制人，</w:t>
      </w:r>
    </w:p>
    <w:p>
      <w:pPr>
        <w:pStyle w:val="BodyText"/>
        <w:spacing w:line="355" w:lineRule="auto" w:before="115"/>
        <w:ind w:right="1051"/>
        <w:jc w:val="both"/>
      </w:pPr>
      <w:r>
        <w:rPr/>
        <w:t>天津泰达科技投资股份有限公司仍为第一大股东。</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28</w:t>
      </w:r>
      <w:r>
        <w:rPr/>
        <w:t>日第一大股东变更为连良桂，由于与天津泰达科技投资股份 有限公司为一致行动人，在无实际控制人情况下，仍由天津泰达科技投资股份有限公司行使控股股东权利和义务。</w:t>
      </w:r>
      <w:r>
        <w:rPr>
          <w:rFonts w:ascii="宋体" w:hAnsi="宋体" w:cs="宋体" w:eastAsia="宋体" w:hint="default"/>
        </w:rPr>
        <w:t>2019</w:t>
      </w:r>
      <w:r>
        <w:rPr/>
        <w:t>年</w:t>
      </w:r>
      <w:r>
        <w:rPr>
          <w:rFonts w:ascii="宋体" w:hAnsi="宋体" w:cs="宋体" w:eastAsia="宋体" w:hint="default"/>
        </w:rPr>
        <w:t>4 </w:t>
      </w:r>
      <w:r>
        <w:rPr/>
        <w:t>月</w:t>
      </w:r>
      <w:r>
        <w:rPr>
          <w:rFonts w:ascii="宋体" w:hAnsi="宋体" w:cs="宋体" w:eastAsia="宋体" w:hint="default"/>
        </w:rPr>
        <w:t>6</w:t>
      </w:r>
      <w:r>
        <w:rPr/>
        <w:t>日，公司收到股东连良桂先生向股东天津泰达科技投资股份有限公司发出的《解除</w:t>
      </w:r>
      <w:r>
        <w:rPr>
          <w:rFonts w:ascii="宋体" w:hAnsi="宋体" w:cs="宋体" w:eastAsia="宋体" w:hint="default"/>
        </w:rPr>
        <w:t>&lt;</w:t>
      </w:r>
      <w:r>
        <w:rPr/>
        <w:t>一致行动协议</w:t>
      </w:r>
      <w:r>
        <w:rPr>
          <w:rFonts w:ascii="宋体" w:hAnsi="宋体" w:cs="宋体" w:eastAsia="宋体" w:hint="default"/>
        </w:rPr>
        <w:t>&gt;</w:t>
      </w:r>
      <w:r>
        <w:rPr/>
        <w:t>通知书》，连良桂先</w:t>
      </w:r>
      <w:r>
        <w:rPr>
          <w:spacing w:val="-87"/>
        </w:rPr>
        <w:t> </w:t>
      </w:r>
      <w:r>
        <w:rPr/>
        <w:t>生决定即日起解除与天津泰达科技投资股份有限公司及其关联企业的一致行动关系，公司变更为无控股股东和实际控制人。</w:t>
      </w:r>
    </w:p>
    <w:p>
      <w:pPr>
        <w:spacing w:line="240" w:lineRule="auto" w:before="3"/>
        <w:rPr>
          <w:rFonts w:ascii="宋体" w:hAnsi="宋体" w:cs="宋体" w:eastAsia="宋体" w:hint="default"/>
          <w:sz w:val="17"/>
          <w:szCs w:val="17"/>
        </w:rPr>
      </w:pPr>
    </w:p>
    <w:p>
      <w:pPr>
        <w:pStyle w:val="BodyText"/>
        <w:spacing w:line="240" w:lineRule="auto"/>
        <w:ind w:right="1133"/>
        <w:jc w:val="left"/>
      </w:pPr>
      <w:r>
        <w:rPr/>
        <w:t>公司最终控制层面是否存在持股比例在</w:t>
      </w:r>
      <w:r>
        <w:rPr>
          <w:spacing w:val="-44"/>
        </w:rPr>
        <w:t> </w:t>
      </w:r>
      <w:r>
        <w:rPr>
          <w:rFonts w:ascii="Times New Roman" w:hAnsi="Times New Roman" w:cs="Times New Roman" w:eastAsia="Times New Roman" w:hint="default"/>
        </w:rPr>
        <w:t>10%</w:t>
      </w:r>
      <w:r>
        <w:rPr/>
        <w:t>以上的股东情况</w:t>
      </w:r>
    </w:p>
    <w:p>
      <w:pPr>
        <w:pStyle w:val="BodyText"/>
        <w:spacing w:line="240" w:lineRule="auto" w:before="10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38" w:lineRule="auto" w:before="103"/>
        <w:ind w:right="7050"/>
        <w:jc w:val="left"/>
      </w:pPr>
      <w:r>
        <w:rPr/>
        <w:t>公司最终控制层面持股比例</w:t>
      </w:r>
      <w:r>
        <w:rPr>
          <w:spacing w:val="-46"/>
        </w:rPr>
        <w:t> </w:t>
      </w:r>
      <w:r>
        <w:rPr>
          <w:rFonts w:ascii="Times New Roman" w:hAnsi="Times New Roman" w:cs="Times New Roman" w:eastAsia="Times New Roman" w:hint="default"/>
        </w:rPr>
        <w:t>5%</w:t>
      </w:r>
      <w:r>
        <w:rPr/>
        <w:t>以上的股东情况 实际控制人报告期内变更</w:t>
      </w:r>
    </w:p>
    <w:p>
      <w:pPr>
        <w:pStyle w:val="BodyText"/>
        <w:spacing w:line="348" w:lineRule="auto" w:before="43"/>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877" w:footer="980" w:top="1100" w:bottom="1160" w:left="980" w:right="0"/>
        </w:sectPr>
      </w:pPr>
    </w:p>
    <w:p>
      <w:pPr>
        <w:spacing w:line="240" w:lineRule="auto" w:before="12"/>
        <w:rPr>
          <w:rFonts w:ascii="宋体" w:hAnsi="宋体" w:cs="宋体" w:eastAsia="宋体" w:hint="default"/>
          <w:sz w:val="29"/>
          <w:szCs w:val="29"/>
        </w:rPr>
      </w:pPr>
    </w:p>
    <w:p>
      <w:pPr>
        <w:spacing w:line="9840" w:lineRule="exact"/>
        <w:ind w:left="1355" w:right="0" w:firstLine="0"/>
        <w:rPr>
          <w:rFonts w:ascii="宋体" w:hAnsi="宋体" w:cs="宋体" w:eastAsia="宋体" w:hint="default"/>
          <w:sz w:val="20"/>
          <w:szCs w:val="20"/>
        </w:rPr>
      </w:pPr>
      <w:r>
        <w:rPr>
          <w:rFonts w:ascii="宋体" w:hAnsi="宋体" w:cs="宋体" w:eastAsia="宋体" w:hint="default"/>
          <w:position w:val="-196"/>
          <w:sz w:val="20"/>
          <w:szCs w:val="20"/>
        </w:rPr>
        <w:drawing>
          <wp:inline distT="0" distB="0" distL="0" distR="0">
            <wp:extent cx="4591723" cy="62484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2" cstate="print"/>
                    <a:stretch>
                      <a:fillRect/>
                    </a:stretch>
                  </pic:blipFill>
                  <pic:spPr>
                    <a:xfrm>
                      <a:off x="0" y="0"/>
                      <a:ext cx="4591723" cy="6248400"/>
                    </a:xfrm>
                    <a:prstGeom prst="rect">
                      <a:avLst/>
                    </a:prstGeom>
                  </pic:spPr>
                </pic:pic>
              </a:graphicData>
            </a:graphic>
          </wp:inline>
        </w:drawing>
      </w:r>
      <w:r>
        <w:rPr>
          <w:rFonts w:ascii="宋体" w:hAnsi="宋体" w:cs="宋体" w:eastAsia="宋体" w:hint="default"/>
          <w:position w:val="-196"/>
          <w:sz w:val="20"/>
          <w:szCs w:val="20"/>
        </w:rPr>
      </w:r>
    </w:p>
    <w:p>
      <w:pPr>
        <w:spacing w:line="240" w:lineRule="auto" w:before="6"/>
        <w:rPr>
          <w:rFonts w:ascii="宋体" w:hAnsi="宋体" w:cs="宋体" w:eastAsia="宋体" w:hint="default"/>
          <w:sz w:val="17"/>
          <w:szCs w:val="17"/>
        </w:rPr>
      </w:pPr>
    </w:p>
    <w:p>
      <w:pPr>
        <w:pStyle w:val="Heading4"/>
        <w:spacing w:line="240" w:lineRule="auto" w:before="36"/>
        <w:ind w:right="1133"/>
        <w:jc w:val="left"/>
      </w:pPr>
      <w:r>
        <w:rPr/>
        <w:t>实际控制人通过信托或其他资产管理方式控制公司</w:t>
      </w:r>
    </w:p>
    <w:p>
      <w:pPr>
        <w:spacing w:line="240" w:lineRule="auto" w:before="8"/>
        <w:rPr>
          <w:rFonts w:ascii="宋体" w:hAnsi="宋体" w:cs="宋体" w:eastAsia="宋体" w:hint="default"/>
          <w:sz w:val="19"/>
          <w:szCs w:val="19"/>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365" w:right="1133"/>
        <w:jc w:val="left"/>
        <w:rPr>
          <w:b w:val="0"/>
          <w:bCs w:val="0"/>
        </w:rPr>
      </w:pPr>
      <w:bookmarkStart w:name="第七节优先股相关情况" w:id="121"/>
      <w:bookmarkEnd w:id="121"/>
      <w:r>
        <w:rPr>
          <w:b w:val="0"/>
          <w:bCs w:val="0"/>
        </w:rPr>
      </w:r>
      <w:bookmarkStart w:name="_bookmark5" w:id="122"/>
      <w:bookmarkEnd w:id="122"/>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723" w:right="1133"/>
        <w:jc w:val="left"/>
        <w:rPr>
          <w:b w:val="0"/>
          <w:bCs w:val="0"/>
        </w:rPr>
      </w:pPr>
      <w:bookmarkStart w:name="第八节可转换公司债券相关情况" w:id="123"/>
      <w:bookmarkEnd w:id="123"/>
      <w:r>
        <w:rPr>
          <w:b w:val="0"/>
          <w:bCs w:val="0"/>
        </w:rPr>
      </w:r>
      <w:bookmarkStart w:name="_bookmark6" w:id="124"/>
      <w:bookmarkEnd w:id="124"/>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878" w:right="0"/>
        <w:jc w:val="left"/>
        <w:rPr>
          <w:b w:val="0"/>
          <w:bCs w:val="0"/>
        </w:rPr>
      </w:pPr>
      <w:bookmarkStart w:name="第九节董事、监事、高级管理人员和员工情况" w:id="125"/>
      <w:bookmarkEnd w:id="125"/>
      <w:r>
        <w:rPr>
          <w:b w:val="0"/>
          <w:bCs w:val="0"/>
        </w:rPr>
      </w:r>
      <w:bookmarkStart w:name="_bookmark7" w:id="126"/>
      <w:bookmarkEnd w:id="126"/>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272" w:right="0"/>
        <w:jc w:val="left"/>
        <w:rPr>
          <w:b w:val="0"/>
          <w:bCs w:val="0"/>
        </w:rPr>
      </w:pPr>
      <w:bookmarkStart w:name="一、董事、监事和高级管理人员持股变动" w:id="127"/>
      <w:bookmarkEnd w:id="12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800"/>
        <w:gridCol w:w="797"/>
        <w:gridCol w:w="797"/>
        <w:gridCol w:w="403"/>
        <w:gridCol w:w="425"/>
        <w:gridCol w:w="977"/>
        <w:gridCol w:w="991"/>
        <w:gridCol w:w="939"/>
        <w:gridCol w:w="1049"/>
        <w:gridCol w:w="992"/>
        <w:gridCol w:w="799"/>
        <w:gridCol w:w="1008"/>
      </w:tblGrid>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性 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3" w:right="3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6"/>
                <w:sz w:val="18"/>
                <w:szCs w:val="18"/>
              </w:rPr>
              <w:t>份数量（股）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9"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8"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（股）</w:t>
            </w:r>
          </w:p>
        </w:tc>
      </w:tr>
      <w:tr>
        <w:trPr>
          <w:trHeight w:val="713" w:hRule="exact"/>
        </w:trPr>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78,130,329</w:t>
            </w: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78,130,329</w:t>
            </w:r>
          </w:p>
        </w:tc>
      </w:tr>
      <w:tr>
        <w:trPr>
          <w:trHeight w:val="716" w:hRule="exact"/>
        </w:trPr>
        <w:tc>
          <w:tcPr>
            <w:tcW w:w="800" w:type="dxa"/>
            <w:vMerge/>
            <w:tcBorders>
              <w:left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vMerge/>
            <w:tcBorders>
              <w:left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vMerge/>
            <w:tcBorders>
              <w:left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王爱俭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关旭星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34"/>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78,130,329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78,130,329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86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1133"/>
        <w:jc w:val="left"/>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任职情况" w:id="129"/>
      <w:bookmarkEnd w:id="129"/>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436" w:lineRule="auto"/>
        <w:ind w:left="578" w:right="3734" w:hanging="426"/>
        <w:jc w:val="left"/>
      </w:pPr>
      <w:r>
        <w:rPr/>
        <w:t>公司现任董事、监事、高级管理人员专业背景、主要工作经历以及目前在公司的主要职责 董事：</w:t>
      </w:r>
    </w:p>
    <w:p>
      <w:pPr>
        <w:pStyle w:val="BodyText"/>
        <w:spacing w:line="357" w:lineRule="auto" w:before="121"/>
        <w:ind w:right="1165" w:firstLine="425"/>
        <w:jc w:val="both"/>
      </w:pPr>
      <w:r>
        <w:rPr/>
        <w:t>彭聪先生，汉族，在读博士研究生。现任顺利办信息服务股份有限公司董事长、总裁，神州易桥（北京）财税科技有 限公司执行董事，百达永信投资有限公司执行董事。</w:t>
      </w:r>
    </w:p>
    <w:p>
      <w:pPr>
        <w:spacing w:line="240" w:lineRule="auto" w:before="13"/>
        <w:rPr>
          <w:rFonts w:ascii="宋体" w:hAnsi="宋体" w:cs="宋体" w:eastAsia="宋体" w:hint="default"/>
          <w:sz w:val="13"/>
          <w:szCs w:val="13"/>
        </w:rPr>
      </w:pPr>
    </w:p>
    <w:p>
      <w:pPr>
        <w:pStyle w:val="BodyText"/>
        <w:spacing w:line="357" w:lineRule="auto"/>
        <w:ind w:right="1034" w:firstLine="425"/>
        <w:jc w:val="left"/>
      </w:pPr>
      <w:r>
        <w:rPr/>
        <w:t>黄海勇先生，汉族，硕士研究生，中国国民党革命委员会青海省委员会委员。曾任青海大正会计师事务所审计项目经 理，审计部主任、合伙人，青海明胶股份有限公司财务经理。现任顺利办信息服务股份有限公司董事、副总裁、财务总监、 董事会秘书，青海宁达创业投资有限责任公司董事长，吉林省嘉孚化学工业股份有限公司董事。</w:t>
      </w:r>
    </w:p>
    <w:p>
      <w:pPr>
        <w:spacing w:line="240" w:lineRule="auto" w:before="10"/>
        <w:rPr>
          <w:rFonts w:ascii="宋体" w:hAnsi="宋体" w:cs="宋体" w:eastAsia="宋体" w:hint="default"/>
          <w:sz w:val="13"/>
          <w:szCs w:val="13"/>
        </w:rPr>
      </w:pPr>
    </w:p>
    <w:p>
      <w:pPr>
        <w:pStyle w:val="BodyText"/>
        <w:spacing w:line="357" w:lineRule="auto"/>
        <w:ind w:right="1130" w:firstLine="425"/>
        <w:jc w:val="both"/>
      </w:pPr>
      <w:r>
        <w:rPr/>
        <w:t>赵侠先生，汉族，硕士研究生。历任滨海信托投资有限公司证券部经理、营业部经理，天津泰达科技投资股份有限公 </w:t>
      </w:r>
      <w:r>
        <w:rPr>
          <w:spacing w:val="-2"/>
        </w:rPr>
        <w:t>司投资银行部经理，青海明胶股份有限公司副总裁、总裁。现任顺利办信息服务股份有限公司董事，天津泰达科技投资股份</w:t>
      </w:r>
      <w:r>
        <w:rPr>
          <w:spacing w:val="-64"/>
        </w:rPr>
        <w:t> </w:t>
      </w:r>
      <w:r>
        <w:rPr>
          <w:spacing w:val="-64"/>
        </w:rPr>
      </w:r>
      <w:r>
        <w:rPr>
          <w:spacing w:val="-2"/>
        </w:rPr>
        <w:t>有限公司董事，西藏华毓创业投资管理有限公司执行董事兼经理，西藏鼎信电子科技有限公司执行董事兼经理，青海宏远胶</w:t>
      </w:r>
      <w:r>
        <w:rPr>
          <w:spacing w:val="-63"/>
        </w:rPr>
        <w:t> </w:t>
      </w:r>
      <w:r>
        <w:rPr>
          <w:spacing w:val="-63"/>
        </w:rPr>
      </w:r>
      <w:r>
        <w:rPr/>
        <w:t>原蛋白肠衣有限公司执行董事，青海明胶有限责任公司执行董事，柳州市宏升胶原蛋白肠衣有限公司执行董事兼经理。</w:t>
      </w:r>
    </w:p>
    <w:p>
      <w:pPr>
        <w:spacing w:line="240" w:lineRule="auto" w:before="13"/>
        <w:rPr>
          <w:rFonts w:ascii="宋体" w:hAnsi="宋体" w:cs="宋体" w:eastAsia="宋体" w:hint="default"/>
          <w:sz w:val="13"/>
          <w:szCs w:val="13"/>
        </w:rPr>
      </w:pPr>
    </w:p>
    <w:p>
      <w:pPr>
        <w:pStyle w:val="BodyText"/>
        <w:spacing w:line="357" w:lineRule="auto"/>
        <w:ind w:right="1129" w:firstLine="425"/>
        <w:jc w:val="both"/>
      </w:pPr>
      <w:r>
        <w:rPr/>
        <w:t>连杰先生，汉族，本科、长江商学院</w:t>
      </w:r>
      <w:r>
        <w:rPr>
          <w:rFonts w:ascii="宋体" w:hAnsi="宋体" w:cs="宋体" w:eastAsia="宋体" w:hint="default"/>
        </w:rPr>
        <w:t>FMBA</w:t>
      </w:r>
      <w:r>
        <w:rPr/>
        <w:t>（在职金融工商管理硕士）在读。曾任平安银行天津分行市场九部对公客户 </w:t>
      </w:r>
      <w:r>
        <w:rPr>
          <w:spacing w:val="-2"/>
        </w:rPr>
        <w:t>经理。现任顺利办信息服务股份有限公司董事，天津滨海浙商投资集团有限公司副总经理，天津昊娱文化传媒有限公司执行</w:t>
      </w:r>
      <w:r>
        <w:rPr>
          <w:spacing w:val="-61"/>
        </w:rPr>
        <w:t> </w:t>
      </w:r>
      <w:r>
        <w:rPr>
          <w:spacing w:val="-61"/>
        </w:rPr>
      </w:r>
      <w:r>
        <w:rPr/>
        <w:t>董事，霍尔果斯昊娱文化传媒有限公司执行董事兼总经理，洪晟观通（天津）企业管理咨询有限公司监事。</w:t>
      </w:r>
    </w:p>
    <w:p>
      <w:pPr>
        <w:spacing w:line="240" w:lineRule="auto" w:before="13"/>
        <w:rPr>
          <w:rFonts w:ascii="宋体" w:hAnsi="宋体" w:cs="宋体" w:eastAsia="宋体" w:hint="default"/>
          <w:sz w:val="13"/>
          <w:szCs w:val="13"/>
        </w:rPr>
      </w:pPr>
    </w:p>
    <w:p>
      <w:pPr>
        <w:pStyle w:val="BodyText"/>
        <w:spacing w:line="355" w:lineRule="auto"/>
        <w:ind w:right="1130" w:firstLine="425"/>
        <w:jc w:val="both"/>
      </w:pPr>
      <w:r>
        <w:rPr/>
        <w:t>王爱俭女士，汉族，金融学教授、博士生导师，民建会员。曾任天津财经大学副校长。现任天津财经大学教授博导， </w:t>
      </w:r>
      <w:r>
        <w:rPr>
          <w:spacing w:val="-2"/>
        </w:rPr>
        <w:t>中国滨海金融协同创新中心主任，民建中央财政金融委员会副主任，顺利办信息服务股份有限公司独立董事，天津市医药集</w:t>
      </w:r>
      <w:r>
        <w:rPr>
          <w:spacing w:val="-63"/>
        </w:rPr>
        <w:t> </w:t>
      </w:r>
      <w:r>
        <w:rPr>
          <w:spacing w:val="-63"/>
        </w:rPr>
      </w:r>
      <w:r>
        <w:rPr>
          <w:spacing w:val="-2"/>
        </w:rPr>
        <w:t>团有限公司董事。国家社科、国家自然科学基金同行评议专家，天津市劳动模范，天津市五一劳动奖章获得者，享受国务院</w:t>
      </w:r>
      <w:r>
        <w:rPr>
          <w:spacing w:val="-67"/>
        </w:rPr>
        <w:t> </w:t>
      </w:r>
      <w:r>
        <w:rPr>
          <w:spacing w:val="-67"/>
        </w:rPr>
      </w:r>
      <w:r>
        <w:rPr/>
        <w:t>特殊津贴。</w:t>
      </w:r>
    </w:p>
    <w:p>
      <w:pPr>
        <w:spacing w:line="240" w:lineRule="auto" w:before="1"/>
        <w:rPr>
          <w:rFonts w:ascii="宋体" w:hAnsi="宋体" w:cs="宋体" w:eastAsia="宋体" w:hint="default"/>
          <w:sz w:val="14"/>
          <w:szCs w:val="14"/>
        </w:rPr>
      </w:pPr>
    </w:p>
    <w:p>
      <w:pPr>
        <w:pStyle w:val="BodyText"/>
        <w:spacing w:line="357" w:lineRule="auto"/>
        <w:ind w:right="1130" w:firstLine="425"/>
        <w:jc w:val="both"/>
      </w:pPr>
      <w:r>
        <w:rPr/>
        <w:t>张萱女士，汉族，本科、长江商学院</w:t>
      </w:r>
      <w:r>
        <w:rPr>
          <w:rFonts w:ascii="宋体" w:hAnsi="宋体" w:cs="宋体" w:eastAsia="宋体" w:hint="default"/>
        </w:rPr>
        <w:t>EMBA</w:t>
      </w:r>
      <w:r>
        <w:rPr/>
        <w:t>、清华五道口金融学院</w:t>
      </w:r>
      <w:r>
        <w:rPr>
          <w:rFonts w:ascii="宋体" w:hAnsi="宋体" w:cs="宋体" w:eastAsia="宋体" w:hint="default"/>
        </w:rPr>
        <w:t>EMBA</w:t>
      </w:r>
      <w:r>
        <w:rPr/>
        <w:t>，中国注册会计师、高级会计师。曾任五洲会计 </w:t>
      </w:r>
      <w:r>
        <w:rPr>
          <w:spacing w:val="-2"/>
        </w:rPr>
        <w:t>师事务所副主任会计师，五联方圆会计师事务所副主任会计师。现任信永中和会计师事务所合伙人，顺利办信息服务股份有</w:t>
      </w:r>
      <w:r>
        <w:rPr>
          <w:spacing w:val="-63"/>
        </w:rPr>
        <w:t> </w:t>
      </w:r>
      <w:r>
        <w:rPr>
          <w:spacing w:val="-63"/>
        </w:rPr>
      </w:r>
      <w:r>
        <w:rPr>
          <w:spacing w:val="-2"/>
        </w:rPr>
        <w:t>限公司、天津劝业场</w:t>
      </w:r>
      <w:r>
        <w:rPr>
          <w:rFonts w:ascii="宋体" w:hAnsi="宋体" w:cs="宋体" w:eastAsia="宋体" w:hint="default"/>
          <w:spacing w:val="-2"/>
        </w:rPr>
        <w:t>(</w:t>
      </w:r>
      <w:r>
        <w:rPr>
          <w:spacing w:val="-2"/>
        </w:rPr>
        <w:t>集团</w:t>
      </w:r>
      <w:r>
        <w:rPr>
          <w:rFonts w:ascii="宋体" w:hAnsi="宋体" w:cs="宋体" w:eastAsia="宋体" w:hint="default"/>
          <w:spacing w:val="-2"/>
        </w:rPr>
        <w:t>)</w:t>
      </w:r>
      <w:r>
        <w:rPr>
          <w:spacing w:val="-2"/>
        </w:rPr>
        <w:t>股份有限公司、苏州兴业材料科技股份有限公司、湖北仰帆控股股份有限公司、福建三钢闽光股</w:t>
      </w:r>
      <w:r>
        <w:rPr>
          <w:spacing w:val="-63"/>
        </w:rPr>
        <w:t> </w:t>
      </w:r>
      <w:r>
        <w:rPr>
          <w:spacing w:val="-63"/>
        </w:rPr>
      </w:r>
      <w:r>
        <w:rPr/>
        <w:t>份有限公司独立董事。</w:t>
      </w:r>
    </w:p>
    <w:p>
      <w:pPr>
        <w:spacing w:line="240" w:lineRule="auto" w:before="13"/>
        <w:rPr>
          <w:rFonts w:ascii="宋体" w:hAnsi="宋体" w:cs="宋体" w:eastAsia="宋体" w:hint="default"/>
          <w:sz w:val="13"/>
          <w:szCs w:val="13"/>
        </w:rPr>
      </w:pPr>
    </w:p>
    <w:p>
      <w:pPr>
        <w:pStyle w:val="BodyText"/>
        <w:spacing w:line="357" w:lineRule="auto"/>
        <w:ind w:right="1128" w:firstLine="425"/>
        <w:jc w:val="both"/>
      </w:pPr>
      <w:r>
        <w:rPr>
          <w:spacing w:val="-2"/>
        </w:rPr>
        <w:t>关旭星先生，满族，硕士研究生。曾任神州数码信息服务股份有限公司事业部总经理、集成</w:t>
      </w:r>
      <w:r>
        <w:rPr>
          <w:rFonts w:ascii="宋体" w:hAnsi="宋体" w:cs="宋体" w:eastAsia="宋体" w:hint="default"/>
          <w:spacing w:val="-2"/>
        </w:rPr>
        <w:t>SBU</w:t>
      </w:r>
      <w:r>
        <w:rPr>
          <w:spacing w:val="-2"/>
        </w:rPr>
        <w:t>常务副总裁、总裁，神</w:t>
      </w:r>
      <w:r>
        <w:rPr/>
        <w:t> 州数码信息服务股份有限公司副总裁。现任顺利办信息服务股份有限公司独立董事。</w:t>
      </w:r>
    </w:p>
    <w:p>
      <w:pPr>
        <w:spacing w:line="240" w:lineRule="auto" w:before="13"/>
        <w:rPr>
          <w:rFonts w:ascii="宋体" w:hAnsi="宋体" w:cs="宋体" w:eastAsia="宋体" w:hint="default"/>
          <w:sz w:val="13"/>
          <w:szCs w:val="13"/>
        </w:rPr>
      </w:pPr>
    </w:p>
    <w:p>
      <w:pPr>
        <w:pStyle w:val="BodyText"/>
        <w:spacing w:line="240" w:lineRule="auto"/>
        <w:ind w:left="578" w:right="1133"/>
        <w:jc w:val="left"/>
      </w:pPr>
      <w:r>
        <w:rPr/>
        <w:t>监事：</w:t>
      </w:r>
    </w:p>
    <w:p>
      <w:pPr>
        <w:spacing w:line="240" w:lineRule="auto" w:before="9"/>
        <w:rPr>
          <w:rFonts w:ascii="宋体" w:hAnsi="宋体" w:cs="宋体" w:eastAsia="宋体" w:hint="default"/>
          <w:sz w:val="20"/>
          <w:szCs w:val="20"/>
        </w:rPr>
      </w:pPr>
    </w:p>
    <w:p>
      <w:pPr>
        <w:pStyle w:val="BodyText"/>
        <w:spacing w:line="355" w:lineRule="auto"/>
        <w:ind w:right="1130" w:firstLine="425"/>
        <w:jc w:val="both"/>
      </w:pPr>
      <w:r>
        <w:rPr/>
        <w:t>于秀芳女士，汉族，硕士，高级会计师、高级人力资源管理师。历任和泰集团投资有限公司副总裁、董事。现任顺利 </w:t>
      </w:r>
      <w:r>
        <w:rPr>
          <w:spacing w:val="-2"/>
        </w:rPr>
        <w:t>办信息服务股份有限公司监事会主席，天津泰达科技投资股份有限公司董事，天津滨海浙商投资集团有限公司副总裁，天津</w:t>
      </w:r>
      <w:r>
        <w:rPr>
          <w:spacing w:val="-63"/>
        </w:rPr>
        <w:t> </w:t>
      </w:r>
      <w:r>
        <w:rPr>
          <w:spacing w:val="-63"/>
        </w:rPr>
      </w:r>
      <w:r>
        <w:rPr/>
        <w:t>万科空港置业有限公司董事。</w:t>
      </w:r>
    </w:p>
    <w:p>
      <w:pPr>
        <w:spacing w:line="240" w:lineRule="auto" w:before="1"/>
        <w:rPr>
          <w:rFonts w:ascii="宋体" w:hAnsi="宋体" w:cs="宋体" w:eastAsia="宋体" w:hint="default"/>
          <w:sz w:val="14"/>
          <w:szCs w:val="14"/>
        </w:rPr>
      </w:pPr>
    </w:p>
    <w:p>
      <w:pPr>
        <w:pStyle w:val="BodyText"/>
        <w:spacing w:line="357" w:lineRule="auto"/>
        <w:ind w:right="1166" w:firstLine="425"/>
        <w:jc w:val="both"/>
      </w:pPr>
      <w:r>
        <w:rPr/>
        <w:t>王进先生，汉族，硕士研究生，中共党员。现任顺利办信息服务股份有限公司监事，天津泰达科技投资股份有限公司 证券部经理、董事会秘书，天津合昶网络科技股份有限公司董事，宁波昆仑甬达投资管理有限公司监事。</w:t>
      </w:r>
    </w:p>
    <w:p>
      <w:pPr>
        <w:spacing w:after="0" w:line="357" w:lineRule="auto"/>
        <w:jc w:val="both"/>
        <w:sectPr>
          <w:pgSz w:w="11910" w:h="16840"/>
          <w:pgMar w:header="877" w:footer="980" w:top="1100" w:bottom="1160" w:left="980" w:right="0"/>
        </w:sectPr>
      </w:pPr>
    </w:p>
    <w:p>
      <w:pPr>
        <w:spacing w:line="240" w:lineRule="auto" w:before="9"/>
        <w:rPr>
          <w:rFonts w:ascii="宋体" w:hAnsi="宋体" w:cs="宋体" w:eastAsia="宋体" w:hint="default"/>
          <w:sz w:val="18"/>
          <w:szCs w:val="18"/>
        </w:rPr>
      </w:pPr>
    </w:p>
    <w:p>
      <w:pPr>
        <w:pStyle w:val="BodyText"/>
        <w:spacing w:line="357" w:lineRule="auto" w:before="44"/>
        <w:ind w:left="472" w:right="1130" w:firstLine="425"/>
        <w:jc w:val="both"/>
      </w:pPr>
      <w:r>
        <w:rPr/>
        <w:t>李弓先生，汉族，硕士研究生。曾任英超纽卡斯尔足球俱乐部运营主管，中国国际展览中心总裁助理兼销售部经理， </w:t>
      </w:r>
      <w:r>
        <w:rPr>
          <w:spacing w:val="-2"/>
        </w:rPr>
        <w:t>创易网首席商务品牌执行官，北京英特华集团助理总裁及首席商务品牌执行官。现任顺利办信息服务股份有限公司监事，神</w:t>
      </w:r>
      <w:r>
        <w:rPr>
          <w:spacing w:val="-63"/>
        </w:rPr>
        <w:t> </w:t>
      </w:r>
      <w:r>
        <w:rPr>
          <w:spacing w:val="-63"/>
        </w:rPr>
      </w:r>
      <w:r>
        <w:rPr/>
        <w:t>州易桥（北京）财税科技有限公司总裁助理，神州优才人力资源服务有限公司监事。</w:t>
      </w:r>
    </w:p>
    <w:p>
      <w:pPr>
        <w:spacing w:line="240" w:lineRule="auto" w:before="13"/>
        <w:rPr>
          <w:rFonts w:ascii="宋体" w:hAnsi="宋体" w:cs="宋体" w:eastAsia="宋体" w:hint="default"/>
          <w:sz w:val="13"/>
          <w:szCs w:val="13"/>
        </w:rPr>
      </w:pPr>
    </w:p>
    <w:p>
      <w:pPr>
        <w:pStyle w:val="BodyText"/>
        <w:spacing w:line="240" w:lineRule="auto"/>
        <w:ind w:left="898" w:right="1149"/>
        <w:jc w:val="left"/>
      </w:pPr>
      <w:r>
        <w:rPr/>
        <w:t>高级管理人员：</w:t>
      </w:r>
    </w:p>
    <w:p>
      <w:pPr>
        <w:spacing w:line="240" w:lineRule="auto" w:before="9"/>
        <w:rPr>
          <w:rFonts w:ascii="宋体" w:hAnsi="宋体" w:cs="宋体" w:eastAsia="宋体" w:hint="default"/>
          <w:sz w:val="20"/>
          <w:szCs w:val="20"/>
        </w:rPr>
      </w:pPr>
    </w:p>
    <w:p>
      <w:pPr>
        <w:pStyle w:val="BodyText"/>
        <w:spacing w:line="355" w:lineRule="auto"/>
        <w:ind w:left="472" w:right="1149" w:firstLine="425"/>
        <w:jc w:val="left"/>
      </w:pPr>
      <w:r>
        <w:rPr/>
        <w:t>彭聪先生，汉族，在读博士研究生。现任顺利办信息服务股份有限公司董事长、总裁，神州易桥（北京）财税科技有 限公司执行董事，百达永信投资有限公司执行董事。</w:t>
      </w:r>
    </w:p>
    <w:p>
      <w:pPr>
        <w:spacing w:line="240" w:lineRule="auto" w:before="1"/>
        <w:rPr>
          <w:rFonts w:ascii="宋体" w:hAnsi="宋体" w:cs="宋体" w:eastAsia="宋体" w:hint="default"/>
          <w:sz w:val="14"/>
          <w:szCs w:val="14"/>
        </w:rPr>
      </w:pPr>
    </w:p>
    <w:p>
      <w:pPr>
        <w:pStyle w:val="BodyText"/>
        <w:spacing w:line="357" w:lineRule="auto"/>
        <w:ind w:left="472" w:right="1034" w:firstLine="425"/>
        <w:jc w:val="left"/>
      </w:pPr>
      <w:r>
        <w:rPr/>
        <w:t>黄海勇先生，汉族，硕士研究生，中国国民党革命委员会青海省委员会委员。曾任青海大正会计师事务所审计项目经 理，审计部主任、合伙人，青海明胶股份有限公司财务经理。现任顺利办信息服务股份有限公司董事、副总裁、财务总监、 董事会秘书，青海宁达创业投资有限责任公司董事长，吉林省嘉孚化学工业股份有限公司董事。</w:t>
      </w:r>
    </w:p>
    <w:p>
      <w:pPr>
        <w:spacing w:line="240" w:lineRule="auto" w:before="2"/>
        <w:rPr>
          <w:rFonts w:ascii="宋体" w:hAnsi="宋体" w:cs="宋体" w:eastAsia="宋体" w:hint="default"/>
          <w:sz w:val="17"/>
          <w:szCs w:val="17"/>
        </w:rPr>
      </w:pPr>
    </w:p>
    <w:p>
      <w:pPr>
        <w:pStyle w:val="BodyText"/>
        <w:spacing w:line="240" w:lineRule="auto"/>
        <w:ind w:left="472" w:right="1149"/>
        <w:jc w:val="left"/>
      </w:pPr>
      <w:r>
        <w:rPr/>
        <w:t>在股东单位任职情况</w:t>
      </w:r>
    </w:p>
    <w:p>
      <w:pPr>
        <w:pStyle w:val="BodyText"/>
        <w:spacing w:line="240" w:lineRule="auto" w:before="117"/>
        <w:ind w:left="472"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458" w:type="dxa"/>
        <w:tblLayout w:type="fixed"/>
        <w:tblCellMar>
          <w:top w:w="0" w:type="dxa"/>
          <w:left w:w="0" w:type="dxa"/>
          <w:bottom w:w="0" w:type="dxa"/>
          <w:right w:w="0" w:type="dxa"/>
        </w:tblCellMar>
        <w:tblLook w:val="01E0"/>
      </w:tblPr>
      <w:tblGrid>
        <w:gridCol w:w="886"/>
        <w:gridCol w:w="2751"/>
        <w:gridCol w:w="1277"/>
        <w:gridCol w:w="1702"/>
        <w:gridCol w:w="1558"/>
        <w:gridCol w:w="1486"/>
      </w:tblGrid>
      <w:tr>
        <w:trPr>
          <w:trHeight w:val="714" w:hRule="exact"/>
        </w:trPr>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7" w:right="77"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百达永信投资有限公司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天津滨海浙商投资集团有限公司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天津滨海浙商投资集团有限公司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王进</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高级投资经理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left="472" w:right="1149"/>
        <w:jc w:val="left"/>
      </w:pPr>
      <w:r>
        <w:rPr/>
        <w:t>在其他单位任职情况</w:t>
      </w:r>
    </w:p>
    <w:p>
      <w:pPr>
        <w:pStyle w:val="BodyText"/>
        <w:spacing w:line="240" w:lineRule="auto" w:before="115"/>
        <w:ind w:left="472"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852"/>
        <w:gridCol w:w="3289"/>
        <w:gridCol w:w="1541"/>
        <w:gridCol w:w="1584"/>
        <w:gridCol w:w="1702"/>
        <w:gridCol w:w="1375"/>
      </w:tblGrid>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60"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5" w:right="45"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吉林省嘉孚化学工业股份有限公司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西藏华毓创业投资管理有限公司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西藏鼎信电子科技有限公司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青海宏远胶原蛋白肠衣有限公司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柳州市宏升胶原蛋白肠衣有限公司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天津昊娱文化传媒有限公司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霍尔果斯昊娱文化传媒有限公司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洪晟观通（天津）企业管理咨询有限公司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王爱俭</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天津财经大学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王爱俭</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天津市医药集团有限公司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660" w:right="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852"/>
        <w:gridCol w:w="3289"/>
        <w:gridCol w:w="1541"/>
        <w:gridCol w:w="1584"/>
        <w:gridCol w:w="1702"/>
        <w:gridCol w:w="1375"/>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天津劝业场</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苏州兴业材料科技股份有限公司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湖北仰帆控股股份有限公司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福建三钢闽光股份有限公司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天津万科空港置业有限公司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王进</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天津合昶网络科技股份有限公司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王进</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宁波昆仑甬达投资管理有限公司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left="472" w:right="1149"/>
        <w:jc w:val="left"/>
      </w:pPr>
      <w:r>
        <w:rPr/>
        <w:t>公司现任及报告期内离任董事、监事和高级管理人员近三年证券监管机构处罚的情况</w:t>
      </w:r>
    </w:p>
    <w:p>
      <w:pPr>
        <w:pStyle w:val="BodyText"/>
        <w:spacing w:line="240" w:lineRule="auto" w:before="115"/>
        <w:ind w:left="472"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472" w:right="1149"/>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434" w:lineRule="auto"/>
        <w:ind w:left="898" w:right="1148" w:hanging="426"/>
        <w:jc w:val="left"/>
      </w:pPr>
      <w:r>
        <w:rPr/>
        <w:t>董事、监事、高级管理人员报酬的决策程序、确定依据、实际支付情况 决策程序：董事会薪酬与考核委员会向董事会提出董事、监事的津贴方案，董事会审批后报股东大会批准；高级管理</w:t>
      </w:r>
    </w:p>
    <w:p>
      <w:pPr>
        <w:pStyle w:val="BodyText"/>
        <w:spacing w:line="202" w:lineRule="exact"/>
        <w:ind w:left="472" w:right="1149"/>
        <w:jc w:val="left"/>
      </w:pPr>
      <w:r>
        <w:rPr/>
        <w:t>人员薪酬方案经董事会薪酬与考核委员会对绩效进行评价后，报董事会批准。</w:t>
      </w:r>
    </w:p>
    <w:p>
      <w:pPr>
        <w:spacing w:line="240" w:lineRule="auto" w:before="9"/>
        <w:rPr>
          <w:rFonts w:ascii="宋体" w:hAnsi="宋体" w:cs="宋体" w:eastAsia="宋体" w:hint="default"/>
          <w:sz w:val="20"/>
          <w:szCs w:val="20"/>
        </w:rPr>
      </w:pPr>
    </w:p>
    <w:p>
      <w:pPr>
        <w:pStyle w:val="BodyText"/>
        <w:spacing w:line="516" w:lineRule="auto"/>
        <w:ind w:left="898" w:right="1148"/>
        <w:jc w:val="left"/>
      </w:pPr>
      <w:r>
        <w:rPr/>
        <w:t>确定依据：董事会及股东大会审议通过的公司董（监）事、独立董事津贴方案。 支付情况：董事、监事的津贴依据股东大会批准的方案按季度发放；高级管理人员的薪酬按公司薪酬管理制度发放。</w:t>
      </w:r>
    </w:p>
    <w:p>
      <w:pPr>
        <w:pStyle w:val="BodyText"/>
        <w:spacing w:line="240" w:lineRule="auto" w:before="104"/>
        <w:ind w:left="472" w:right="1149"/>
        <w:jc w:val="left"/>
      </w:pPr>
      <w:r>
        <w:rPr/>
        <w:t>公司报告期内董事、监事和高级管理人员报酬情况</w:t>
      </w:r>
    </w:p>
    <w:p>
      <w:pPr>
        <w:pStyle w:val="BodyText"/>
        <w:spacing w:line="240" w:lineRule="auto" w:before="117"/>
        <w:ind w:left="0" w:right="1131"/>
        <w:jc w:val="right"/>
      </w:pPr>
      <w:r>
        <w:rPr/>
        <w:pict>
          <v:group style="position:absolute;margin-left:220.009995pt;margin-top:79.381714pt;width:56.3pt;height:28pt;mso-position-horizontal-relative:page;mso-position-vertical-relative:paragraph;z-index:-1013248" coordorigin="4400,1588" coordsize="1126,560">
            <v:group style="position:absolute;left:4400;top:1588;width:1126;height:156" coordorigin="4400,1588" coordsize="1126,156">
              <v:shape style="position:absolute;left:4400;top:1588;width:1126;height:156" coordorigin="4400,1588" coordsize="1126,156" path="m4400,1744l5526,1744,5526,1588,4400,1588,4400,1744xe" filled="true" fillcolor="#ffffff" stroked="false">
                <v:path arrowok="t"/>
                <v:fill type="solid"/>
              </v:shape>
            </v:group>
            <v:group style="position:absolute;left:4412;top:1744;width:2;height:392" coordorigin="4412,1744" coordsize="2,392">
              <v:shape style="position:absolute;left:4412;top:1744;width:2;height:392" coordorigin="4412,1744" coordsize="0,392" path="m4412,1744l4412,2135e" filled="false" stroked="true" strokeweight="1.2pt" strokecolor="#ffffff">
                <v:path arrowok="t"/>
              </v:shape>
            </v:group>
            <v:group style="position:absolute;left:4424;top:1744;width:1078;height:392" coordorigin="4424,1744" coordsize="1078,392">
              <v:shape style="position:absolute;left:4424;top:1744;width:1078;height:392" coordorigin="4424,1744" coordsize="1078,392" path="m4424,2135l5502,2135,5502,1744,4424,1744,4424,2135xe" filled="true" fillcolor="#ffffff" stroked="false">
                <v:path arrowok="t"/>
                <v:fill type="solid"/>
              </v:shape>
            </v:group>
            <w10:wrap type="none"/>
          </v:group>
        </w:pict>
      </w:r>
      <w:r>
        <w:rPr/>
        <w:t>单位：万元</w:t>
      </w:r>
    </w:p>
    <w:p>
      <w:pPr>
        <w:spacing w:line="240" w:lineRule="auto" w:before="4"/>
        <w:rPr>
          <w:rFonts w:ascii="宋体" w:hAnsi="宋体" w:cs="宋体" w:eastAsia="宋体" w:hint="default"/>
          <w:sz w:val="8"/>
          <w:szCs w:val="8"/>
        </w:rPr>
      </w:pPr>
    </w:p>
    <w:tbl>
      <w:tblPr>
        <w:tblW w:w="0" w:type="auto"/>
        <w:jc w:val="left"/>
        <w:tblInd w:w="467" w:type="dxa"/>
        <w:tblLayout w:type="fixed"/>
        <w:tblCellMar>
          <w:top w:w="0" w:type="dxa"/>
          <w:left w:w="0" w:type="dxa"/>
          <w:bottom w:w="0" w:type="dxa"/>
          <w:right w:w="0" w:type="dxa"/>
        </w:tblCellMar>
        <w:tblLook w:val="01E0"/>
      </w:tblPr>
      <w:tblGrid>
        <w:gridCol w:w="1136"/>
        <w:gridCol w:w="2127"/>
        <w:gridCol w:w="1133"/>
        <w:gridCol w:w="1136"/>
        <w:gridCol w:w="1366"/>
        <w:gridCol w:w="1369"/>
        <w:gridCol w:w="1368"/>
      </w:tblGrid>
      <w:tr>
        <w:trPr>
          <w:trHeight w:val="714"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50"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董事、董事长、总裁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董事、副总裁、财务总监 董事会秘书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王爱俭</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关旭星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王进</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李弓</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472" w:right="1149"/>
        <w:jc w:val="left"/>
      </w:pPr>
      <w:r>
        <w:rPr/>
        <w:t>公司董事、高级管理人员报告期内被授予的股权激励情况</w:t>
      </w:r>
    </w:p>
    <w:p>
      <w:pPr>
        <w:pStyle w:val="BodyText"/>
        <w:spacing w:line="240" w:lineRule="auto" w:before="114"/>
        <w:ind w:left="472"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66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bookmarkStart w:name="五、公司员工情况" w:id="131"/>
      <w:bookmarkEnd w:id="131"/>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员工数量、专业构成及教育程度" w:id="132"/>
      <w:bookmarkEnd w:id="13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2,143</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2,143</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2,143</w:t>
            </w:r>
          </w:p>
        </w:tc>
      </w:tr>
    </w:tbl>
    <w:p>
      <w:pPr>
        <w:pStyle w:val="BodyText"/>
        <w:spacing w:line="240" w:lineRule="auto" w:before="49"/>
        <w:ind w:right="1133"/>
        <w:jc w:val="left"/>
      </w:pPr>
      <w:r>
        <w:rPr/>
        <w:t>注：上表中的数量指全日制用工劳动关系的员工。</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薪酬政策" w:id="133"/>
      <w:bookmarkEnd w:id="13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left"/>
      </w:pPr>
      <w:r>
        <w:rPr>
          <w:spacing w:val="-2"/>
        </w:rPr>
        <w:t>公司薪酬管理遵循按价值分配、效率优先、兼顾公平及可持续发展的原则，针对各子公司不同区域、行业特点，灵活制订相</w:t>
      </w:r>
      <w:r>
        <w:rPr>
          <w:spacing w:val="-67"/>
        </w:rPr>
        <w:t> </w:t>
      </w:r>
      <w:r>
        <w:rPr>
          <w:spacing w:val="-67"/>
        </w:rPr>
      </w:r>
      <w:r>
        <w:rPr/>
        <w:t>应的薪酬分配形式，并通过整体调薪、个别调薪等薪酬动态管理模式，使员工与公司同步分享公司发展带来的收益。</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3、培训计划" w:id="134"/>
      <w:bookmarkEnd w:id="13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jc w:val="left"/>
      </w:pPr>
      <w:r>
        <w:rPr>
          <w:spacing w:val="-2"/>
        </w:rPr>
        <w:t>公司培训主要分为入职培训、在职培训两大类，依据公司发展战略、经营目标及各部门培训需求、培训费用估算等，制定并</w:t>
      </w:r>
      <w:r>
        <w:rPr>
          <w:spacing w:val="-67"/>
        </w:rPr>
        <w:t> </w:t>
      </w:r>
      <w:r>
        <w:rPr>
          <w:spacing w:val="-67"/>
        </w:rPr>
      </w:r>
      <w:r>
        <w:rPr/>
        <w:t>执行年度培训计划，采用内外结合的培训方式，多层次、多渠道、多领域地加强员工培训工作。</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劳务外包情况" w:id="135"/>
      <w:bookmarkEnd w:id="13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4069" w:right="4807"/>
        <w:jc w:val="center"/>
        <w:rPr>
          <w:b w:val="0"/>
          <w:bCs w:val="0"/>
        </w:rPr>
      </w:pPr>
      <w:bookmarkStart w:name="第十节公司治理" w:id="136"/>
      <w:bookmarkEnd w:id="136"/>
      <w:r>
        <w:rPr>
          <w:b w:val="0"/>
          <w:bCs w:val="0"/>
        </w:rPr>
      </w:r>
      <w:bookmarkStart w:name="_bookmark8" w:id="137"/>
      <w:bookmarkEnd w:id="137"/>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392" w:right="0"/>
        <w:jc w:val="left"/>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2"/>
        <w:rPr>
          <w:rFonts w:ascii="宋体" w:hAnsi="宋体" w:cs="宋体" w:eastAsia="宋体" w:hint="default"/>
          <w:b/>
          <w:bCs/>
          <w:sz w:val="23"/>
          <w:szCs w:val="23"/>
        </w:rPr>
      </w:pPr>
    </w:p>
    <w:p>
      <w:pPr>
        <w:pStyle w:val="BodyText"/>
        <w:spacing w:line="357" w:lineRule="auto"/>
        <w:ind w:left="392" w:right="1133" w:firstLine="425"/>
        <w:jc w:val="both"/>
      </w:pPr>
      <w:r>
        <w:rPr/>
        <w:t>公司严格按照《上市公司治理准则》、《公司法》、《证券法》、中国证监会、青海证监局以及深圳证券交易所的有 </w:t>
      </w:r>
      <w:r>
        <w:rPr>
          <w:spacing w:val="-2"/>
        </w:rPr>
        <w:t>关要求，不断完善公司法人治理结构，进一步强化内部控制，规范公司运作，认真履行信息披露义务。报告期内，公司治理</w:t>
      </w:r>
      <w:r>
        <w:rPr>
          <w:spacing w:val="-68"/>
        </w:rPr>
        <w:t> </w:t>
      </w:r>
      <w:r>
        <w:rPr>
          <w:spacing w:val="-68"/>
        </w:rPr>
      </w:r>
      <w:r>
        <w:rPr/>
        <w:t>的实际情况与中国证监会发布的有关上市公司治理的规范性文件要求基本一致。</w:t>
      </w:r>
    </w:p>
    <w:p>
      <w:pPr>
        <w:spacing w:line="240" w:lineRule="auto" w:before="1"/>
        <w:rPr>
          <w:rFonts w:ascii="宋体" w:hAnsi="宋体" w:cs="宋体" w:eastAsia="宋体" w:hint="default"/>
          <w:sz w:val="17"/>
          <w:szCs w:val="17"/>
        </w:rPr>
      </w:pPr>
    </w:p>
    <w:p>
      <w:pPr>
        <w:pStyle w:val="BodyText"/>
        <w:spacing w:line="240" w:lineRule="auto"/>
        <w:ind w:left="392" w:right="0"/>
        <w:jc w:val="left"/>
      </w:pPr>
      <w:r>
        <w:rPr/>
        <w:t>公司治理的实际状况与中国证监会发布的有关上市公司治理的规范性文件是否存在重大差异</w:t>
      </w:r>
    </w:p>
    <w:p>
      <w:pPr>
        <w:pStyle w:val="BodyText"/>
        <w:spacing w:line="340" w:lineRule="auto" w:before="115"/>
        <w:ind w:left="392"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left="392" w:right="0"/>
        <w:jc w:val="left"/>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left="392" w:right="1165" w:firstLine="425"/>
        <w:jc w:val="both"/>
      </w:pPr>
      <w:r>
        <w:rPr/>
        <w:t>公司法人治理结构健全，在业务、人员、资产、机构、财务等方面与控股股东完全分开，具有独立完整的业务及自主 经营能力。</w:t>
      </w:r>
    </w:p>
    <w:p>
      <w:pPr>
        <w:spacing w:line="240" w:lineRule="auto" w:before="10"/>
        <w:rPr>
          <w:rFonts w:ascii="宋体" w:hAnsi="宋体" w:cs="宋体" w:eastAsia="宋体" w:hint="default"/>
          <w:sz w:val="13"/>
          <w:szCs w:val="13"/>
        </w:rPr>
      </w:pPr>
    </w:p>
    <w:p>
      <w:pPr>
        <w:pStyle w:val="BodyText"/>
        <w:spacing w:line="240" w:lineRule="auto"/>
        <w:ind w:left="818" w:right="0"/>
        <w:jc w:val="left"/>
      </w:pPr>
      <w:r>
        <w:rPr>
          <w:rFonts w:ascii="宋体" w:hAnsi="宋体" w:cs="宋体" w:eastAsia="宋体" w:hint="default"/>
        </w:rPr>
        <w:t>1</w:t>
      </w:r>
      <w:r>
        <w:rPr/>
        <w:t>、业务独立：公司具有独立完整的业务及自主经营能力，控股股东不存在直接或间接干预公司经营活动的情况。</w:t>
      </w:r>
    </w:p>
    <w:p>
      <w:pPr>
        <w:spacing w:line="240" w:lineRule="auto" w:before="9"/>
        <w:rPr>
          <w:rFonts w:ascii="宋体" w:hAnsi="宋体" w:cs="宋体" w:eastAsia="宋体" w:hint="default"/>
          <w:sz w:val="20"/>
          <w:szCs w:val="20"/>
        </w:rPr>
      </w:pPr>
    </w:p>
    <w:p>
      <w:pPr>
        <w:pStyle w:val="BodyText"/>
        <w:spacing w:line="240" w:lineRule="auto"/>
        <w:ind w:left="818" w:right="0"/>
        <w:jc w:val="left"/>
      </w:pPr>
      <w:r>
        <w:rPr>
          <w:rFonts w:ascii="宋体" w:hAnsi="宋体" w:cs="宋体" w:eastAsia="宋体" w:hint="default"/>
        </w:rPr>
        <w:t>2</w:t>
      </w:r>
      <w:r>
        <w:rPr/>
        <w:t>、人员独立：公司与控股股东在劳动、人事及工资管理等方面相互独立，有独立完善的人力管理体系。</w:t>
      </w:r>
    </w:p>
    <w:p>
      <w:pPr>
        <w:spacing w:line="240" w:lineRule="auto" w:before="9"/>
        <w:rPr>
          <w:rFonts w:ascii="宋体" w:hAnsi="宋体" w:cs="宋体" w:eastAsia="宋体" w:hint="default"/>
          <w:sz w:val="20"/>
          <w:szCs w:val="20"/>
        </w:rPr>
      </w:pPr>
    </w:p>
    <w:p>
      <w:pPr>
        <w:pStyle w:val="BodyText"/>
        <w:spacing w:line="357" w:lineRule="auto"/>
        <w:ind w:left="392" w:right="1135" w:firstLine="425"/>
        <w:jc w:val="both"/>
      </w:pPr>
      <w:r>
        <w:rPr>
          <w:rFonts w:ascii="宋体" w:hAnsi="宋体" w:cs="宋体" w:eastAsia="宋体" w:hint="default"/>
          <w:spacing w:val="-2"/>
        </w:rPr>
        <w:t>3</w:t>
      </w:r>
      <w:r>
        <w:rPr>
          <w:spacing w:val="-2"/>
        </w:rPr>
        <w:t>、资产独立：公司具有独立完整的资产，公司的资产全部处于公司的控制之下，并为公司独立拥有和运营。公司不存</w:t>
      </w:r>
      <w:r>
        <w:rPr/>
        <w:t> 在资金、资产被控股股东占用的情形。</w:t>
      </w:r>
    </w:p>
    <w:p>
      <w:pPr>
        <w:spacing w:line="240" w:lineRule="auto" w:before="13"/>
        <w:rPr>
          <w:rFonts w:ascii="宋体" w:hAnsi="宋体" w:cs="宋体" w:eastAsia="宋体" w:hint="default"/>
          <w:sz w:val="13"/>
          <w:szCs w:val="13"/>
        </w:rPr>
      </w:pPr>
    </w:p>
    <w:p>
      <w:pPr>
        <w:pStyle w:val="BodyText"/>
        <w:spacing w:line="357" w:lineRule="auto"/>
        <w:ind w:left="392" w:right="1135" w:firstLine="425"/>
        <w:jc w:val="both"/>
      </w:pPr>
      <w:r>
        <w:rPr>
          <w:rFonts w:ascii="宋体" w:hAnsi="宋体" w:cs="宋体" w:eastAsia="宋体" w:hint="default"/>
          <w:spacing w:val="-2"/>
        </w:rPr>
        <w:t>4</w:t>
      </w:r>
      <w:r>
        <w:rPr>
          <w:spacing w:val="-2"/>
        </w:rPr>
        <w:t>、机构独立：公司生产经营及办公机构与控股股东完全分开，设立了健全的组织机构体系，董事会、监事会及其他内</w:t>
      </w:r>
      <w:r>
        <w:rPr/>
        <w:t> 部机构独立运作。控股股东及其职能部门与公司及其职能部门之间不存在从属关系。</w:t>
      </w:r>
    </w:p>
    <w:p>
      <w:pPr>
        <w:spacing w:line="240" w:lineRule="auto" w:before="13"/>
        <w:rPr>
          <w:rFonts w:ascii="宋体" w:hAnsi="宋体" w:cs="宋体" w:eastAsia="宋体" w:hint="default"/>
          <w:sz w:val="13"/>
          <w:szCs w:val="13"/>
        </w:rPr>
      </w:pPr>
    </w:p>
    <w:p>
      <w:pPr>
        <w:pStyle w:val="BodyText"/>
        <w:spacing w:line="357" w:lineRule="auto"/>
        <w:ind w:left="392" w:right="1132" w:firstLine="425"/>
        <w:jc w:val="both"/>
      </w:pPr>
      <w:r>
        <w:rPr>
          <w:rFonts w:ascii="宋体" w:hAnsi="宋体" w:cs="宋体" w:eastAsia="宋体" w:hint="default"/>
          <w:spacing w:val="-2"/>
        </w:rPr>
        <w:t>5</w:t>
      </w:r>
      <w:r>
        <w:rPr>
          <w:spacing w:val="-2"/>
        </w:rPr>
        <w:t>、财务独立：公司设有独立的财务部门，配备了充足的专职财务会计人员，并建立了独立的会计核算体系和财务管理</w:t>
      </w:r>
      <w:r>
        <w:rPr/>
        <w:t> 制度。不存在控股股东干预公司财务、会计活动的情况。</w:t>
      </w:r>
    </w:p>
    <w:p>
      <w:pPr>
        <w:spacing w:line="240" w:lineRule="auto" w:before="7"/>
        <w:rPr>
          <w:rFonts w:ascii="宋体" w:hAnsi="宋体" w:cs="宋体" w:eastAsia="宋体" w:hint="default"/>
          <w:sz w:val="24"/>
          <w:szCs w:val="24"/>
        </w:rPr>
      </w:pPr>
    </w:p>
    <w:p>
      <w:pPr>
        <w:pStyle w:val="Heading2"/>
        <w:spacing w:line="240" w:lineRule="auto"/>
        <w:ind w:left="392" w:right="0"/>
        <w:jc w:val="left"/>
        <w:rPr>
          <w:b w:val="0"/>
          <w:bCs w:val="0"/>
        </w:rPr>
      </w:pPr>
      <w:bookmarkStart w:name="三、同业竞争情况" w:id="140"/>
      <w:bookmarkEnd w:id="140"/>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92" w:right="0"/>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92" w:right="0"/>
        <w:jc w:val="left"/>
        <w:rPr>
          <w:b w:val="0"/>
          <w:bCs w:val="0"/>
        </w:rPr>
      </w:pPr>
      <w:bookmarkStart w:name="1、本报告期股东大会情况" w:id="142"/>
      <w:bookmarkEnd w:id="14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2" w:type="dxa"/>
        <w:tblLayout w:type="fixed"/>
        <w:tblCellMar>
          <w:top w:w="0" w:type="dxa"/>
          <w:left w:w="0" w:type="dxa"/>
          <w:bottom w:w="0" w:type="dxa"/>
          <w:right w:w="0" w:type="dxa"/>
        </w:tblCellMar>
        <w:tblLook w:val="01E0"/>
      </w:tblPr>
      <w:tblGrid>
        <w:gridCol w:w="1596"/>
        <w:gridCol w:w="1241"/>
        <w:gridCol w:w="1594"/>
        <w:gridCol w:w="1594"/>
        <w:gridCol w:w="1594"/>
        <w:gridCol w:w="2593"/>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年度股东大会决议公告》</w:t>
            </w:r>
          </w:p>
          <w:p>
            <w:pPr>
              <w:pStyle w:val="TableParagraph"/>
              <w:spacing w:line="309" w:lineRule="auto" w:before="63"/>
              <w:ind w:left="23" w:right="3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2019-028</w:t>
            </w:r>
            <w:r>
              <w:rPr>
                <w:rFonts w:ascii="宋体" w:hAnsi="宋体" w:cs="宋体" w:eastAsia="宋体" w:hint="default"/>
                <w:sz w:val="18"/>
                <w:szCs w:val="18"/>
              </w:rPr>
              <w:t>）刊载于《中国证券 </w:t>
            </w:r>
            <w:r>
              <w:rPr>
                <w:rFonts w:ascii="宋体" w:hAnsi="宋体" w:cs="宋体" w:eastAsia="宋体" w:hint="default"/>
                <w:spacing w:val="-23"/>
                <w:sz w:val="18"/>
                <w:szCs w:val="18"/>
              </w:rPr>
              <w:t>报》、《证券时报》、《证券日报》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和巨潮资讯网</w:t>
            </w:r>
          </w:p>
        </w:tc>
      </w:tr>
    </w:tbl>
    <w:p>
      <w:pPr>
        <w:spacing w:after="0" w:line="309" w:lineRule="auto"/>
        <w:jc w:val="both"/>
        <w:rPr>
          <w:rFonts w:ascii="宋体" w:hAnsi="宋体" w:cs="宋体" w:eastAsia="宋体" w:hint="default"/>
          <w:sz w:val="18"/>
          <w:szCs w:val="18"/>
        </w:rPr>
        <w:sectPr>
          <w:pgSz w:w="11910" w:h="16840"/>
          <w:pgMar w:header="877" w:footer="980" w:top="1100" w:bottom="1160" w:left="740" w:right="0"/>
        </w:sectPr>
      </w:pPr>
    </w:p>
    <w:p>
      <w:pPr>
        <w:spacing w:line="240" w:lineRule="auto" w:before="8"/>
        <w:rPr>
          <w:rFonts w:ascii="宋体" w:hAnsi="宋体" w:cs="宋体" w:eastAsia="宋体" w:hint="default"/>
          <w:b/>
          <w:bCs/>
          <w:sz w:val="24"/>
          <w:szCs w:val="24"/>
        </w:rPr>
      </w:pPr>
    </w:p>
    <w:tbl>
      <w:tblPr>
        <w:tblW w:w="0" w:type="auto"/>
        <w:jc w:val="left"/>
        <w:tblInd w:w="102" w:type="dxa"/>
        <w:tblLayout w:type="fixed"/>
        <w:tblCellMar>
          <w:top w:w="0" w:type="dxa"/>
          <w:left w:w="0" w:type="dxa"/>
          <w:bottom w:w="0" w:type="dxa"/>
          <w:right w:w="0" w:type="dxa"/>
        </w:tblCellMar>
        <w:tblLook w:val="01E0"/>
      </w:tblPr>
      <w:tblGrid>
        <w:gridCol w:w="1596"/>
        <w:gridCol w:w="1241"/>
        <w:gridCol w:w="1594"/>
        <w:gridCol w:w="1594"/>
        <w:gridCol w:w="1594"/>
        <w:gridCol w:w="2593"/>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 </w:t>
            </w:r>
            <w:r>
              <w:rPr>
                <w:rFonts w:ascii="宋体" w:hAnsi="宋体" w:cs="宋体" w:eastAsia="宋体" w:hint="default"/>
                <w:spacing w:val="-16"/>
                <w:sz w:val="18"/>
                <w:szCs w:val="18"/>
              </w:rPr>
              <w:t>决议公告》（</w:t>
            </w:r>
            <w:r>
              <w:rPr>
                <w:rFonts w:ascii="Times New Roman" w:hAnsi="Times New Roman" w:cs="Times New Roman" w:eastAsia="Times New Roman" w:hint="default"/>
                <w:spacing w:val="-16"/>
                <w:sz w:val="18"/>
                <w:szCs w:val="18"/>
              </w:rPr>
              <w:t>2019-044</w:t>
            </w:r>
            <w:r>
              <w:rPr>
                <w:rFonts w:ascii="宋体" w:hAnsi="宋体" w:cs="宋体" w:eastAsia="宋体" w:hint="default"/>
                <w:spacing w:val="-16"/>
                <w:sz w:val="18"/>
                <w:szCs w:val="18"/>
              </w:rPr>
              <w:t>）刊载于《中</w:t>
            </w:r>
            <w:r>
              <w:rPr>
                <w:rFonts w:ascii="宋体" w:hAnsi="宋体" w:cs="宋体" w:eastAsia="宋体" w:hint="default"/>
                <w:sz w:val="18"/>
                <w:szCs w:val="18"/>
              </w:rPr>
              <w:t> </w:t>
            </w:r>
            <w:r>
              <w:rPr>
                <w:rFonts w:ascii="宋体" w:hAnsi="宋体" w:cs="宋体" w:eastAsia="宋体" w:hint="default"/>
                <w:spacing w:val="-23"/>
                <w:sz w:val="18"/>
                <w:szCs w:val="18"/>
              </w:rPr>
              <w:t>国证券报》、《证券时报》、《证券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日报》和巨潮资讯网</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 </w:t>
            </w:r>
            <w:r>
              <w:rPr>
                <w:rFonts w:ascii="宋体" w:hAnsi="宋体" w:cs="宋体" w:eastAsia="宋体" w:hint="default"/>
                <w:spacing w:val="-16"/>
                <w:sz w:val="18"/>
                <w:szCs w:val="18"/>
              </w:rPr>
              <w:t>决议公告》（</w:t>
            </w:r>
            <w:r>
              <w:rPr>
                <w:rFonts w:ascii="Times New Roman" w:hAnsi="Times New Roman" w:cs="Times New Roman" w:eastAsia="Times New Roman" w:hint="default"/>
                <w:spacing w:val="-16"/>
                <w:sz w:val="18"/>
                <w:szCs w:val="18"/>
              </w:rPr>
              <w:t>2019-055</w:t>
            </w:r>
            <w:r>
              <w:rPr>
                <w:rFonts w:ascii="宋体" w:hAnsi="宋体" w:cs="宋体" w:eastAsia="宋体" w:hint="default"/>
                <w:spacing w:val="-16"/>
                <w:sz w:val="18"/>
                <w:szCs w:val="18"/>
              </w:rPr>
              <w:t>）刊载于《中</w:t>
            </w:r>
            <w:r>
              <w:rPr>
                <w:rFonts w:ascii="宋体" w:hAnsi="宋体" w:cs="宋体" w:eastAsia="宋体" w:hint="default"/>
                <w:sz w:val="18"/>
                <w:szCs w:val="18"/>
              </w:rPr>
              <w:t> </w:t>
            </w:r>
            <w:r>
              <w:rPr>
                <w:rFonts w:ascii="宋体" w:hAnsi="宋体" w:cs="宋体" w:eastAsia="宋体" w:hint="default"/>
                <w:spacing w:val="-23"/>
                <w:sz w:val="18"/>
                <w:szCs w:val="18"/>
              </w:rPr>
              <w:t>国证券报》、《证券时报》、《证券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日报》和巨潮资讯网</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 </w:t>
            </w:r>
            <w:r>
              <w:rPr>
                <w:rFonts w:ascii="宋体" w:hAnsi="宋体" w:cs="宋体" w:eastAsia="宋体" w:hint="default"/>
                <w:spacing w:val="-16"/>
                <w:sz w:val="18"/>
                <w:szCs w:val="18"/>
              </w:rPr>
              <w:t>决议公告》（</w:t>
            </w:r>
            <w:r>
              <w:rPr>
                <w:rFonts w:ascii="Times New Roman" w:hAnsi="Times New Roman" w:cs="Times New Roman" w:eastAsia="Times New Roman" w:hint="default"/>
                <w:spacing w:val="-16"/>
                <w:sz w:val="18"/>
                <w:szCs w:val="18"/>
              </w:rPr>
              <w:t>2019-074</w:t>
            </w:r>
            <w:r>
              <w:rPr>
                <w:rFonts w:ascii="宋体" w:hAnsi="宋体" w:cs="宋体" w:eastAsia="宋体" w:hint="default"/>
                <w:spacing w:val="-16"/>
                <w:sz w:val="18"/>
                <w:szCs w:val="18"/>
              </w:rPr>
              <w:t>）刊载于《中</w:t>
            </w:r>
            <w:r>
              <w:rPr>
                <w:rFonts w:ascii="宋体" w:hAnsi="宋体" w:cs="宋体" w:eastAsia="宋体" w:hint="default"/>
                <w:sz w:val="18"/>
                <w:szCs w:val="18"/>
              </w:rPr>
              <w:t> </w:t>
            </w:r>
            <w:r>
              <w:rPr>
                <w:rFonts w:ascii="宋体" w:hAnsi="宋体" w:cs="宋体" w:eastAsia="宋体" w:hint="default"/>
                <w:spacing w:val="-23"/>
                <w:sz w:val="18"/>
                <w:szCs w:val="18"/>
              </w:rPr>
              <w:t>国证券报》、《证券时报》、《证券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日报》和巨潮资讯网</w:t>
            </w:r>
          </w:p>
        </w:tc>
      </w:tr>
    </w:tbl>
    <w:p>
      <w:pPr>
        <w:spacing w:line="240" w:lineRule="auto" w:before="3"/>
        <w:rPr>
          <w:rFonts w:ascii="宋体" w:hAnsi="宋体" w:cs="宋体" w:eastAsia="宋体" w:hint="default"/>
          <w:b/>
          <w:bCs/>
          <w:sz w:val="19"/>
          <w:szCs w:val="19"/>
        </w:rPr>
      </w:pPr>
    </w:p>
    <w:p>
      <w:pPr>
        <w:pStyle w:val="Heading3"/>
        <w:spacing w:line="240" w:lineRule="auto" w:before="36"/>
        <w:ind w:left="392" w:right="0"/>
        <w:jc w:val="left"/>
        <w:rPr>
          <w:b w:val="0"/>
          <w:bCs w:val="0"/>
        </w:rPr>
      </w:pPr>
      <w:bookmarkStart w:name="2、表决权恢复的优先股股东请求召开临时股东大会" w:id="143"/>
      <w:bookmarkEnd w:id="14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92" w:right="0"/>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92" w:right="0"/>
        <w:jc w:val="left"/>
        <w:rPr>
          <w:b w:val="0"/>
          <w:bCs w:val="0"/>
        </w:rPr>
      </w:pPr>
      <w:bookmarkStart w:name="1、独立董事出席董事会及股东大会的情况" w:id="145"/>
      <w:bookmarkEnd w:id="14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387"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王爱俭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关旭星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49"/>
        <w:ind w:left="392" w:right="8054"/>
        <w:jc w:val="left"/>
      </w:pPr>
      <w:r>
        <w:rPr/>
        <w:t>连续两次未亲自出席董事会的说明 不适用</w:t>
      </w:r>
    </w:p>
    <w:p>
      <w:pPr>
        <w:spacing w:line="240" w:lineRule="auto" w:before="6"/>
        <w:rPr>
          <w:rFonts w:ascii="宋体" w:hAnsi="宋体" w:cs="宋体" w:eastAsia="宋体" w:hint="default"/>
          <w:sz w:val="20"/>
          <w:szCs w:val="20"/>
        </w:rPr>
      </w:pPr>
    </w:p>
    <w:p>
      <w:pPr>
        <w:pStyle w:val="Heading3"/>
        <w:spacing w:line="240" w:lineRule="auto"/>
        <w:ind w:left="392" w:right="0"/>
        <w:jc w:val="left"/>
        <w:rPr>
          <w:b w:val="0"/>
          <w:bCs w:val="0"/>
        </w:rPr>
      </w:pPr>
      <w:bookmarkStart w:name="2、独立董事对公司有关事项提出异议的情况" w:id="146"/>
      <w:bookmarkEnd w:id="14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392" w:right="0"/>
        <w:jc w:val="left"/>
      </w:pPr>
      <w:r>
        <w:rPr/>
        <w:t>独立董事对公司有关事项是否提出异议</w:t>
      </w:r>
    </w:p>
    <w:p>
      <w:pPr>
        <w:pStyle w:val="BodyText"/>
        <w:spacing w:line="340" w:lineRule="auto" w:before="115"/>
        <w:ind w:left="392"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left="392" w:right="0"/>
        <w:jc w:val="left"/>
        <w:rPr>
          <w:b w:val="0"/>
          <w:bCs w:val="0"/>
        </w:rPr>
      </w:pPr>
      <w:bookmarkStart w:name="3、独立董事履行职责的其他说明" w:id="147"/>
      <w:bookmarkEnd w:id="14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0"/>
        <w:jc w:val="left"/>
      </w:pPr>
      <w:r>
        <w:rPr/>
        <w:t>独立董事对公司有关建议是否被采纳</w:t>
      </w:r>
    </w:p>
    <w:p>
      <w:pPr>
        <w:pStyle w:val="BodyText"/>
        <w:spacing w:line="340" w:lineRule="auto" w:before="114"/>
        <w:ind w:left="392"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spacing w:after="0" w:line="340" w:lineRule="auto"/>
        <w:jc w:val="left"/>
        <w:sectPr>
          <w:pgSz w:w="11910" w:h="16840"/>
          <w:pgMar w:header="877" w:footer="980" w:top="1100" w:bottom="1160" w:left="74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不适用</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pStyle w:val="BodyText"/>
        <w:spacing w:line="500" w:lineRule="atLeast" w:before="41"/>
        <w:ind w:left="578" w:right="1148"/>
        <w:jc w:val="left"/>
      </w:pPr>
      <w:r>
        <w:rPr>
          <w:rFonts w:ascii="宋体" w:hAnsi="宋体" w:cs="宋体" w:eastAsia="宋体" w:hint="default"/>
        </w:rPr>
        <w:t>1</w:t>
      </w:r>
      <w:r>
        <w:rPr/>
        <w:t>、发展战略委员会 根据《公司章程》、《董事会议事规则》、《发展战略委员会工作细则》的有关规定，发展战略委员会对公司筹划非</w:t>
      </w:r>
    </w:p>
    <w:p>
      <w:pPr>
        <w:pStyle w:val="BodyText"/>
        <w:spacing w:line="357" w:lineRule="auto" w:before="115"/>
        <w:ind w:right="1034"/>
        <w:jc w:val="left"/>
      </w:pPr>
      <w:r>
        <w:rPr/>
        <w:t>公开发行股票事项从股票发行数量、发行对象、募集资金安排等方面进行了研讨，认为公司应充分发挥资本市场融资功能， </w:t>
      </w:r>
      <w:r>
        <w:rPr>
          <w:spacing w:val="-2"/>
        </w:rPr>
        <w:t>积极拓宽融资渠道，进一步满足公司业务发展的资金需求，改善财务状况，优化资产结构，增强公司持续经营能力和综合竞</w:t>
      </w:r>
      <w:r>
        <w:rPr>
          <w:spacing w:val="-65"/>
        </w:rPr>
        <w:t> </w:t>
      </w:r>
      <w:r>
        <w:rPr>
          <w:spacing w:val="-65"/>
        </w:rPr>
      </w:r>
      <w:r>
        <w:rPr/>
        <w:t>争力。</w:t>
      </w:r>
    </w:p>
    <w:p>
      <w:pPr>
        <w:spacing w:line="240" w:lineRule="auto" w:before="13"/>
        <w:rPr>
          <w:rFonts w:ascii="宋体" w:hAnsi="宋体" w:cs="宋体" w:eastAsia="宋体" w:hint="default"/>
          <w:sz w:val="13"/>
          <w:szCs w:val="13"/>
        </w:rPr>
      </w:pPr>
    </w:p>
    <w:p>
      <w:pPr>
        <w:pStyle w:val="BodyText"/>
        <w:spacing w:line="357" w:lineRule="auto"/>
        <w:ind w:right="1130" w:firstLine="425"/>
        <w:jc w:val="both"/>
      </w:pPr>
      <w:r>
        <w:rPr/>
        <w:t>另外，发展战略委员会对报告期内公司部分募集资金投资项目结项以及部分募集资金投资项目终止的情况进行了充分 </w:t>
      </w:r>
      <w:r>
        <w:rPr>
          <w:spacing w:val="-2"/>
        </w:rPr>
        <w:t>了解，认为募集资金投资项目结项、终止并将剩余募集资金永久补充流动资金有利于公司整体发展，有利于提高募集资金使</w:t>
      </w:r>
      <w:r>
        <w:rPr>
          <w:spacing w:val="-63"/>
        </w:rPr>
        <w:t> </w:t>
      </w:r>
      <w:r>
        <w:rPr>
          <w:spacing w:val="-63"/>
        </w:rPr>
      </w:r>
      <w:r>
        <w:rPr/>
        <w:t>用效率，不存在损害广大股东特别是中小股东利益的情形。</w:t>
      </w:r>
    </w:p>
    <w:p>
      <w:pPr>
        <w:spacing w:line="240" w:lineRule="auto" w:before="13"/>
        <w:rPr>
          <w:rFonts w:ascii="宋体" w:hAnsi="宋体" w:cs="宋体" w:eastAsia="宋体" w:hint="default"/>
          <w:sz w:val="13"/>
          <w:szCs w:val="13"/>
        </w:rPr>
      </w:pPr>
    </w:p>
    <w:p>
      <w:pPr>
        <w:pStyle w:val="BodyText"/>
        <w:spacing w:line="240" w:lineRule="auto"/>
        <w:ind w:left="578" w:right="1133"/>
        <w:jc w:val="left"/>
      </w:pPr>
      <w:r>
        <w:rPr>
          <w:rFonts w:ascii="宋体" w:hAnsi="宋体" w:cs="宋体" w:eastAsia="宋体" w:hint="default"/>
        </w:rPr>
        <w:t>2</w:t>
      </w:r>
      <w:r>
        <w:rPr/>
        <w:t>、审计委员会</w:t>
      </w:r>
    </w:p>
    <w:p>
      <w:pPr>
        <w:spacing w:line="240" w:lineRule="auto" w:before="9"/>
        <w:rPr>
          <w:rFonts w:ascii="宋体" w:hAnsi="宋体" w:cs="宋体" w:eastAsia="宋体" w:hint="default"/>
          <w:sz w:val="20"/>
          <w:szCs w:val="20"/>
        </w:rPr>
      </w:pPr>
    </w:p>
    <w:p>
      <w:pPr>
        <w:pStyle w:val="BodyText"/>
        <w:spacing w:line="355" w:lineRule="auto"/>
        <w:ind w:right="1131" w:firstLine="425"/>
        <w:jc w:val="both"/>
      </w:pPr>
      <w:r>
        <w:rPr/>
        <w:t>根据《公司章程》、《董事会议事规则》、《审计委员会工作细则》的有关规定，审计委员会对报告期内发布的</w:t>
      </w:r>
      <w:r>
        <w:rPr>
          <w:rFonts w:ascii="宋体" w:hAnsi="宋体" w:cs="宋体" w:eastAsia="宋体" w:hint="default"/>
        </w:rPr>
        <w:t>2018 </w:t>
      </w:r>
      <w:r>
        <w:rPr>
          <w:spacing w:val="-2"/>
        </w:rPr>
        <w:t>年度报告以及</w:t>
      </w:r>
      <w:r>
        <w:rPr>
          <w:rFonts w:ascii="宋体" w:hAnsi="宋体" w:cs="宋体" w:eastAsia="宋体" w:hint="default"/>
          <w:spacing w:val="-2"/>
        </w:rPr>
        <w:t>2019</w:t>
      </w:r>
      <w:r>
        <w:rPr>
          <w:spacing w:val="-2"/>
        </w:rPr>
        <w:t>年第一季度、第三季度、半年度报告进行了审阅，同时就</w:t>
      </w:r>
      <w:r>
        <w:rPr>
          <w:rFonts w:ascii="宋体" w:hAnsi="宋体" w:cs="宋体" w:eastAsia="宋体" w:hint="default"/>
          <w:spacing w:val="-2"/>
        </w:rPr>
        <w:t>2018</w:t>
      </w:r>
      <w:r>
        <w:rPr>
          <w:spacing w:val="-2"/>
        </w:rPr>
        <w:t>年度报告的总体审计策略与年审会计师进行</w:t>
      </w:r>
      <w:r>
        <w:rPr>
          <w:spacing w:val="-61"/>
        </w:rPr>
        <w:t> </w:t>
      </w:r>
      <w:r>
        <w:rPr>
          <w:spacing w:val="-61"/>
        </w:rPr>
      </w:r>
      <w:r>
        <w:rPr>
          <w:spacing w:val="-2"/>
        </w:rPr>
        <w:t>了沟通，并在公司年报财务报表初表以及年报初稿出具的时候，与公司财务、年审会计师就年度内涉及的重大事项进行了沟</w:t>
      </w:r>
      <w:r>
        <w:rPr>
          <w:spacing w:val="-65"/>
        </w:rPr>
        <w:t> </w:t>
      </w:r>
      <w:r>
        <w:rPr>
          <w:spacing w:val="-65"/>
        </w:rPr>
      </w:r>
      <w:r>
        <w:rPr/>
        <w:t>通。</w:t>
      </w:r>
    </w:p>
    <w:p>
      <w:pPr>
        <w:spacing w:line="240" w:lineRule="auto" w:before="1"/>
        <w:rPr>
          <w:rFonts w:ascii="宋体" w:hAnsi="宋体" w:cs="宋体" w:eastAsia="宋体" w:hint="default"/>
          <w:sz w:val="14"/>
          <w:szCs w:val="14"/>
        </w:rPr>
      </w:pPr>
    </w:p>
    <w:p>
      <w:pPr>
        <w:pStyle w:val="BodyText"/>
        <w:spacing w:line="357" w:lineRule="auto"/>
        <w:ind w:right="1131" w:firstLine="425"/>
        <w:jc w:val="both"/>
      </w:pPr>
      <w:r>
        <w:rPr/>
        <w:t>报告期内，审计委员会对改聘立信会计师事务所（特殊普通合伙）为公司</w:t>
      </w:r>
      <w:r>
        <w:rPr>
          <w:rFonts w:ascii="宋体" w:hAnsi="宋体" w:cs="宋体" w:eastAsia="宋体" w:hint="default"/>
        </w:rPr>
        <w:t>2019</w:t>
      </w:r>
      <w:r>
        <w:rPr/>
        <w:t>年度审计机构发表了专业意见。在查阅 </w:t>
      </w:r>
      <w:r>
        <w:rPr>
          <w:spacing w:val="-2"/>
        </w:rPr>
        <w:t>相关资料的基础上，对立信会计师事务所（特殊普通合伙）进行了充分的了解和沟通，对其职业质量进行了评价，认为该审</w:t>
      </w:r>
      <w:r>
        <w:rPr>
          <w:spacing w:val="-67"/>
        </w:rPr>
        <w:t> </w:t>
      </w:r>
      <w:r>
        <w:rPr>
          <w:spacing w:val="-67"/>
        </w:rPr>
      </w:r>
      <w:r>
        <w:rPr>
          <w:spacing w:val="-2"/>
        </w:rPr>
        <w:t>计机构具备证券、期货相关业务执业资格，并且多年为上市公司提供审计服务，具备相应的经验与能力，能够满足公司未来</w:t>
      </w:r>
      <w:r>
        <w:rPr>
          <w:spacing w:val="-65"/>
        </w:rPr>
        <w:t> </w:t>
      </w:r>
      <w:r>
        <w:rPr>
          <w:spacing w:val="-65"/>
        </w:rPr>
      </w:r>
      <w:r>
        <w:rPr/>
        <w:t>审计工作的需求。同意公司改聘立信会计师事务所（特殊普通合伙）作为</w:t>
      </w:r>
      <w:r>
        <w:rPr>
          <w:rFonts w:ascii="宋体" w:hAnsi="宋体" w:cs="宋体" w:eastAsia="宋体" w:hint="default"/>
        </w:rPr>
        <w:t>2019</w:t>
      </w:r>
      <w:r>
        <w:rPr/>
        <w:t>年度审计机构。</w:t>
      </w:r>
    </w:p>
    <w:p>
      <w:pPr>
        <w:spacing w:line="240" w:lineRule="auto" w:before="13"/>
        <w:rPr>
          <w:rFonts w:ascii="宋体" w:hAnsi="宋体" w:cs="宋体" w:eastAsia="宋体" w:hint="default"/>
          <w:sz w:val="13"/>
          <w:szCs w:val="13"/>
        </w:rPr>
      </w:pPr>
    </w:p>
    <w:p>
      <w:pPr>
        <w:pStyle w:val="BodyText"/>
        <w:spacing w:line="240" w:lineRule="auto"/>
        <w:ind w:left="578" w:right="1133"/>
        <w:jc w:val="left"/>
      </w:pPr>
      <w:r>
        <w:rPr>
          <w:rFonts w:ascii="宋体" w:hAnsi="宋体" w:cs="宋体" w:eastAsia="宋体" w:hint="default"/>
        </w:rPr>
        <w:t>3</w:t>
      </w:r>
      <w:r>
        <w:rPr/>
        <w:t>、提名委员会</w:t>
      </w:r>
    </w:p>
    <w:p>
      <w:pPr>
        <w:spacing w:line="240" w:lineRule="auto" w:before="9"/>
        <w:rPr>
          <w:rFonts w:ascii="宋体" w:hAnsi="宋体" w:cs="宋体" w:eastAsia="宋体" w:hint="default"/>
          <w:sz w:val="20"/>
          <w:szCs w:val="20"/>
        </w:rPr>
      </w:pPr>
    </w:p>
    <w:p>
      <w:pPr>
        <w:pStyle w:val="BodyText"/>
        <w:spacing w:line="357" w:lineRule="auto"/>
        <w:ind w:right="1165" w:firstLine="425"/>
        <w:jc w:val="both"/>
      </w:pPr>
      <w:r>
        <w:rPr/>
        <w:t>根据《公司章程》、《董事会议事规则》、《提名委员会工作细则》的有关规定，提名委员会积极关注董事、高级管 理人员的履职、任职资格情况，积极推动公司核心团队的建设，并提出意见及建议，供董事会决策参考。</w:t>
      </w:r>
    </w:p>
    <w:p>
      <w:pPr>
        <w:spacing w:line="240" w:lineRule="auto" w:before="13"/>
        <w:rPr>
          <w:rFonts w:ascii="宋体" w:hAnsi="宋体" w:cs="宋体" w:eastAsia="宋体" w:hint="default"/>
          <w:sz w:val="13"/>
          <w:szCs w:val="13"/>
        </w:rPr>
      </w:pPr>
    </w:p>
    <w:p>
      <w:pPr>
        <w:pStyle w:val="BodyText"/>
        <w:spacing w:line="240" w:lineRule="auto"/>
        <w:ind w:left="578" w:right="1133"/>
        <w:jc w:val="left"/>
      </w:pPr>
      <w:r>
        <w:rPr>
          <w:rFonts w:ascii="宋体" w:hAnsi="宋体" w:cs="宋体" w:eastAsia="宋体" w:hint="default"/>
        </w:rPr>
        <w:t>4</w:t>
      </w:r>
      <w:r>
        <w:rPr/>
        <w:t>、薪酬与考核委员会</w:t>
      </w:r>
    </w:p>
    <w:p>
      <w:pPr>
        <w:spacing w:line="240" w:lineRule="auto" w:before="7"/>
        <w:rPr>
          <w:rFonts w:ascii="宋体" w:hAnsi="宋体" w:cs="宋体" w:eastAsia="宋体" w:hint="default"/>
          <w:sz w:val="20"/>
          <w:szCs w:val="20"/>
        </w:rPr>
      </w:pPr>
    </w:p>
    <w:p>
      <w:pPr>
        <w:pStyle w:val="BodyText"/>
        <w:spacing w:line="357" w:lineRule="auto"/>
        <w:ind w:right="1131" w:firstLine="425"/>
        <w:jc w:val="both"/>
      </w:pPr>
      <w:r>
        <w:rPr/>
        <w:t>根据《公司章程》、《董事会议事规则》、《薪酬与考核委员会工作细则》的有关规定，薪酬与考核委员会了解了报 </w:t>
      </w:r>
      <w:r>
        <w:rPr>
          <w:spacing w:val="-2"/>
        </w:rPr>
        <w:t>告期内股票期权激励计划进展情况，对于第一个行权期业绩未达标而注销已获授尚未行权的股票期权、因激励对象离职注销</w:t>
      </w:r>
      <w:r>
        <w:rPr>
          <w:spacing w:val="-64"/>
        </w:rPr>
        <w:t> </w:t>
      </w:r>
      <w:r>
        <w:rPr>
          <w:spacing w:val="-64"/>
        </w:rPr>
      </w:r>
      <w:r>
        <w:rPr>
          <w:spacing w:val="-2"/>
        </w:rPr>
        <w:t>已获授尚未行权的股票期权，认为符合有关法律法规、部门规章、规范性文件以及公司激励计划的相关规定，不会对公司的</w:t>
      </w:r>
      <w:r>
        <w:rPr>
          <w:spacing w:val="-65"/>
        </w:rPr>
        <w:t> </w:t>
      </w:r>
      <w:r>
        <w:rPr>
          <w:spacing w:val="-65"/>
        </w:rPr>
      </w:r>
      <w:r>
        <w:rPr/>
        <w:t>财务状况和经营成果产生影响，不会影响全体股东的利益。</w:t>
      </w:r>
    </w:p>
    <w:p>
      <w:pPr>
        <w:spacing w:line="240" w:lineRule="auto" w:before="7"/>
        <w:rPr>
          <w:rFonts w:ascii="宋体" w:hAnsi="宋体" w:cs="宋体" w:eastAsia="宋体" w:hint="default"/>
          <w:sz w:val="24"/>
          <w:szCs w:val="24"/>
        </w:rPr>
      </w:pPr>
    </w:p>
    <w:p>
      <w:pPr>
        <w:pStyle w:val="Heading2"/>
        <w:spacing w:line="240" w:lineRule="auto"/>
        <w:ind w:right="1133"/>
        <w:jc w:val="left"/>
        <w:rPr>
          <w:b w:val="0"/>
          <w:bCs w:val="0"/>
        </w:rPr>
      </w:pPr>
      <w:bookmarkStart w:name="七、监事会工作情况" w:id="149"/>
      <w:bookmarkEnd w:id="149"/>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5"/>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after="0" w:line="3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r>
        <w:rPr/>
        <w:pict>
          <v:group style="position:absolute;margin-left:392.950012pt;margin-top:425.809998pt;width:149.8pt;height:15.6pt;mso-position-horizontal-relative:page;mso-position-vertical-relative:page;z-index:-1013224" coordorigin="7859,8516" coordsize="2996,312">
            <v:shape style="position:absolute;left:7859;top:8516;width:2996;height:312" coordorigin="7859,8516" coordsize="2996,312" path="m7859,8828l10855,8828,10855,8516,7859,8516,7859,8828xe" filled="true" fillcolor="#ffffff" stroked="false">
              <v:path arrowok="t"/>
              <v:fill type="solid"/>
            </v:shape>
            <w10:wrap type="none"/>
          </v:group>
        </w:pict>
      </w:r>
    </w:p>
    <w:p>
      <w:pPr>
        <w:pStyle w:val="Heading2"/>
        <w:spacing w:line="240" w:lineRule="auto" w:before="26"/>
        <w:ind w:left="212" w:right="0"/>
        <w:jc w:val="left"/>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2" w:right="0"/>
        <w:jc w:val="left"/>
      </w:pPr>
      <w:r>
        <w:rPr/>
        <w:t>高级管理人员薪酬方案经董事会薪酬与考核委员会对绩效进行评价后，报董事会批准。</w:t>
      </w:r>
    </w:p>
    <w:p>
      <w:pPr>
        <w:spacing w:line="240" w:lineRule="auto" w:before="3"/>
        <w:rPr>
          <w:rFonts w:ascii="宋体" w:hAnsi="宋体" w:cs="宋体" w:eastAsia="宋体" w:hint="default"/>
          <w:sz w:val="25"/>
          <w:szCs w:val="25"/>
        </w:rPr>
      </w:pPr>
    </w:p>
    <w:p>
      <w:pPr>
        <w:pStyle w:val="Heading2"/>
        <w:spacing w:line="240" w:lineRule="auto"/>
        <w:ind w:left="212" w:right="0"/>
        <w:jc w:val="left"/>
        <w:rPr>
          <w:b w:val="0"/>
          <w:bCs w:val="0"/>
        </w:rPr>
      </w:pPr>
      <w:bookmarkStart w:name="九、内部控制情况" w:id="151"/>
      <w:bookmarkEnd w:id="151"/>
      <w:r>
        <w:rPr>
          <w:b w:val="0"/>
          <w:bCs w:val="0"/>
        </w:rPr>
      </w:r>
      <w:r>
        <w:rPr/>
        <w:t>九、内部控制情况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2" w:right="0"/>
        <w:jc w:val="left"/>
        <w:rPr>
          <w:b w:val="0"/>
          <w:bCs w:val="0"/>
        </w:rPr>
      </w:pPr>
      <w:bookmarkStart w:name="1、报告期内发现的内部控制重大缺陷的具体情况" w:id="152"/>
      <w:bookmarkEnd w:id="15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left="212" w:right="0"/>
        <w:jc w:val="left"/>
        <w:rPr>
          <w:b w:val="0"/>
          <w:bCs w:val="0"/>
        </w:rPr>
      </w:pPr>
      <w:bookmarkStart w:name="2、内控自我评价报告" w:id="153"/>
      <w:bookmarkEnd w:id="15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2830"/>
        <w:gridCol w:w="3987"/>
        <w:gridCol w:w="3039"/>
      </w:tblGrid>
      <w:tr>
        <w:trPr>
          <w:trHeight w:val="404"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702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1"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702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702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77.71%</w:t>
            </w:r>
          </w:p>
        </w:tc>
      </w:tr>
      <w:tr>
        <w:trPr>
          <w:trHeight w:val="713"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702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83.29%</w:t>
            </w:r>
          </w:p>
        </w:tc>
      </w:tr>
      <w:tr>
        <w:trPr>
          <w:trHeight w:val="398" w:hRule="exact"/>
        </w:trPr>
        <w:tc>
          <w:tcPr>
            <w:tcW w:w="98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418" w:hRule="exact"/>
        </w:trPr>
        <w:tc>
          <w:tcPr>
            <w:tcW w:w="2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7" w:type="dxa"/>
            <w:vMerge w:val="restart"/>
            <w:tcBorders>
              <w:top w:val="single" w:sz="4" w:space="0" w:color="000000"/>
              <w:left w:val="single" w:sz="9" w:space="0" w:color="D2D2D2"/>
              <w:right w:val="single" w:sz="10" w:space="0" w:color="FFFFFF"/>
            </w:tcBorders>
          </w:tcPr>
          <w:p>
            <w:pPr>
              <w:pStyle w:val="TableParagraph"/>
              <w:spacing w:line="309" w:lineRule="auto" w:before="49"/>
              <w:ind w:left="23" w:right="-29"/>
              <w:jc w:val="left"/>
              <w:rPr>
                <w:rFonts w:ascii="宋体" w:hAnsi="宋体" w:cs="宋体" w:eastAsia="宋体" w:hint="default"/>
                <w:sz w:val="18"/>
                <w:szCs w:val="18"/>
              </w:rPr>
            </w:pPr>
            <w:r>
              <w:rPr>
                <w:rFonts w:ascii="宋体" w:hAnsi="宋体" w:cs="宋体" w:eastAsia="宋体" w:hint="default"/>
                <w:spacing w:val="-3"/>
                <w:sz w:val="18"/>
                <w:szCs w:val="18"/>
              </w:rPr>
              <w:t>①有下列情形之一的，即可确认为财务报告重大缺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4"/>
                <w:sz w:val="18"/>
                <w:szCs w:val="18"/>
              </w:rPr>
              <w:t>陷：</w:t>
            </w:r>
            <w:r>
              <w:rPr>
                <w:rFonts w:ascii="Times New Roman" w:hAnsi="Times New Roman" w:cs="Times New Roman" w:eastAsia="Times New Roman" w:hint="default"/>
                <w:spacing w:val="-14"/>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公司董事、监事和高级管理人员的舞弊行为；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对已经公告的财务报告出现的重大差错进行错报 更正；</w:t>
            </w:r>
            <w:r>
              <w:rPr>
                <w:rFonts w:ascii="Times New Roman" w:hAnsi="Times New Roman" w:cs="Times New Roman" w:eastAsia="Times New Roman" w:hint="default"/>
                <w:sz w:val="18"/>
                <w:szCs w:val="18"/>
              </w:rPr>
              <w:t>b1 </w:t>
            </w:r>
            <w:r>
              <w:rPr>
                <w:rFonts w:ascii="宋体" w:hAnsi="宋体" w:cs="宋体" w:eastAsia="宋体" w:hint="default"/>
                <w:sz w:val="18"/>
                <w:szCs w:val="18"/>
              </w:rPr>
              <w:t>公司按规定期限报送已签发的财务报告 </w:t>
            </w:r>
            <w:r>
              <w:rPr>
                <w:rFonts w:ascii="宋体" w:hAnsi="宋体" w:cs="宋体" w:eastAsia="宋体" w:hint="default"/>
                <w:spacing w:val="-3"/>
                <w:sz w:val="18"/>
                <w:szCs w:val="18"/>
              </w:rPr>
              <w:t>后，对财务报告重新报送以更正财务报告中的重大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错报。</w:t>
            </w:r>
            <w:r>
              <w:rPr>
                <w:rFonts w:ascii="Times New Roman" w:hAnsi="Times New Roman" w:cs="Times New Roman" w:eastAsia="Times New Roman" w:hint="default"/>
                <w:sz w:val="18"/>
                <w:szCs w:val="18"/>
              </w:rPr>
              <w:t>b2 </w:t>
            </w:r>
            <w:r>
              <w:rPr>
                <w:rFonts w:ascii="宋体" w:hAnsi="宋体" w:cs="宋体" w:eastAsia="宋体" w:hint="default"/>
                <w:sz w:val="18"/>
                <w:szCs w:val="18"/>
              </w:rPr>
              <w:t>由于国家规定的会计准则和制度变化以 </w:t>
            </w:r>
            <w:r>
              <w:rPr>
                <w:rFonts w:ascii="宋体" w:hAnsi="宋体" w:cs="宋体" w:eastAsia="宋体" w:hint="default"/>
                <w:spacing w:val="-3"/>
                <w:sz w:val="18"/>
                <w:szCs w:val="18"/>
              </w:rPr>
              <w:t>及公司按规定由于经济环境、客观情况的改变而进</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行会计政策调整，需要对以前报告年度的财务报告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进行追溯调整的，不属于此类情况。</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注册会计师 </w:t>
            </w:r>
            <w:r>
              <w:rPr>
                <w:rFonts w:ascii="宋体" w:hAnsi="宋体" w:cs="宋体" w:eastAsia="宋体" w:hint="default"/>
                <w:spacing w:val="-3"/>
                <w:sz w:val="18"/>
                <w:szCs w:val="18"/>
              </w:rPr>
              <w:t>发现当期财务报告存在重大错报，而内部控制在运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行过程中未能发现该错报；</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审计委员会和审计部 对内部控制的监督无效；</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风险评估职能无效。② 有下列情形之一的，即可确认为财务报告重要缺 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未按照公认的《会计准则》选择和应用会计 政策；</w:t>
            </w:r>
            <w:r>
              <w:rPr>
                <w:rFonts w:ascii="Times New Roman" w:hAnsi="Times New Roman" w:cs="Times New Roman" w:eastAsia="Times New Roman" w:hint="default"/>
                <w:sz w:val="18"/>
                <w:szCs w:val="18"/>
              </w:rPr>
              <w:t>b </w:t>
            </w:r>
            <w:r>
              <w:rPr>
                <w:rFonts w:ascii="宋体" w:hAnsi="宋体" w:cs="宋体" w:eastAsia="宋体" w:hint="default"/>
                <w:sz w:val="18"/>
                <w:szCs w:val="18"/>
              </w:rPr>
              <w:t>未建立反舞弊程序和控制措施；</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对于期 末财务报告过程 </w:t>
            </w:r>
            <w:r>
              <w:rPr>
                <w:rFonts w:ascii="Times New Roman" w:hAnsi="Times New Roman" w:cs="Times New Roman" w:eastAsia="Times New Roman" w:hint="default"/>
                <w:sz w:val="18"/>
                <w:szCs w:val="18"/>
              </w:rPr>
              <w:t>c1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财务报告流程控制以下存在一 项或多项缺陷且不能合理保证编制过程的财务报 表达到真实、准确、完整的，则确认为重要缺陷： </w:t>
            </w:r>
            <w:r>
              <w:rPr>
                <w:rFonts w:ascii="宋体" w:hAnsi="宋体" w:cs="宋体" w:eastAsia="宋体" w:hint="default"/>
                <w:spacing w:val="-3"/>
                <w:sz w:val="18"/>
                <w:szCs w:val="18"/>
              </w:rPr>
              <w:t>期末结账、纳入合并报表的范围、内部往来、审核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按权益法核算的对外投资相关的账务处理、交叉审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核合并会计报表的抵消分录、交叉审核会计报表附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注的编制、分析性复核会计报表。</w:t>
            </w:r>
            <w:r>
              <w:rPr>
                <w:rFonts w:ascii="Times New Roman" w:hAnsi="Times New Roman" w:cs="Times New Roman" w:eastAsia="Times New Roman" w:hint="default"/>
                <w:spacing w:val="-5"/>
                <w:sz w:val="18"/>
                <w:szCs w:val="18"/>
              </w:rPr>
              <w:t>c2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财务报表中信 息系统控制与财务报告内部控制直接相关的信息</w:t>
            </w:r>
          </w:p>
        </w:tc>
        <w:tc>
          <w:tcPr>
            <w:tcW w:w="3039" w:type="dxa"/>
            <w:vMerge w:val="restart"/>
            <w:tcBorders>
              <w:top w:val="single" w:sz="4" w:space="0" w:color="000000"/>
              <w:left w:val="single" w:sz="10" w:space="0" w:color="FFFFFF"/>
              <w:right w:val="single" w:sz="4" w:space="0" w:color="000000"/>
            </w:tcBorders>
          </w:tcPr>
          <w:p>
            <w:pPr>
              <w:pStyle w:val="TableParagraph"/>
              <w:spacing w:line="312" w:lineRule="auto" w:before="49"/>
              <w:ind w:left="4" w:right="-44"/>
              <w:jc w:val="left"/>
              <w:rPr>
                <w:rFonts w:ascii="宋体" w:hAnsi="宋体" w:cs="宋体" w:eastAsia="宋体" w:hint="default"/>
                <w:sz w:val="18"/>
                <w:szCs w:val="18"/>
              </w:rPr>
            </w:pPr>
            <w:r>
              <w:rPr>
                <w:rFonts w:ascii="宋体" w:hAnsi="宋体" w:cs="宋体" w:eastAsia="宋体" w:hint="default"/>
                <w:sz w:val="18"/>
                <w:szCs w:val="18"/>
              </w:rPr>
              <w:t>非财务报告内部控制是指针对除财务 报告目标之外的其他目标的内部控制。 </w:t>
            </w:r>
            <w:r>
              <w:rPr>
                <w:rFonts w:ascii="宋体" w:hAnsi="宋体" w:cs="宋体" w:eastAsia="宋体" w:hint="default"/>
                <w:spacing w:val="-4"/>
                <w:sz w:val="18"/>
                <w:szCs w:val="18"/>
              </w:rPr>
              <w:t>一般包括战略目标、资产安全目标、经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营目标、合规目标等。非财务报告评价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应当作为公司内部控制评价的重点。公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司非财务报告缺陷认定主要依据缺陷 </w:t>
            </w:r>
            <w:r>
              <w:rPr>
                <w:rFonts w:ascii="宋体" w:hAnsi="宋体" w:cs="宋体" w:eastAsia="宋体" w:hint="default"/>
                <w:spacing w:val="-4"/>
                <w:sz w:val="18"/>
                <w:szCs w:val="18"/>
              </w:rPr>
              <w:t>涉及业务性质的严重程度、直接或潜在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负面影响的性质、影响的范围等因素来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确定。（</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）以下情形之一的，即可确认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为非财务报告内部控制可能存在重大 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严重违反国家法律、法规；</w:t>
            </w:r>
            <w:r>
              <w:rPr>
                <w:rFonts w:ascii="Times New Roman" w:hAnsi="Times New Roman" w:cs="Times New Roman" w:eastAsia="Times New Roman" w:hint="default"/>
                <w:sz w:val="18"/>
                <w:szCs w:val="18"/>
              </w:rPr>
              <w:t>b </w:t>
            </w:r>
            <w:r>
              <w:rPr>
                <w:rFonts w:ascii="宋体" w:hAnsi="宋体" w:cs="宋体" w:eastAsia="宋体" w:hint="default"/>
                <w:sz w:val="18"/>
                <w:szCs w:val="18"/>
              </w:rPr>
              <w:t>媒体负面新闻频现，在全国范围内流 传，在较长时间内无法消除；</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公司重 大事项的决策未履行相应的决策程序， </w:t>
            </w:r>
            <w:r>
              <w:rPr>
                <w:rFonts w:ascii="宋体" w:hAnsi="宋体" w:cs="宋体" w:eastAsia="宋体" w:hint="default"/>
                <w:spacing w:val="-3"/>
                <w:sz w:val="18"/>
                <w:szCs w:val="18"/>
              </w:rPr>
              <w:t>导致决策失败；</w:t>
            </w:r>
            <w:r>
              <w:rPr>
                <w:rFonts w:ascii="Times New Roman" w:hAnsi="Times New Roman" w:cs="Times New Roman" w:eastAsia="Times New Roman" w:hint="default"/>
                <w:spacing w:val="-3"/>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信息披露内部控制失 效，导致公司被监管部门公开谴责；</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e </w:t>
            </w:r>
            <w:r>
              <w:rPr>
                <w:rFonts w:ascii="宋体" w:hAnsi="宋体" w:cs="宋体" w:eastAsia="宋体" w:hint="default"/>
                <w:spacing w:val="-4"/>
                <w:sz w:val="18"/>
                <w:szCs w:val="18"/>
              </w:rPr>
              <w:t>中高级管理人员纷纷流失，造成经营活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动难以正常进行；</w:t>
            </w: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内部控制评价的重 </w:t>
            </w:r>
            <w:r>
              <w:rPr>
                <w:rFonts w:ascii="宋体" w:hAnsi="宋体" w:cs="宋体" w:eastAsia="宋体" w:hint="default"/>
                <w:spacing w:val="-4"/>
                <w:sz w:val="18"/>
                <w:szCs w:val="18"/>
              </w:rPr>
              <w:t>大缺陷未得到整改；外部审计发现的重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大缺陷，在与管理层、审计委员会沟通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后，公司没有及时整改，即可确认为重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大缺陷。</w:t>
            </w:r>
            <w:r>
              <w:rPr>
                <w:rFonts w:ascii="Times New Roman" w:hAnsi="Times New Roman" w:cs="Times New Roman" w:eastAsia="Times New Roman" w:hint="default"/>
                <w:spacing w:val="-4"/>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重要业务缺乏制度控制或制 </w:t>
            </w:r>
            <w:r>
              <w:rPr>
                <w:rFonts w:ascii="宋体" w:hAnsi="宋体" w:cs="宋体" w:eastAsia="宋体" w:hint="default"/>
                <w:spacing w:val="-4"/>
                <w:sz w:val="18"/>
                <w:szCs w:val="18"/>
              </w:rPr>
              <w:t>度系统性失效，且缺乏有效的补偿性控</w:t>
            </w:r>
          </w:p>
        </w:tc>
      </w:tr>
      <w:tr>
        <w:trPr>
          <w:trHeight w:val="391" w:hRule="exact"/>
        </w:trPr>
        <w:tc>
          <w:tcPr>
            <w:tcW w:w="2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987" w:type="dxa"/>
            <w:vMerge/>
            <w:tcBorders>
              <w:left w:val="single" w:sz="9" w:space="0" w:color="D2D2D2"/>
              <w:right w:val="single" w:sz="10" w:space="0" w:color="FFFFFF"/>
            </w:tcBorders>
          </w:tcPr>
          <w:p>
            <w:pPr/>
          </w:p>
        </w:tc>
        <w:tc>
          <w:tcPr>
            <w:tcW w:w="3039" w:type="dxa"/>
            <w:vMerge/>
            <w:tcBorders>
              <w:left w:val="single" w:sz="10" w:space="0" w:color="FFFFFF"/>
              <w:right w:val="single" w:sz="4" w:space="0" w:color="000000"/>
            </w:tcBorders>
          </w:tcPr>
          <w:p>
            <w:pPr/>
          </w:p>
        </w:tc>
      </w:tr>
      <w:tr>
        <w:trPr>
          <w:trHeight w:val="3418" w:hRule="exact"/>
        </w:trPr>
        <w:tc>
          <w:tcPr>
            <w:tcW w:w="2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3987" w:type="dxa"/>
            <w:vMerge/>
            <w:tcBorders>
              <w:left w:val="single" w:sz="9" w:space="0" w:color="D2D2D2"/>
              <w:bottom w:val="single" w:sz="4" w:space="0" w:color="000000"/>
              <w:right w:val="single" w:sz="10" w:space="0" w:color="FFFFFF"/>
            </w:tcBorders>
          </w:tcPr>
          <w:p>
            <w:pPr/>
          </w:p>
        </w:tc>
        <w:tc>
          <w:tcPr>
            <w:tcW w:w="3039" w:type="dxa"/>
            <w:vMerge/>
            <w:tcBorders>
              <w:left w:val="single" w:sz="10" w:space="0" w:color="FFFFFF"/>
              <w:bottom w:val="single" w:sz="4" w:space="0" w:color="000000"/>
              <w:right w:val="single" w:sz="4" w:space="0" w:color="000000"/>
            </w:tcBorders>
          </w:tcPr>
          <w:p>
            <w:pPr/>
          </w:p>
        </w:tc>
      </w:tr>
    </w:tbl>
    <w:p>
      <w:pPr>
        <w:spacing w:after="0"/>
        <w:sectPr>
          <w:pgSz w:w="11910" w:h="16840"/>
          <w:pgMar w:header="877" w:footer="980" w:top="1100" w:bottom="1160" w:left="920" w:right="0"/>
        </w:sectPr>
      </w:pPr>
    </w:p>
    <w:p>
      <w:pPr>
        <w:spacing w:line="240" w:lineRule="auto" w:before="8"/>
        <w:rPr>
          <w:rFonts w:ascii="宋体" w:hAnsi="宋体" w:cs="宋体" w:eastAsia="宋体" w:hint="default"/>
          <w:b/>
          <w:bCs/>
          <w:sz w:val="24"/>
          <w:szCs w:val="24"/>
        </w:rPr>
      </w:pPr>
    </w:p>
    <w:tbl>
      <w:tblPr>
        <w:tblW w:w="0" w:type="auto"/>
        <w:jc w:val="left"/>
        <w:tblInd w:w="100" w:type="dxa"/>
        <w:tblLayout w:type="fixed"/>
        <w:tblCellMar>
          <w:top w:w="0" w:type="dxa"/>
          <w:left w:w="0" w:type="dxa"/>
          <w:bottom w:w="0" w:type="dxa"/>
          <w:right w:w="0" w:type="dxa"/>
        </w:tblCellMar>
        <w:tblLook w:val="01E0"/>
      </w:tblPr>
      <w:tblGrid>
        <w:gridCol w:w="2835"/>
        <w:gridCol w:w="3970"/>
        <w:gridCol w:w="3051"/>
      </w:tblGrid>
      <w:tr>
        <w:trPr>
          <w:trHeight w:val="2859"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70"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3" w:right="-41"/>
              <w:jc w:val="both"/>
              <w:rPr>
                <w:rFonts w:ascii="宋体" w:hAnsi="宋体" w:cs="宋体" w:eastAsia="宋体" w:hint="default"/>
                <w:sz w:val="18"/>
                <w:szCs w:val="18"/>
              </w:rPr>
            </w:pPr>
            <w:r>
              <w:rPr>
                <w:rFonts w:ascii="宋体" w:hAnsi="宋体" w:cs="宋体" w:eastAsia="宋体" w:hint="default"/>
                <w:sz w:val="18"/>
                <w:szCs w:val="18"/>
              </w:rPr>
              <w:t>系统应用控制，如果在明细账向总账过程处理时， </w:t>
            </w:r>
            <w:r>
              <w:rPr>
                <w:rFonts w:ascii="宋体" w:hAnsi="宋体" w:cs="宋体" w:eastAsia="宋体" w:hint="default"/>
                <w:spacing w:val="-3"/>
                <w:sz w:val="18"/>
                <w:szCs w:val="18"/>
              </w:rPr>
              <w:t>出现以下环节缺陷，导致不能合理地保证公认的会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计准则编制财务报表，可以确认为重要缺陷：交易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总数过入总账，确保交易记录全部在总账；初始、 </w:t>
            </w:r>
            <w:r>
              <w:rPr>
                <w:rFonts w:ascii="宋体" w:hAnsi="宋体" w:cs="宋体" w:eastAsia="宋体" w:hint="default"/>
                <w:spacing w:val="-8"/>
                <w:sz w:val="18"/>
                <w:szCs w:val="18"/>
              </w:rPr>
              <w:t>授权、记录和处理总账中的明细（或日记账）分录；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期末关账后，常规（重复）发生和非常规（非重复）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发生报表调整涉及的初始、授权、记录和处理等控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制信息系统总体。③不构成重大缺陷和重要缺陷的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内部控制缺陷，认定为财务报告一般缺陷。</w:t>
            </w:r>
          </w:p>
        </w:tc>
        <w:tc>
          <w:tcPr>
            <w:tcW w:w="3051" w:type="dxa"/>
            <w:tcBorders>
              <w:top w:val="single" w:sz="4" w:space="0" w:color="000000"/>
              <w:left w:val="single" w:sz="10" w:space="0" w:color="FFFFFF"/>
              <w:bottom w:val="single" w:sz="4" w:space="0" w:color="000000"/>
              <w:right w:val="single" w:sz="4" w:space="0" w:color="000000"/>
            </w:tcBorders>
          </w:tcPr>
          <w:p>
            <w:pPr>
              <w:pStyle w:val="TableParagraph"/>
              <w:spacing w:line="307" w:lineRule="auto" w:before="8"/>
              <w:ind w:left="16" w:right="-43"/>
              <w:jc w:val="left"/>
              <w:rPr>
                <w:rFonts w:ascii="宋体" w:hAnsi="宋体" w:cs="宋体" w:eastAsia="宋体" w:hint="default"/>
                <w:sz w:val="18"/>
                <w:szCs w:val="18"/>
              </w:rPr>
            </w:pPr>
            <w:r>
              <w:rPr>
                <w:rFonts w:ascii="宋体" w:hAnsi="宋体" w:cs="宋体" w:eastAsia="宋体" w:hint="default"/>
                <w:spacing w:val="-9"/>
                <w:sz w:val="18"/>
                <w:szCs w:val="18"/>
              </w:rPr>
              <w:t>制。（</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）以下情形之一的，即可认定为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非财务报告内部控制可能存在重要缺 陷：</w:t>
            </w:r>
            <w:r>
              <w:rPr>
                <w:rFonts w:ascii="Times New Roman" w:hAnsi="Times New Roman" w:cs="Times New Roman" w:eastAsia="Times New Roman" w:hint="default"/>
                <w:sz w:val="18"/>
                <w:szCs w:val="18"/>
              </w:rPr>
              <w:t>a </w:t>
            </w:r>
            <w:r>
              <w:rPr>
                <w:rFonts w:ascii="宋体" w:hAnsi="宋体" w:cs="宋体" w:eastAsia="宋体" w:hint="default"/>
                <w:sz w:val="18"/>
                <w:szCs w:val="18"/>
              </w:rPr>
              <w:t>决策程序出现一般性失误；</w:t>
            </w:r>
            <w:r>
              <w:rPr>
                <w:rFonts w:ascii="Times New Roman" w:hAnsi="Times New Roman" w:cs="Times New Roman" w:eastAsia="Times New Roman" w:hint="default"/>
                <w:sz w:val="18"/>
                <w:szCs w:val="18"/>
              </w:rPr>
              <w:t>b </w:t>
            </w:r>
            <w:r>
              <w:rPr>
                <w:rFonts w:ascii="宋体" w:hAnsi="宋体" w:cs="宋体" w:eastAsia="宋体" w:hint="default"/>
                <w:sz w:val="18"/>
                <w:szCs w:val="18"/>
              </w:rPr>
              <w:t>重 要业务缺乏制度控制或制度系统存在 缺陷；</w:t>
            </w:r>
            <w:r>
              <w:rPr>
                <w:rFonts w:ascii="Times New Roman" w:hAnsi="Times New Roman" w:cs="Times New Roman" w:eastAsia="Times New Roman" w:hint="default"/>
                <w:sz w:val="18"/>
                <w:szCs w:val="18"/>
              </w:rPr>
              <w:t>c </w:t>
            </w:r>
            <w:r>
              <w:rPr>
                <w:rFonts w:ascii="宋体" w:hAnsi="宋体" w:cs="宋体" w:eastAsia="宋体" w:hint="default"/>
                <w:sz w:val="18"/>
                <w:szCs w:val="18"/>
              </w:rPr>
              <w:t>关键岗位员工流失严重；</w:t>
            </w:r>
            <w:r>
              <w:rPr>
                <w:rFonts w:ascii="Times New Roman" w:hAnsi="Times New Roman" w:cs="Times New Roman" w:eastAsia="Times New Roman" w:hint="default"/>
                <w:sz w:val="18"/>
                <w:szCs w:val="18"/>
              </w:rPr>
              <w:t>d </w:t>
            </w:r>
            <w:r>
              <w:rPr>
                <w:rFonts w:ascii="宋体" w:hAnsi="宋体" w:cs="宋体" w:eastAsia="宋体" w:hint="default"/>
                <w:sz w:val="18"/>
                <w:szCs w:val="18"/>
              </w:rPr>
              <w:t>内 部控制评价结果特别是重要缺陷未得 到的整改；</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其他对公司产生负面影响 </w:t>
            </w:r>
            <w:r>
              <w:rPr>
                <w:rFonts w:ascii="宋体" w:hAnsi="宋体" w:cs="宋体" w:eastAsia="宋体" w:hint="default"/>
                <w:spacing w:val="-9"/>
                <w:sz w:val="18"/>
                <w:szCs w:val="18"/>
              </w:rPr>
              <w:t>的情形。（</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）不构成重大缺陷和重要缺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陷的内部控制缺陷，认定为一般缺陷。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624" w:lineRule="exact"/>
              <w:ind w:left="16" w:right="-29"/>
              <w:jc w:val="left"/>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tc>
      </w:tr>
      <w:tr>
        <w:trPr>
          <w:trHeight w:val="570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公司以上年度经过审计的资产总额作为衡量指标， </w:t>
            </w:r>
            <w:r>
              <w:rPr>
                <w:rFonts w:ascii="宋体" w:hAnsi="宋体" w:cs="宋体" w:eastAsia="宋体" w:hint="default"/>
                <w:spacing w:val="-3"/>
                <w:sz w:val="18"/>
                <w:szCs w:val="18"/>
              </w:rPr>
              <w:t>确定公司财务报告缺陷的定量标准。①到下列标准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之一的，即可确认财务报告各项缺陷：重大缺陷， 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；重要缺陷，错报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＜资产 总额＜</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单 </w:t>
            </w:r>
            <w:r>
              <w:rPr>
                <w:rFonts w:ascii="宋体" w:hAnsi="宋体" w:cs="宋体" w:eastAsia="宋体" w:hint="default"/>
                <w:spacing w:val="-14"/>
                <w:sz w:val="18"/>
                <w:szCs w:val="18"/>
              </w:rPr>
              <w:t>项缺陷：</w:t>
            </w:r>
            <w:r>
              <w:rPr>
                <w:rFonts w:ascii="Times New Roman" w:hAnsi="Times New Roman" w:cs="Times New Roman" w:eastAsia="Times New Roman" w:hint="default"/>
                <w:spacing w:val="-14"/>
                <w:sz w:val="18"/>
                <w:szCs w:val="18"/>
              </w:rPr>
              <w:t>a1</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影响水平达到或超过公司合并报表资产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，直接认定为重大缺陷；</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影响水平低于 公司合并报表资产总额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，但高于公司合并报表 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，直接认定为重要缺陷；</w:t>
            </w:r>
            <w:r>
              <w:rPr>
                <w:rFonts w:ascii="Times New Roman" w:hAnsi="Times New Roman" w:cs="Times New Roman" w:eastAsia="Times New Roman" w:hint="default"/>
                <w:sz w:val="18"/>
                <w:szCs w:val="18"/>
              </w:rPr>
              <w:t>a3 </w:t>
            </w:r>
            <w:r>
              <w:rPr>
                <w:rFonts w:ascii="宋体" w:hAnsi="宋体" w:cs="宋体" w:eastAsia="宋体" w:hint="default"/>
                <w:sz w:val="18"/>
                <w:szCs w:val="18"/>
              </w:rPr>
              <w:t>影响水 平小于或等于公司合并报表资产总额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，直接 认定为一般缺陷。</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影响到同一个重要会计科目或 披露事项的多个重要缺陷汇总：</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考虑补偿性控 </w:t>
            </w:r>
            <w:r>
              <w:rPr>
                <w:rFonts w:ascii="宋体" w:hAnsi="宋体" w:cs="宋体" w:eastAsia="宋体" w:hint="default"/>
                <w:spacing w:val="-3"/>
                <w:sz w:val="18"/>
                <w:szCs w:val="18"/>
              </w:rPr>
              <w:t>制措施和实际偏差率后，该缺陷总体影响水平达到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或超过公司合并报表资产总额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，直接认定为重 大缺陷；</w:t>
            </w:r>
            <w:r>
              <w:rPr>
                <w:rFonts w:ascii="Times New Roman" w:hAnsi="Times New Roman" w:cs="Times New Roman" w:eastAsia="Times New Roman" w:hint="default"/>
                <w:sz w:val="18"/>
                <w:szCs w:val="18"/>
              </w:rPr>
              <w:t>b2 </w:t>
            </w:r>
            <w:r>
              <w:rPr>
                <w:rFonts w:ascii="宋体" w:hAnsi="宋体" w:cs="宋体" w:eastAsia="宋体" w:hint="default"/>
                <w:sz w:val="18"/>
                <w:szCs w:val="18"/>
              </w:rPr>
              <w:t>考虑补偿性控制措 该缺陷总体影响水平低于公司合并报表资产总额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，但高于公司合并报表资产总额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，直接认 定为重要缺陷。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312" w:lineRule="auto"/>
              <w:ind w:left="23" w:right="19"/>
              <w:jc w:val="both"/>
              <w:rPr>
                <w:rFonts w:ascii="宋体" w:hAnsi="宋体" w:cs="宋体" w:eastAsia="宋体" w:hint="default"/>
                <w:sz w:val="18"/>
                <w:szCs w:val="18"/>
              </w:rPr>
            </w:pPr>
            <w:r>
              <w:rPr>
                <w:rFonts w:ascii="宋体" w:hAnsi="宋体" w:cs="宋体" w:eastAsia="宋体" w:hint="default"/>
                <w:spacing w:val="-4"/>
                <w:sz w:val="18"/>
                <w:szCs w:val="18"/>
              </w:rPr>
              <w:t>①重大缺陷：该缺陷的存在将导致的直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接财产损失金额超过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万元；②重 </w:t>
            </w:r>
            <w:r>
              <w:rPr>
                <w:rFonts w:ascii="宋体" w:hAnsi="宋体" w:cs="宋体" w:eastAsia="宋体" w:hint="default"/>
                <w:spacing w:val="-4"/>
                <w:sz w:val="18"/>
                <w:szCs w:val="18"/>
              </w:rPr>
              <w:t>要缺陷：该缺陷的存在将导致的直接财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产损失金额为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4"/>
                <w:sz w:val="18"/>
                <w:szCs w:val="18"/>
              </w:rPr>
              <w:t> </w:t>
            </w:r>
            <w:r>
              <w:rPr>
                <w:rFonts w:ascii="宋体" w:hAnsi="宋体" w:cs="宋体" w:eastAsia="宋体" w:hint="default"/>
                <w:spacing w:val="-23"/>
                <w:sz w:val="18"/>
                <w:szCs w:val="18"/>
              </w:rPr>
              <w:t>万元（含</w:t>
            </w:r>
            <w:r>
              <w:rPr>
                <w:rFonts w:ascii="宋体" w:hAnsi="宋体" w:cs="宋体" w:eastAsia="宋体" w:hint="default"/>
                <w:spacing w:val="-61"/>
                <w:sz w:val="18"/>
                <w:szCs w:val="18"/>
              </w:rPr>
              <w:t> </w:t>
            </w:r>
            <w:r>
              <w:rPr>
                <w:rFonts w:ascii="Times New Roman" w:hAnsi="Times New Roman" w:cs="Times New Roman" w:eastAsia="Times New Roman" w:hint="default"/>
                <w:spacing w:val="-2"/>
                <w:sz w:val="18"/>
                <w:szCs w:val="18"/>
              </w:rPr>
              <w:t>500</w:t>
            </w:r>
            <w:r>
              <w:rPr>
                <w:rFonts w:ascii="Times New Roman" w:hAnsi="Times New Roman" w:cs="Times New Roman" w:eastAsia="Times New Roman" w:hint="default"/>
                <w:spacing w:val="-18"/>
                <w:sz w:val="18"/>
                <w:szCs w:val="18"/>
              </w:rPr>
              <w:t> </w:t>
            </w:r>
            <w:r>
              <w:rPr>
                <w:rFonts w:ascii="宋体" w:hAnsi="宋体" w:cs="宋体" w:eastAsia="宋体" w:hint="default"/>
                <w:spacing w:val="-23"/>
                <w:sz w:val="18"/>
                <w:szCs w:val="18"/>
              </w:rPr>
              <w:t>万元）～</w:t>
            </w:r>
          </w:p>
          <w:p>
            <w:pPr>
              <w:pStyle w:val="TableParagraph"/>
              <w:spacing w:line="309" w:lineRule="auto" w:before="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万元；③一般缺陷：该缺陷的存 在将导致的直接财产损失金额不超过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1716" w:lineRule="exact"/>
              <w:ind w:right="-51"/>
              <w:jc w:val="left"/>
              <w:rPr>
                <w:rFonts w:ascii="宋体" w:hAnsi="宋体" w:cs="宋体" w:eastAsia="宋体" w:hint="default"/>
                <w:sz w:val="20"/>
                <w:szCs w:val="20"/>
              </w:rPr>
            </w:pPr>
            <w:r>
              <w:rPr>
                <w:rFonts w:ascii="宋体" w:hAnsi="宋体" w:cs="宋体" w:eastAsia="宋体" w:hint="default"/>
                <w:position w:val="-33"/>
                <w:sz w:val="20"/>
                <w:szCs w:val="20"/>
              </w:rPr>
              <w:pict>
                <v:group style="width:152.1pt;height:85.85pt;mso-position-horizontal-relative:char;mso-position-vertical-relative:line" coordorigin="0,0" coordsize="3042,1717">
                  <v:group style="position:absolute;left:0;top:0;width:3042;height:1717" coordorigin="0,0" coordsize="3042,1717">
                    <v:shape style="position:absolute;left:0;top:0;width:3042;height:1717" coordorigin="0,0" coordsize="3042,1717" path="m0,1716l3041,1716,3041,0,0,0,0,1716xe" filled="true" fillcolor="#ffffff" stroked="false">
                      <v:path arrowok="t"/>
                      <v:fill type="solid"/>
                    </v:shape>
                  </v:group>
                </v:group>
              </w:pict>
            </w:r>
            <w:r>
              <w:rPr>
                <w:rFonts w:ascii="宋体" w:hAnsi="宋体" w:cs="宋体" w:eastAsia="宋体" w:hint="default"/>
                <w:position w:val="-33"/>
                <w:sz w:val="20"/>
                <w:szCs w:val="20"/>
              </w:rPr>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left="212" w:right="0"/>
        <w:jc w:val="left"/>
        <w:rPr>
          <w:b w:val="0"/>
          <w:bCs w:val="0"/>
        </w:rPr>
      </w:pPr>
      <w:r>
        <w:rPr/>
        <w:pict>
          <v:shape style="position:absolute;margin-left:313.613007pt;margin-top:-178.508377pt;width:230.2pt;height:85.85pt;mso-position-horizontal-relative:page;mso-position-vertical-relative:paragraph;z-index:-10131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施和实际偏差率后，</w:t>
                  </w:r>
                </w:p>
              </w:txbxContent>
            </v:textbox>
            <w10:wrap type="none"/>
          </v:shape>
        </w:pict>
      </w:r>
      <w:bookmarkStart w:name="十、内部控制审计报告" w:id="154"/>
      <w:bookmarkEnd w:id="154"/>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207"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2083"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422" w:right="23" w:hanging="399"/>
              <w:jc w:val="left"/>
              <w:rPr>
                <w:rFonts w:ascii="宋体" w:hAnsi="宋体" w:cs="宋体" w:eastAsia="宋体" w:hint="default"/>
                <w:sz w:val="18"/>
                <w:szCs w:val="18"/>
              </w:rPr>
            </w:pPr>
            <w:r>
              <w:rPr>
                <w:rFonts w:ascii="宋体" w:hAnsi="宋体" w:cs="宋体" w:eastAsia="宋体" w:hint="default"/>
                <w:sz w:val="18"/>
                <w:szCs w:val="18"/>
              </w:rPr>
              <w:t>顺利办信息服务股份有限公司全体股东： </w:t>
            </w:r>
            <w:r>
              <w:rPr>
                <w:rFonts w:ascii="宋体" w:hAnsi="宋体" w:cs="宋体" w:eastAsia="宋体" w:hint="default"/>
                <w:spacing w:val="-5"/>
                <w:sz w:val="18"/>
                <w:szCs w:val="18"/>
              </w:rPr>
              <w:t>按照《企业内部控制审计指引》及中国注册会计师执业准则的相关要求，我们审计了顺利办信息服务股份有限公司（以</w:t>
            </w:r>
          </w:p>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t>下简称“顺利办</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日的财务报告内部控制</w:t>
            </w:r>
            <w:r>
              <w:rPr>
                <w:rFonts w:ascii="宋体" w:hAnsi="宋体" w:cs="宋体" w:eastAsia="宋体" w:hint="default"/>
                <w:spacing w:val="-3"/>
                <w:sz w:val="18"/>
                <w:szCs w:val="18"/>
              </w:rPr>
              <w:t>的</w:t>
            </w:r>
            <w:r>
              <w:rPr>
                <w:rFonts w:ascii="宋体" w:hAnsi="宋体" w:cs="宋体" w:eastAsia="宋体" w:hint="default"/>
                <w:sz w:val="18"/>
                <w:szCs w:val="18"/>
              </w:rPr>
              <w:t>有效性。</w:t>
            </w:r>
          </w:p>
          <w:p>
            <w:pPr>
              <w:pStyle w:val="TableParagraph"/>
              <w:spacing w:line="360" w:lineRule="auto" w:before="115"/>
              <w:ind w:left="422" w:right="21"/>
              <w:jc w:val="left"/>
              <w:rPr>
                <w:rFonts w:ascii="宋体" w:hAnsi="宋体" w:cs="宋体" w:eastAsia="宋体" w:hint="default"/>
                <w:sz w:val="18"/>
                <w:szCs w:val="18"/>
              </w:rPr>
            </w:pPr>
            <w:r>
              <w:rPr>
                <w:rFonts w:ascii="宋体" w:hAnsi="宋体" w:cs="宋体" w:eastAsia="宋体" w:hint="default"/>
                <w:sz w:val="18"/>
                <w:szCs w:val="18"/>
              </w:rPr>
              <w:t>一、企业对内部控制的责任 </w:t>
            </w:r>
            <w:r>
              <w:rPr>
                <w:rFonts w:ascii="宋体" w:hAnsi="宋体" w:cs="宋体" w:eastAsia="宋体" w:hint="default"/>
                <w:spacing w:val="-9"/>
                <w:sz w:val="18"/>
                <w:szCs w:val="18"/>
              </w:rPr>
              <w:t>按照《企业内部控制基本规范》、《企业内部控制应用指引》、《企业内部控制评价指引》的规定，建立健全和有效实施</w:t>
            </w:r>
          </w:p>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t>内部控制，并评价其有效性是顺利办董事会的责任。</w:t>
            </w:r>
          </w:p>
        </w:tc>
      </w:tr>
    </w:tbl>
    <w:p>
      <w:pPr>
        <w:spacing w:after="0" w:line="222" w:lineRule="exact"/>
        <w:jc w:val="left"/>
        <w:rPr>
          <w:rFonts w:ascii="宋体" w:hAnsi="宋体" w:cs="宋体" w:eastAsia="宋体" w:hint="default"/>
          <w:sz w:val="18"/>
          <w:szCs w:val="18"/>
        </w:rPr>
        <w:sectPr>
          <w:pgSz w:w="11910" w:h="16840"/>
          <w:pgMar w:header="877" w:footer="980" w:top="1100" w:bottom="116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44"/>
        <w:ind w:left="0" w:right="1139"/>
        <w:jc w:val="right"/>
      </w:pPr>
      <w:r>
        <w:rPr/>
        <w:pict>
          <v:shape style="position:absolute;margin-left:56.400002pt;margin-top:-67.108307pt;width:479.3pt;height:320.350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3"/>
                    <w:gridCol w:w="6908"/>
                  </w:tblGrid>
                  <w:tr>
                    <w:trPr>
                      <w:trHeight w:val="438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8"/>
                          <w:ind w:left="422" w:right="23"/>
                          <w:jc w:val="left"/>
                          <w:rPr>
                            <w:rFonts w:ascii="宋体" w:hAnsi="宋体" w:cs="宋体" w:eastAsia="宋体" w:hint="default"/>
                            <w:sz w:val="18"/>
                            <w:szCs w:val="18"/>
                          </w:rPr>
                        </w:pPr>
                        <w:r>
                          <w:rPr>
                            <w:rFonts w:ascii="宋体" w:hAnsi="宋体" w:cs="宋体" w:eastAsia="宋体" w:hint="default"/>
                            <w:sz w:val="18"/>
                            <w:szCs w:val="18"/>
                          </w:rPr>
                          <w:t>二、注册会计师的责任 </w:t>
                        </w:r>
                        <w:r>
                          <w:rPr>
                            <w:rFonts w:ascii="宋体" w:hAnsi="宋体" w:cs="宋体" w:eastAsia="宋体" w:hint="default"/>
                            <w:spacing w:val="-2"/>
                            <w:sz w:val="18"/>
                            <w:szCs w:val="18"/>
                          </w:rPr>
                          <w:t>我们的责任是在实施审计工作的基础上，对财务报告内部控制的有效性发表审计意见，并对注意到的非财务报告内部</w:t>
                        </w:r>
                      </w:p>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t>控制的重大缺陷进行披露。</w:t>
                        </w:r>
                      </w:p>
                      <w:p>
                        <w:pPr>
                          <w:pStyle w:val="TableParagraph"/>
                          <w:spacing w:line="360" w:lineRule="auto" w:before="115"/>
                          <w:ind w:left="422" w:right="112"/>
                          <w:jc w:val="left"/>
                          <w:rPr>
                            <w:rFonts w:ascii="宋体" w:hAnsi="宋体" w:cs="宋体" w:eastAsia="宋体" w:hint="default"/>
                            <w:sz w:val="18"/>
                            <w:szCs w:val="18"/>
                          </w:rPr>
                        </w:pPr>
                        <w:r>
                          <w:rPr>
                            <w:rFonts w:ascii="宋体" w:hAnsi="宋体" w:cs="宋体" w:eastAsia="宋体" w:hint="default"/>
                            <w:sz w:val="18"/>
                            <w:szCs w:val="18"/>
                          </w:rPr>
                          <w:t>三、内部控制的固有局限性 </w:t>
                        </w:r>
                        <w:r>
                          <w:rPr>
                            <w:rFonts w:ascii="宋体" w:hAnsi="宋体" w:cs="宋体" w:eastAsia="宋体" w:hint="default"/>
                            <w:spacing w:val="-4"/>
                            <w:sz w:val="18"/>
                            <w:szCs w:val="18"/>
                          </w:rPr>
                          <w:t>内部控制具有固有局限性，存在不能防止和发现错报的可能性。此外，由于情况的变化可能导致内部控制变得不恰当</w:t>
                        </w:r>
                      </w:p>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t>或对控制政策和程序遵循的程度降低，根据内部控制审计结果推测未来内部控制的有效性具有一定风险。</w:t>
                        </w:r>
                      </w:p>
                      <w:p>
                        <w:pPr>
                          <w:pStyle w:val="TableParagraph"/>
                          <w:spacing w:line="240" w:lineRule="auto" w:before="117"/>
                          <w:ind w:left="422" w:right="0"/>
                          <w:jc w:val="left"/>
                          <w:rPr>
                            <w:rFonts w:ascii="宋体" w:hAnsi="宋体" w:cs="宋体" w:eastAsia="宋体" w:hint="default"/>
                            <w:sz w:val="18"/>
                            <w:szCs w:val="18"/>
                          </w:rPr>
                        </w:pPr>
                        <w:r>
                          <w:rPr>
                            <w:rFonts w:ascii="宋体" w:hAnsi="宋体" w:cs="宋体" w:eastAsia="宋体" w:hint="default"/>
                            <w:sz w:val="18"/>
                            <w:szCs w:val="18"/>
                          </w:rPr>
                          <w:t>四、财务报告内部控制审计意见</w:t>
                        </w:r>
                      </w:p>
                      <w:p>
                        <w:pPr>
                          <w:pStyle w:val="TableParagraph"/>
                          <w:spacing w:line="316" w:lineRule="auto" w:before="115"/>
                          <w:ind w:left="24" w:right="44" w:firstLine="398"/>
                          <w:jc w:val="both"/>
                          <w:rPr>
                            <w:rFonts w:ascii="宋体" w:hAnsi="宋体" w:cs="宋体" w:eastAsia="宋体" w:hint="default"/>
                            <w:sz w:val="18"/>
                            <w:szCs w:val="18"/>
                          </w:rPr>
                        </w:pPr>
                        <w:r>
                          <w:rPr>
                            <w:rFonts w:ascii="宋体" w:hAnsi="宋体" w:cs="宋体" w:eastAsia="宋体" w:hint="default"/>
                            <w:sz w:val="18"/>
                            <w:szCs w:val="18"/>
                          </w:rPr>
                          <w:t>我们认为，顺利办于</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日按照《企业内部控制基本规范》和相关规定在所有重大方面保持了有效的财 务报告内部控制。</w:t>
                        </w:r>
                      </w:p>
                      <w:p>
                        <w:pPr>
                          <w:pStyle w:val="TableParagraph"/>
                          <w:spacing w:line="240" w:lineRule="auto" w:before="59"/>
                          <w:ind w:left="422" w:right="0"/>
                          <w:jc w:val="left"/>
                          <w:rPr>
                            <w:rFonts w:ascii="宋体" w:hAnsi="宋体" w:cs="宋体" w:eastAsia="宋体" w:hint="default"/>
                            <w:sz w:val="18"/>
                            <w:szCs w:val="18"/>
                          </w:rPr>
                        </w:pPr>
                        <w:r>
                          <w:rPr>
                            <w:rFonts w:ascii="宋体" w:hAnsi="宋体" w:cs="宋体" w:eastAsia="宋体" w:hint="default"/>
                            <w:sz w:val="18"/>
                            <w:szCs w:val="18"/>
                          </w:rPr>
                          <w:t>五、强调事项</w:t>
                        </w:r>
                      </w:p>
                      <w:p>
                        <w:pPr>
                          <w:pStyle w:val="TableParagraph"/>
                          <w:spacing w:line="319" w:lineRule="auto" w:before="117"/>
                          <w:ind w:left="24" w:right="25" w:firstLine="398"/>
                          <w:jc w:val="both"/>
                          <w:rPr>
                            <w:rFonts w:ascii="宋体" w:hAnsi="宋体" w:cs="宋体" w:eastAsia="宋体" w:hint="default"/>
                            <w:sz w:val="18"/>
                            <w:szCs w:val="18"/>
                          </w:rPr>
                        </w:pPr>
                        <w:r>
                          <w:rPr>
                            <w:rFonts w:ascii="宋体" w:hAnsi="宋体" w:cs="宋体" w:eastAsia="宋体" w:hint="default"/>
                            <w:sz w:val="18"/>
                            <w:szCs w:val="18"/>
                          </w:rPr>
                          <w:t>我们提醒内部控制审计报告使用者关注，顺利办实施业务发展计划，于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年并购公司，但未能有效化解并 </w:t>
                        </w:r>
                        <w:r>
                          <w:rPr>
                            <w:rFonts w:ascii="宋体" w:hAnsi="宋体" w:cs="宋体" w:eastAsia="宋体" w:hint="default"/>
                            <w:spacing w:val="-1"/>
                            <w:sz w:val="18"/>
                            <w:szCs w:val="18"/>
                          </w:rPr>
                          <w:t>购整合中部分公司出现的经营业务协同方面差异，导致报告期内处置部分子公司。本段内容不影响已对财务报表内控制度</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发表的审计意见。</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带强调事项段无保留意见</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before="44"/>
        <w:ind w:right="1133"/>
        <w:jc w:val="left"/>
      </w:pPr>
      <w:r>
        <w:rPr/>
        <w:t>会计师事务所是否出具非标准意见的内部控制审计报告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348" w:lineRule="auto" w:before="42"/>
        <w:ind w:right="39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会计师事务所出具的内部控制审计报告与董事会的自我评价报告意见不一致的原因说明 不适用</w:t>
      </w:r>
    </w:p>
    <w:p>
      <w:pPr>
        <w:spacing w:after="0" w:line="34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045" w:right="1133"/>
        <w:jc w:val="left"/>
        <w:rPr>
          <w:b w:val="0"/>
          <w:bCs w:val="0"/>
        </w:rPr>
      </w:pPr>
      <w:bookmarkStart w:name="第十一节公司债券相关情况" w:id="155"/>
      <w:bookmarkEnd w:id="155"/>
      <w:r>
        <w:rPr>
          <w:b w:val="0"/>
          <w:bCs w:val="0"/>
        </w:rPr>
      </w:r>
      <w:bookmarkStart w:name="_bookmark9" w:id="156"/>
      <w:bookmarkEnd w:id="156"/>
      <w:r>
        <w:rPr>
          <w:b w:val="0"/>
          <w:bCs w:val="0"/>
        </w:rPr>
      </w:r>
      <w:r>
        <w:rPr/>
        <w:t>第十一节公司债券相关情况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211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607" w:right="1133"/>
        <w:jc w:val="left"/>
        <w:rPr>
          <w:b w:val="0"/>
          <w:bCs w:val="0"/>
        </w:rPr>
      </w:pPr>
      <w:bookmarkStart w:name="第十二节 财务报告" w:id="157"/>
      <w:bookmarkEnd w:id="157"/>
      <w:r>
        <w:rPr>
          <w:b w:val="0"/>
          <w:bCs w:val="0"/>
        </w:rPr>
      </w:r>
      <w:bookmarkStart w:name="_bookmark10" w:id="158"/>
      <w:bookmarkEnd w:id="158"/>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59"/>
      <w:bookmarkEnd w:id="15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ZG10839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王首一、王磊</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Heading5"/>
        <w:spacing w:line="316" w:lineRule="auto"/>
        <w:ind w:left="578" w:right="0" w:hanging="426"/>
        <w:jc w:val="left"/>
        <w:rPr>
          <w:b w:val="0"/>
          <w:bCs w:val="0"/>
        </w:rPr>
      </w:pPr>
      <w:r>
        <w:rPr>
          <w:w w:val="95"/>
        </w:rPr>
        <w:t>顺利办信息服务股份有限公司全体股东：</w:t>
      </w:r>
      <w:r>
        <w:rPr>
          <w:spacing w:val="73"/>
          <w:w w:val="95"/>
        </w:rPr>
        <w:t> </w:t>
      </w:r>
      <w:r>
        <w:rPr>
          <w:spacing w:val="73"/>
          <w:w w:val="95"/>
        </w:rPr>
      </w:r>
      <w:r>
        <w:rPr>
          <w:rFonts w:ascii="宋体" w:hAnsi="宋体" w:cs="宋体" w:eastAsia="宋体" w:hint="default"/>
        </w:rPr>
        <w:t>1</w:t>
      </w:r>
      <w:r>
        <w:rPr/>
        <w:t>、审计意见</w:t>
      </w:r>
      <w:r>
        <w:rPr>
          <w:b w:val="0"/>
          <w:bCs w:val="0"/>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404" w:space="876"/>
            <w:col w:w="6650"/>
          </w:cols>
        </w:sectPr>
      </w:pPr>
    </w:p>
    <w:p>
      <w:pPr>
        <w:pStyle w:val="BodyText"/>
        <w:spacing w:line="316" w:lineRule="auto" w:before="19"/>
        <w:ind w:right="1130" w:firstLine="422"/>
        <w:jc w:val="both"/>
      </w:pPr>
      <w:r>
        <w:rPr/>
        <w:t>我们审计了顺利办信息服务股份有限公司（以下简称“顺利办”）财务报表，包括</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日的合并及母公司资 </w:t>
      </w:r>
      <w:r>
        <w:rPr>
          <w:spacing w:val="-2"/>
        </w:rPr>
        <w:t>产负债表，</w:t>
      </w:r>
      <w:r>
        <w:rPr>
          <w:rFonts w:ascii="宋体" w:hAnsi="宋体" w:cs="宋体" w:eastAsia="宋体" w:hint="default"/>
          <w:spacing w:val="-2"/>
        </w:rPr>
        <w:t>2019</w:t>
      </w:r>
      <w:r>
        <w:rPr>
          <w:spacing w:val="-2"/>
        </w:rPr>
        <w:t>年度的合并及母公司利润表、合并及母公司现金流量表、合并及母公司所有者权益变动表以及相关财务报表</w:t>
      </w:r>
      <w:r>
        <w:rPr>
          <w:spacing w:val="-60"/>
        </w:rPr>
        <w:t> </w:t>
      </w:r>
      <w:r>
        <w:rPr>
          <w:spacing w:val="-60"/>
        </w:rPr>
      </w:r>
      <w:r>
        <w:rPr/>
        <w:t>附注。</w:t>
      </w:r>
    </w:p>
    <w:p>
      <w:pPr>
        <w:pStyle w:val="BodyText"/>
        <w:spacing w:line="316" w:lineRule="auto" w:before="19"/>
        <w:ind w:right="1131" w:firstLine="422"/>
        <w:jc w:val="both"/>
      </w:pPr>
      <w:r>
        <w:rPr/>
        <w:t>我们认为，后附的财务报表在所有重大方面按照企业会计准则的规定编制，公允反映了顺利办</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 及母公司财务状况以及</w:t>
      </w:r>
      <w:r>
        <w:rPr>
          <w:rFonts w:ascii="宋体" w:hAnsi="宋体" w:cs="宋体" w:eastAsia="宋体" w:hint="default"/>
        </w:rPr>
        <w:t>2019</w:t>
      </w:r>
      <w:r>
        <w:rPr/>
        <w:t>年度的合并及母公司经营成果和现金流量。</w:t>
      </w:r>
    </w:p>
    <w:p>
      <w:pPr>
        <w:pStyle w:val="BodyText"/>
        <w:spacing w:line="316" w:lineRule="auto" w:before="19"/>
        <w:ind w:left="575" w:right="1123" w:firstLine="2"/>
        <w:jc w:val="left"/>
      </w:pPr>
      <w:r>
        <w:rPr>
          <w:rFonts w:ascii="宋体" w:hAnsi="宋体" w:cs="宋体" w:eastAsia="宋体" w:hint="default"/>
          <w:b/>
          <w:bCs/>
        </w:rPr>
        <w:t>2</w:t>
      </w:r>
      <w:r>
        <w:rPr>
          <w:rFonts w:ascii="宋体" w:hAnsi="宋体" w:cs="宋体" w:eastAsia="宋体" w:hint="default"/>
          <w:b/>
          <w:bCs/>
        </w:rPr>
        <w:t>、形成审计意见的基础</w:t>
      </w:r>
      <w:r>
        <w:rPr>
          <w:rFonts w:ascii="宋体" w:hAnsi="宋体" w:cs="宋体" w:eastAsia="宋体" w:hint="default"/>
          <w:b/>
          <w:bCs/>
          <w:w w:val="99"/>
        </w:rPr>
        <w:t> </w:t>
      </w:r>
      <w:r>
        <w:rPr/>
        <w:t>我们按照中国注册会计师审计准则的规定执行了审计工作。审计报告的“注册会计师对财务报表审计的责任”部分进</w:t>
      </w:r>
    </w:p>
    <w:p>
      <w:pPr>
        <w:pStyle w:val="BodyText"/>
        <w:spacing w:line="319" w:lineRule="auto" w:before="19"/>
        <w:ind w:right="1123"/>
        <w:jc w:val="left"/>
      </w:pPr>
      <w:r>
        <w:rPr>
          <w:spacing w:val="-2"/>
        </w:rPr>
        <w:t>一步阐述了我们在这些准则下的责任。按照中国注册会计师职业道德守则，我们独立于顺利办，并履行了职业道德方面的其</w:t>
      </w:r>
      <w:r>
        <w:rPr>
          <w:spacing w:val="-63"/>
        </w:rPr>
        <w:t> </w:t>
      </w:r>
      <w:r>
        <w:rPr>
          <w:spacing w:val="-63"/>
        </w:rPr>
      </w:r>
      <w:r>
        <w:rPr/>
        <w:t>他责任。我们相信，我们获取的审计证据是充分、适当的，为发表审计意见提供了基础。</w:t>
      </w:r>
    </w:p>
    <w:p>
      <w:pPr>
        <w:pStyle w:val="BodyText"/>
        <w:spacing w:line="316" w:lineRule="auto" w:before="17"/>
        <w:ind w:left="575" w:right="1133" w:firstLine="2"/>
        <w:jc w:val="left"/>
      </w:pPr>
      <w:r>
        <w:rPr>
          <w:rFonts w:ascii="宋体" w:hAnsi="宋体" w:cs="宋体" w:eastAsia="宋体" w:hint="default"/>
          <w:b/>
          <w:bCs/>
        </w:rPr>
        <w:t>3</w:t>
      </w:r>
      <w:r>
        <w:rPr>
          <w:rFonts w:ascii="宋体" w:hAnsi="宋体" w:cs="宋体" w:eastAsia="宋体" w:hint="default"/>
          <w:b/>
          <w:bCs/>
        </w:rPr>
        <w:t>、关键审计事项</w:t>
      </w:r>
      <w:r>
        <w:rPr>
          <w:rFonts w:ascii="宋体" w:hAnsi="宋体" w:cs="宋体" w:eastAsia="宋体" w:hint="default"/>
          <w:b/>
          <w:bCs/>
          <w:w w:val="99"/>
        </w:rPr>
        <w:t> </w:t>
      </w:r>
      <w:r>
        <w:rPr/>
        <w:t>关键审计事项是我们根据职业判断，认为对本期财务报表审计最为重要的事项。这些事项的应对以对财务报表整体进</w:t>
      </w:r>
    </w:p>
    <w:p>
      <w:pPr>
        <w:pStyle w:val="BodyText"/>
        <w:spacing w:line="316" w:lineRule="auto" w:before="19"/>
        <w:ind w:right="1123"/>
        <w:jc w:val="left"/>
      </w:pPr>
      <w:r>
        <w:rPr>
          <w:spacing w:val="-2"/>
        </w:rPr>
        <w:t>行审计并形成审计意见为背景，我们不对这些事项单独发表意见。我们确定下列事项是需要在审计报告中沟通的关键审计事</w:t>
      </w:r>
      <w:r>
        <w:rPr>
          <w:spacing w:val="-63"/>
        </w:rPr>
        <w:t> </w:t>
      </w:r>
      <w:r>
        <w:rPr>
          <w:spacing w:val="-63"/>
        </w:rPr>
      </w:r>
      <w:r>
        <w:rPr/>
        <w:t>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44"/>
        <w:ind w:left="0" w:right="1050"/>
        <w:jc w:val="right"/>
      </w:pPr>
      <w:r>
        <w:rPr/>
        <w:pict>
          <v:shape style="position:absolute;margin-left:56.279999pt;margin-top:-96.63826pt;width:483.1pt;height:240.0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1"/>
                    <w:gridCol w:w="6519"/>
                  </w:tblGrid>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10"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6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76"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6"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（一）商誉减值</w:t>
                        </w:r>
                        <w:r>
                          <w:rPr>
                            <w:rFonts w:ascii="宋体" w:hAnsi="宋体" w:cs="宋体" w:eastAsia="宋体" w:hint="default"/>
                            <w:sz w:val="18"/>
                            <w:szCs w:val="18"/>
                          </w:rPr>
                        </w:r>
                      </w:p>
                    </w:tc>
                  </w:tr>
                  <w:tr>
                    <w:trPr>
                      <w:trHeight w:val="4093"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pacing w:val="-8"/>
                            <w:sz w:val="18"/>
                            <w:szCs w:val="18"/>
                          </w:rPr>
                          <w:t>如后附的财务报表附注五、（十五）“商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誉”、财务报表附注三、（十九）“长 期资产减值”所述，顺利办截至</w:t>
                        </w:r>
                        <w:r>
                          <w:rPr>
                            <w:rFonts w:ascii="宋体" w:hAnsi="宋体" w:cs="宋体" w:eastAsia="宋体" w:hint="default"/>
                            <w:sz w:val="18"/>
                            <w:szCs w:val="18"/>
                          </w:rPr>
                          <w:t>2019</w:t>
                        </w:r>
                        <w:r>
                          <w:rPr>
                            <w:rFonts w:ascii="宋体" w:hAnsi="宋体" w:cs="宋体" w:eastAsia="宋体" w:hint="default"/>
                            <w:sz w:val="18"/>
                            <w:szCs w:val="18"/>
                          </w:rPr>
                          <w:t>年 </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日合并财务报表的商誉账面原值</w:t>
                        </w:r>
                      </w:p>
                      <w:p>
                        <w:pPr>
                          <w:pStyle w:val="TableParagraph"/>
                          <w:spacing w:line="316" w:lineRule="auto" w:before="19"/>
                          <w:ind w:left="4" w:right="0"/>
                          <w:jc w:val="left"/>
                          <w:rPr>
                            <w:rFonts w:ascii="宋体" w:hAnsi="宋体" w:cs="宋体" w:eastAsia="宋体" w:hint="default"/>
                            <w:sz w:val="18"/>
                            <w:szCs w:val="18"/>
                          </w:rPr>
                        </w:pPr>
                        <w:r>
                          <w:rPr>
                            <w:rFonts w:ascii="宋体" w:hAnsi="宋体" w:cs="宋体" w:eastAsia="宋体" w:hint="default"/>
                            <w:spacing w:val="-3"/>
                            <w:sz w:val="18"/>
                            <w:szCs w:val="18"/>
                          </w:rPr>
                          <w:t>23.10</w:t>
                        </w:r>
                        <w:r>
                          <w:rPr>
                            <w:rFonts w:ascii="宋体" w:hAnsi="宋体" w:cs="宋体" w:eastAsia="宋体" w:hint="default"/>
                            <w:spacing w:val="-3"/>
                            <w:sz w:val="18"/>
                            <w:szCs w:val="18"/>
                          </w:rPr>
                          <w:t>亿元，经评估商誉发生减值，减值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金额为</w:t>
                        </w:r>
                        <w:r>
                          <w:rPr>
                            <w:rFonts w:ascii="宋体" w:hAnsi="宋体" w:cs="宋体" w:eastAsia="宋体" w:hint="default"/>
                            <w:sz w:val="18"/>
                            <w:szCs w:val="18"/>
                          </w:rPr>
                          <w:t>7.59</w:t>
                        </w:r>
                        <w:r>
                          <w:rPr>
                            <w:rFonts w:ascii="宋体" w:hAnsi="宋体" w:cs="宋体" w:eastAsia="宋体" w:hint="default"/>
                            <w:sz w:val="18"/>
                            <w:szCs w:val="18"/>
                          </w:rPr>
                          <w:t>亿元，商誉账面净额占合并 资产总额</w:t>
                        </w:r>
                        <w:r>
                          <w:rPr>
                            <w:rFonts w:ascii="宋体" w:hAnsi="宋体" w:cs="宋体" w:eastAsia="宋体" w:hint="default"/>
                            <w:sz w:val="18"/>
                            <w:szCs w:val="18"/>
                          </w:rPr>
                          <w:t>55.71%</w:t>
                        </w:r>
                        <w:r>
                          <w:rPr>
                            <w:rFonts w:ascii="宋体" w:hAnsi="宋体" w:cs="宋体" w:eastAsia="宋体" w:hint="default"/>
                            <w:sz w:val="18"/>
                            <w:szCs w:val="18"/>
                          </w:rPr>
                          <w:t>，是合并资产负债表中 重要的组成部分。 由于公司商誉金额重大，且管理层在测 试时需要对预期未来现金流量和折现率 等关键假设作出重大判断，因此，我们 将商誉减值确定为关键审计事项。</w:t>
                        </w:r>
                      </w:p>
                    </w:tc>
                    <w:tc>
                      <w:tcPr>
                        <w:tcW w:w="65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720"/>
                          <w:jc w:val="left"/>
                          <w:rPr>
                            <w:rFonts w:ascii="宋体" w:hAnsi="宋体" w:cs="宋体" w:eastAsia="宋体" w:hint="default"/>
                            <w:sz w:val="18"/>
                            <w:szCs w:val="18"/>
                          </w:rPr>
                        </w:pPr>
                        <w:r>
                          <w:rPr>
                            <w:rFonts w:ascii="宋体" w:hAnsi="宋体" w:cs="宋体" w:eastAsia="宋体" w:hint="default"/>
                            <w:sz w:val="18"/>
                            <w:szCs w:val="18"/>
                          </w:rPr>
                          <w:t>审计应对 针对商誉减值，我们实施的审计程序主要包括：</w:t>
                        </w:r>
                      </w:p>
                      <w:p>
                        <w:pPr>
                          <w:pStyle w:val="TableParagraph"/>
                          <w:spacing w:line="316" w:lineRule="auto" w:before="19"/>
                          <w:ind w:left="2"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）评价并测试与商誉减值测试相关的内部控制，包括对关键假设的采用及减值计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提金额的复核和审批。</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了解并评价管理层对商</w:t>
                        </w:r>
                        <w:r>
                          <w:rPr>
                            <w:rFonts w:ascii="宋体" w:hAnsi="宋体" w:cs="宋体" w:eastAsia="宋体" w:hint="default"/>
                            <w:spacing w:val="-3"/>
                            <w:sz w:val="18"/>
                            <w:szCs w:val="18"/>
                          </w:rPr>
                          <w:t>誉</w:t>
                        </w:r>
                        <w:r>
                          <w:rPr>
                            <w:rFonts w:ascii="宋体" w:hAnsi="宋体" w:cs="宋体" w:eastAsia="宋体" w:hint="default"/>
                            <w:sz w:val="18"/>
                            <w:szCs w:val="18"/>
                          </w:rPr>
                          <w:t>所属资产组的认定</w:t>
                        </w:r>
                        <w:r>
                          <w:rPr>
                            <w:rFonts w:ascii="宋体" w:hAnsi="宋体" w:cs="宋体" w:eastAsia="宋体" w:hint="default"/>
                            <w:spacing w:val="-80"/>
                            <w:sz w:val="18"/>
                            <w:szCs w:val="18"/>
                          </w:rPr>
                          <w:t>，</w:t>
                        </w:r>
                        <w:r>
                          <w:rPr>
                            <w:rFonts w:ascii="宋体" w:hAnsi="宋体" w:cs="宋体" w:eastAsia="宋体" w:hint="default"/>
                            <w:sz w:val="18"/>
                            <w:szCs w:val="18"/>
                          </w:rPr>
                          <w:t>以及商誉减值测试的政策和方法</w:t>
                        </w:r>
                      </w:p>
                      <w:p>
                        <w:pPr>
                          <w:pStyle w:val="TableParagraph"/>
                          <w:spacing w:line="316" w:lineRule="auto" w:before="76"/>
                          <w:ind w:left="2"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）评价管理层聘请的协助其进行减值测试的外部独立评估机构的胜任能力、专业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素质和客观性。</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）与外部独立评估机构进行沟通，了解其评估范围，以及评估思路和方法。</w:t>
                        </w:r>
                      </w:p>
                      <w:p>
                        <w:pPr>
                          <w:pStyle w:val="TableParagraph"/>
                          <w:spacing w:line="316" w:lineRule="auto" w:before="76"/>
                          <w:ind w:left="2"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5</w:t>
                        </w:r>
                        <w:r>
                          <w:rPr>
                            <w:rFonts w:ascii="宋体" w:hAnsi="宋体" w:cs="宋体" w:eastAsia="宋体" w:hint="default"/>
                            <w:spacing w:val="-2"/>
                            <w:sz w:val="18"/>
                            <w:szCs w:val="18"/>
                          </w:rPr>
                          <w:t>）获取外部独立评估机构出具的评估报告，在本所估值专家的协助下，评价商誉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减值测试过程中所采用方法的恰当性、关键假设和重要参数（如增长率、折现率等</w:t>
                        </w:r>
                        <w:r>
                          <w:rPr>
                            <w:rFonts w:ascii="宋体" w:hAnsi="宋体" w:cs="宋体" w:eastAsia="宋体" w:hint="default"/>
                            <w:sz w:val="18"/>
                            <w:szCs w:val="18"/>
                          </w:rPr>
                          <w:t> 的合理性。</w:t>
                        </w:r>
                      </w:p>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）复核商誉减值计算的正确性。</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）评价财务报表附注中与商誉减值相关的披露。</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1052"/>
        <w:jc w:val="right"/>
      </w:pPr>
      <w:r>
        <w:rPr/>
        <w:t>）</w:t>
      </w:r>
    </w:p>
    <w:p>
      <w:pPr>
        <w:spacing w:after="0" w:line="240" w:lineRule="auto"/>
        <w:jc w:val="right"/>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121"/>
        <w:gridCol w:w="6519"/>
      </w:tblGrid>
      <w:tr>
        <w:trPr>
          <w:trHeight w:val="348"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（二）收入确认</w:t>
            </w:r>
            <w:r>
              <w:rPr>
                <w:rFonts w:ascii="宋体" w:hAnsi="宋体" w:cs="宋体" w:eastAsia="宋体" w:hint="default"/>
                <w:sz w:val="18"/>
                <w:szCs w:val="18"/>
              </w:rPr>
            </w:r>
          </w:p>
        </w:tc>
      </w:tr>
      <w:tr>
        <w:trPr>
          <w:trHeight w:val="377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both"/>
              <w:rPr>
                <w:rFonts w:ascii="宋体" w:hAnsi="宋体" w:cs="宋体" w:eastAsia="宋体" w:hint="default"/>
                <w:sz w:val="18"/>
                <w:szCs w:val="18"/>
              </w:rPr>
            </w:pPr>
            <w:r>
              <w:rPr>
                <w:rFonts w:ascii="宋体" w:hAnsi="宋体" w:cs="宋体" w:eastAsia="宋体" w:hint="default"/>
                <w:spacing w:val="-8"/>
                <w:sz w:val="18"/>
                <w:szCs w:val="18"/>
              </w:rPr>
              <w:t>如后附财务报表附注三、（二十四）“收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入”及财务报表附注五、（三十四）“营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业收入和营业成本”所述，顺利办主要 从事人力资本、企业咨询、加盟增值服 务等综合服务业务。</w:t>
            </w:r>
            <w:r>
              <w:rPr>
                <w:rFonts w:ascii="宋体" w:hAnsi="宋体" w:cs="宋体" w:eastAsia="宋体" w:hint="default"/>
                <w:sz w:val="18"/>
                <w:szCs w:val="18"/>
              </w:rPr>
              <w:t>2019</w:t>
            </w:r>
            <w:r>
              <w:rPr>
                <w:rFonts w:ascii="宋体" w:hAnsi="宋体" w:cs="宋体" w:eastAsia="宋体" w:hint="default"/>
                <w:sz w:val="18"/>
                <w:szCs w:val="18"/>
              </w:rPr>
              <w:t>年度实现营业 </w:t>
            </w:r>
            <w:r>
              <w:rPr>
                <w:rFonts w:ascii="宋体" w:hAnsi="宋体" w:cs="宋体" w:eastAsia="宋体" w:hint="default"/>
                <w:spacing w:val="-3"/>
                <w:sz w:val="18"/>
                <w:szCs w:val="18"/>
              </w:rPr>
              <w:t>收入</w:t>
            </w:r>
            <w:r>
              <w:rPr>
                <w:rFonts w:ascii="宋体" w:hAnsi="宋体" w:cs="宋体" w:eastAsia="宋体" w:hint="default"/>
                <w:spacing w:val="-3"/>
                <w:sz w:val="18"/>
                <w:szCs w:val="18"/>
              </w:rPr>
              <w:t>20.25</w:t>
            </w:r>
            <w:r>
              <w:rPr>
                <w:rFonts w:ascii="宋体" w:hAnsi="宋体" w:cs="宋体" w:eastAsia="宋体" w:hint="default"/>
                <w:spacing w:val="-3"/>
                <w:sz w:val="18"/>
                <w:szCs w:val="18"/>
              </w:rPr>
              <w:t>亿元，因收入金额重大且为顺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利办的关键业绩指标之一，从而存在管 理层为了达到特定目标或预期而操纵收</w:t>
            </w:r>
            <w:r>
              <w:rPr>
                <w:rFonts w:ascii="宋体" w:hAnsi="宋体" w:cs="宋体" w:eastAsia="宋体" w:hint="default"/>
                <w:sz w:val="18"/>
                <w:szCs w:val="18"/>
              </w:rPr>
              <w:t> 入的固有风险，我们将顺利办收入确认 识别为关键审计事项。</w:t>
            </w:r>
          </w:p>
        </w:tc>
        <w:tc>
          <w:tcPr>
            <w:tcW w:w="65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720"/>
              <w:jc w:val="left"/>
              <w:rPr>
                <w:rFonts w:ascii="宋体" w:hAnsi="宋体" w:cs="宋体" w:eastAsia="宋体" w:hint="default"/>
                <w:sz w:val="18"/>
                <w:szCs w:val="18"/>
              </w:rPr>
            </w:pPr>
            <w:r>
              <w:rPr>
                <w:rFonts w:ascii="宋体" w:hAnsi="宋体" w:cs="宋体" w:eastAsia="宋体" w:hint="default"/>
                <w:sz w:val="18"/>
                <w:szCs w:val="18"/>
              </w:rPr>
              <w:t>审计应对 针对收入确认，我们实施的审计程序主要包括：</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）评价、测试与收入确认相关的关键内部控制的设计和运行的有效性。</w:t>
            </w:r>
          </w:p>
          <w:p>
            <w:pPr>
              <w:pStyle w:val="TableParagraph"/>
              <w:spacing w:line="316" w:lineRule="auto" w:before="76"/>
              <w:ind w:left="2"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）选取样本检查服务合同，识别与提供服务所有权上的风险和报酬转移相关的合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同条款与条件，评价顺利办服务收入确认方法是否符合企业会计准则的相关规定。</w:t>
            </w:r>
          </w:p>
          <w:p>
            <w:pPr>
              <w:pStyle w:val="TableParagraph"/>
              <w:spacing w:line="316" w:lineRule="auto" w:before="19"/>
              <w:ind w:left="2"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）针对本年度记录的交易选取样本，核对服务合同或协议、检查服务提供完毕的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证据，评价相关收入确认是否符合顺利办收入确认的会计政策。</w:t>
            </w:r>
          </w:p>
          <w:p>
            <w:pPr>
              <w:pStyle w:val="TableParagraph"/>
              <w:spacing w:line="316" w:lineRule="auto" w:before="19"/>
              <w:ind w:left="2"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4</w:t>
            </w:r>
            <w:r>
              <w:rPr>
                <w:rFonts w:ascii="宋体" w:hAnsi="宋体" w:cs="宋体" w:eastAsia="宋体" w:hint="default"/>
                <w:spacing w:val="-2"/>
                <w:sz w:val="18"/>
                <w:szCs w:val="18"/>
              </w:rPr>
              <w:t>）选择交易金额较大的客户，核查是否存在关联关系，对其交易额与余额进行函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证、执行访谈、客户现场核查程序，评价收入真实性。</w:t>
            </w:r>
          </w:p>
          <w:p>
            <w:pPr>
              <w:pStyle w:val="TableParagraph"/>
              <w:spacing w:line="316" w:lineRule="auto" w:before="19"/>
              <w:ind w:left="2"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5</w:t>
            </w:r>
            <w:r>
              <w:rPr>
                <w:rFonts w:ascii="宋体" w:hAnsi="宋体" w:cs="宋体" w:eastAsia="宋体" w:hint="default"/>
                <w:spacing w:val="-2"/>
                <w:sz w:val="18"/>
                <w:szCs w:val="18"/>
              </w:rPr>
              <w:t>）针对资产负债表日前后的交易选取样本，检查收入确认支持性文件，评价收入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是否被记录于恰当的会计期间。</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）检查与收入确认相关的信息在财务报表中的列报与披露是否充分、适当。</w:t>
            </w:r>
          </w:p>
        </w:tc>
      </w:tr>
    </w:tbl>
    <w:p>
      <w:pPr>
        <w:pStyle w:val="BodyText"/>
        <w:spacing w:line="316" w:lineRule="auto" w:before="8"/>
        <w:ind w:left="575" w:right="1133" w:firstLine="2"/>
        <w:jc w:val="left"/>
      </w:pPr>
      <w:r>
        <w:rPr>
          <w:rFonts w:ascii="宋体" w:hAnsi="宋体" w:cs="宋体" w:eastAsia="宋体" w:hint="default"/>
          <w:b/>
          <w:bCs/>
        </w:rPr>
        <w:t>4</w:t>
      </w:r>
      <w:r>
        <w:rPr>
          <w:rFonts w:ascii="宋体" w:hAnsi="宋体" w:cs="宋体" w:eastAsia="宋体" w:hint="default"/>
          <w:b/>
          <w:bCs/>
        </w:rPr>
        <w:t>、其他信息</w:t>
      </w:r>
      <w:r>
        <w:rPr>
          <w:rFonts w:ascii="宋体" w:hAnsi="宋体" w:cs="宋体" w:eastAsia="宋体" w:hint="default"/>
          <w:b/>
          <w:bCs/>
          <w:w w:val="99"/>
        </w:rPr>
        <w:t> </w:t>
      </w:r>
      <w:r>
        <w:rPr/>
        <w:t>顺利办管理层（以下简称管理层）对其他信息负责。其他信息包括顺利办</w:t>
      </w:r>
      <w:r>
        <w:rPr>
          <w:rFonts w:ascii="宋体" w:hAnsi="宋体" w:cs="宋体" w:eastAsia="宋体" w:hint="default"/>
        </w:rPr>
        <w:t>2019</w:t>
      </w:r>
      <w:r>
        <w:rPr/>
        <w:t>年年度报告中涵盖的信息，但不包括财</w:t>
      </w:r>
    </w:p>
    <w:p>
      <w:pPr>
        <w:pStyle w:val="BodyText"/>
        <w:spacing w:line="316" w:lineRule="auto" w:before="19"/>
        <w:ind w:left="575" w:right="1133" w:hanging="423"/>
        <w:jc w:val="left"/>
      </w:pPr>
      <w:r>
        <w:rPr/>
        <w:t>务报表和我们的审计报告。 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316" w:lineRule="auto" w:before="19"/>
        <w:ind w:left="575" w:right="1133" w:hanging="423"/>
        <w:jc w:val="left"/>
      </w:pPr>
      <w:r>
        <w:rPr/>
        <w:t>过程中了解到的情况存在重大不一致或者似乎存在重大错报。 基于我们已执行的工作，如果我们确定其他信息存在重大错报，我们应当报告该事实。在这方面，我们无任何事项需</w:t>
      </w:r>
    </w:p>
    <w:p>
      <w:pPr>
        <w:pStyle w:val="BodyText"/>
        <w:spacing w:line="240" w:lineRule="auto" w:before="19"/>
        <w:ind w:right="1133"/>
        <w:jc w:val="left"/>
      </w:pPr>
      <w:r>
        <w:rPr/>
        <w:t>要报告。</w:t>
      </w:r>
    </w:p>
    <w:p>
      <w:pPr>
        <w:spacing w:line="316" w:lineRule="auto" w:before="76"/>
        <w:ind w:left="575" w:right="1133" w:firstLine="2"/>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管理层负责按照企业会计准则的规定编制财务报表，使其实现公允反映，并设计、执行和维护必要的内部控制，以使</w:t>
      </w:r>
    </w:p>
    <w:p>
      <w:pPr>
        <w:pStyle w:val="BodyText"/>
        <w:spacing w:line="316" w:lineRule="auto" w:before="19"/>
        <w:ind w:left="575" w:right="1133" w:hanging="423"/>
        <w:jc w:val="left"/>
      </w:pPr>
      <w:r>
        <w:rPr/>
        <w:t>财务报表不存在由于舞弊或错误导致的重大错报。 在编制财务报表时，管理层负责评估顺利办的持续经营能力，披露与持续经营相关的事项（如适用），并运用持续经</w:t>
      </w:r>
    </w:p>
    <w:p>
      <w:pPr>
        <w:spacing w:line="316" w:lineRule="auto" w:before="19"/>
        <w:ind w:left="575" w:right="5714" w:hanging="423"/>
        <w:jc w:val="left"/>
        <w:rPr>
          <w:rFonts w:ascii="宋体" w:hAnsi="宋体" w:cs="宋体" w:eastAsia="宋体" w:hint="default"/>
          <w:sz w:val="18"/>
          <w:szCs w:val="18"/>
        </w:rPr>
      </w:pPr>
      <w:r>
        <w:rPr>
          <w:rFonts w:ascii="宋体" w:hAnsi="宋体" w:cs="宋体" w:eastAsia="宋体" w:hint="default"/>
          <w:sz w:val="18"/>
          <w:szCs w:val="18"/>
        </w:rPr>
        <w:t>营假设，除非计划进行清算、终止运营或别无其他现实的选择。 治理层负责监督顺利办的财务报告过程。 </w:t>
      </w:r>
      <w:r>
        <w:rPr>
          <w:rFonts w:ascii="宋体" w:hAnsi="宋体" w:cs="宋体" w:eastAsia="宋体" w:hint="default"/>
          <w:b/>
          <w:bCs/>
          <w:sz w:val="18"/>
          <w:szCs w:val="18"/>
        </w:rPr>
        <w:t>6</w:t>
      </w:r>
      <w:r>
        <w:rPr>
          <w:rFonts w:ascii="宋体" w:hAnsi="宋体" w:cs="宋体" w:eastAsia="宋体" w:hint="default"/>
          <w:b/>
          <w:bCs/>
          <w:sz w:val="18"/>
          <w:szCs w:val="18"/>
        </w:rPr>
        <w:t>、注册会计师对财务报表审计的责任</w:t>
      </w:r>
      <w:r>
        <w:rPr>
          <w:rFonts w:ascii="宋体" w:hAnsi="宋体" w:cs="宋体" w:eastAsia="宋体" w:hint="default"/>
          <w:sz w:val="18"/>
          <w:szCs w:val="18"/>
        </w:rPr>
      </w:r>
    </w:p>
    <w:p>
      <w:pPr>
        <w:pStyle w:val="BodyText"/>
        <w:spacing w:line="316" w:lineRule="auto" w:before="19"/>
        <w:ind w:right="1130" w:firstLine="422"/>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575" w:right="1133"/>
        <w:jc w:val="left"/>
      </w:pPr>
      <w:r>
        <w:rPr/>
        <w:t>在按照审计准则执行审计工作的过程中，我们运用职业判断，并保持职业怀疑。同时，我们也执行以下工作：</w:t>
      </w:r>
    </w:p>
    <w:p>
      <w:pPr>
        <w:pStyle w:val="BodyText"/>
        <w:spacing w:line="319" w:lineRule="auto" w:before="76"/>
        <w:ind w:right="1051" w:firstLine="422"/>
        <w:jc w:val="both"/>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7"/>
        <w:ind w:left="575" w:right="1133"/>
        <w:jc w:val="left"/>
      </w:pPr>
      <w:r>
        <w:rPr/>
        <w:t>（</w:t>
      </w:r>
      <w:r>
        <w:rPr>
          <w:rFonts w:ascii="宋体" w:hAnsi="宋体" w:cs="宋体" w:eastAsia="宋体" w:hint="default"/>
        </w:rPr>
        <w:t>2</w:t>
      </w:r>
      <w:r>
        <w:rPr/>
        <w:t>）了解与审计相关的内部控制，以设计恰当的审计程序。</w:t>
      </w:r>
    </w:p>
    <w:p>
      <w:pPr>
        <w:pStyle w:val="BodyText"/>
        <w:spacing w:line="240" w:lineRule="auto" w:before="76"/>
        <w:ind w:left="575" w:right="1133"/>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16" w:lineRule="auto" w:before="76"/>
        <w:ind w:right="1130" w:firstLine="422"/>
        <w:jc w:val="both"/>
      </w:pPr>
      <w:r>
        <w:rPr>
          <w:spacing w:val="-2"/>
        </w:rPr>
        <w:t>（</w:t>
      </w:r>
      <w:r>
        <w:rPr>
          <w:rFonts w:ascii="宋体" w:hAnsi="宋体" w:cs="宋体" w:eastAsia="宋体" w:hint="default"/>
          <w:spacing w:val="-2"/>
        </w:rPr>
        <w:t>4</w:t>
      </w:r>
      <w:r>
        <w:rPr>
          <w:spacing w:val="-2"/>
        </w:rPr>
        <w:t>）对管理层使用持续经营假设的恰当性得出结论。同时，根据获取的审计证据，就可能导致对顺利办持续经营能力</w:t>
      </w:r>
      <w:r>
        <w:rPr/>
        <w:t>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3"/>
        </w:rPr>
        <w:t> </w:t>
      </w:r>
      <w:r>
        <w:rPr>
          <w:spacing w:val="-63"/>
        </w:rPr>
      </w:r>
      <w:r>
        <w:rPr/>
        <w:t>截至审计报告日可获得的信息。然而，未来的事项或情况可能导致顺利办不能持续经营。</w:t>
      </w:r>
    </w:p>
    <w:p>
      <w:pPr>
        <w:pStyle w:val="BodyText"/>
        <w:spacing w:line="240" w:lineRule="auto" w:before="18"/>
        <w:ind w:left="575" w:right="1133"/>
        <w:jc w:val="left"/>
      </w:pPr>
      <w:r>
        <w:rPr/>
        <w:t>（</w:t>
      </w:r>
      <w:r>
        <w:rPr>
          <w:rFonts w:ascii="宋体" w:hAnsi="宋体" w:cs="宋体" w:eastAsia="宋体" w:hint="default"/>
        </w:rPr>
        <w:t>5</w:t>
      </w:r>
      <w:r>
        <w:rPr/>
        <w:t>）评价财务报表的总体列报、结构和内容，并评价财务报表是否公允反映相关交易和事项。</w:t>
      </w:r>
    </w:p>
    <w:p>
      <w:pPr>
        <w:pStyle w:val="BodyText"/>
        <w:spacing w:line="240" w:lineRule="auto" w:before="76"/>
        <w:ind w:left="575" w:right="0"/>
        <w:jc w:val="left"/>
      </w:pPr>
      <w:r>
        <w:rPr>
          <w:spacing w:val="-3"/>
        </w:rPr>
        <w:t>（</w:t>
      </w:r>
      <w:r>
        <w:rPr>
          <w:rFonts w:ascii="宋体" w:hAnsi="宋体" w:cs="宋体" w:eastAsia="宋体" w:hint="default"/>
          <w:spacing w:val="-3"/>
        </w:rPr>
        <w:t>6</w:t>
      </w:r>
      <w:r>
        <w:rPr>
          <w:spacing w:val="-3"/>
        </w:rPr>
        <w:t>）就顺利办中实体或业务活动的财务信息获取充分、适当的审计证据，以对财务报表发表审计意见。我们负责指导、</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left="575" w:right="1133" w:hanging="423"/>
        <w:jc w:val="left"/>
      </w:pPr>
      <w:r>
        <w:rPr/>
        <w:t>监督和执行集团审计，并对审计意见承担全部责任。 我们与治理层就计划的审计范围、时间安排和重大审计发现等事项进行沟通，包括沟通我们在审计中识别出的值得关</w:t>
      </w:r>
    </w:p>
    <w:p>
      <w:pPr>
        <w:pStyle w:val="BodyText"/>
        <w:spacing w:line="316" w:lineRule="auto" w:before="17"/>
        <w:ind w:left="575" w:right="1133" w:hanging="423"/>
        <w:jc w:val="left"/>
      </w:pPr>
      <w:r>
        <w:rPr/>
        <w:t>注的内部控制缺陷。 我们还就已遵守与独立性相关的职业道德要求向治理层提供声明，并与治理层沟通可能被合理认为影响我们独立性的</w:t>
      </w:r>
    </w:p>
    <w:p>
      <w:pPr>
        <w:pStyle w:val="BodyText"/>
        <w:spacing w:line="316" w:lineRule="auto" w:before="19"/>
        <w:ind w:left="575" w:right="1133" w:hanging="423"/>
        <w:jc w:val="left"/>
      </w:pPr>
      <w:r>
        <w:rPr/>
        <w:t>所有关系和其他事项，以及相关的防范措施（如适用）。 从与治理层沟通过的事项中，我们确定哪些事项对本期财务报表审计最为重要，因而构成关键审计事项。我们在审计</w:t>
      </w:r>
    </w:p>
    <w:p>
      <w:pPr>
        <w:pStyle w:val="BodyText"/>
        <w:spacing w:line="316" w:lineRule="auto" w:before="19"/>
        <w:ind w:right="1123"/>
        <w:jc w:val="left"/>
      </w:pPr>
      <w:r>
        <w:rPr>
          <w:spacing w:val="-2"/>
        </w:rPr>
        <w:t>报告中描述这些事项，除非法律法规禁止公开披露这些事项，或在极少数情形下，如果合理预期在审计报告中沟通某事项造</w:t>
      </w:r>
      <w:r>
        <w:rPr>
          <w:spacing w:val="-64"/>
        </w:rPr>
        <w:t> </w:t>
      </w:r>
      <w:r>
        <w:rPr>
          <w:spacing w:val="-64"/>
        </w:rPr>
      </w:r>
      <w:r>
        <w:rPr/>
        <w:t>成的负面后果超过在公众利益方面产生的益处，我们确定不应在审计报告中沟通该事项。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Heading5"/>
        <w:tabs>
          <w:tab w:pos="4514" w:val="left" w:leader="none"/>
        </w:tabs>
        <w:spacing w:line="240" w:lineRule="auto"/>
        <w:ind w:right="1133"/>
        <w:jc w:val="left"/>
        <w:rPr>
          <w:b w:val="0"/>
          <w:bCs w:val="0"/>
        </w:rPr>
      </w:pPr>
      <w:r>
        <w:rPr>
          <w:w w:val="95"/>
        </w:rPr>
        <w:t>立信会计师事务所</w:t>
        <w:tab/>
      </w:r>
      <w:r>
        <w:rPr/>
        <w:t>中国注册会计师：（项目合伙人）：王首一</w:t>
      </w:r>
      <w:r>
        <w:rPr>
          <w:b w:val="0"/>
          <w:bCs w:val="0"/>
        </w:rPr>
      </w:r>
    </w:p>
    <w:p>
      <w:pPr>
        <w:pStyle w:val="Heading5"/>
        <w:spacing w:line="240" w:lineRule="auto" w:before="76"/>
        <w:ind w:right="1133"/>
        <w:jc w:val="left"/>
        <w:rPr>
          <w:b w:val="0"/>
          <w:bCs w:val="0"/>
        </w:rPr>
      </w:pPr>
      <w:r>
        <w:rPr/>
        <w:t>（特殊普通合伙）</w:t>
      </w:r>
      <w:r>
        <w:rPr>
          <w:b w:val="0"/>
          <w:bCs w:val="0"/>
        </w:rPr>
      </w:r>
    </w:p>
    <w:p>
      <w:pPr>
        <w:pStyle w:val="Heading5"/>
        <w:spacing w:line="240" w:lineRule="auto" w:before="76"/>
        <w:ind w:left="155" w:right="351"/>
        <w:jc w:val="center"/>
        <w:rPr>
          <w:b w:val="0"/>
          <w:bCs w:val="0"/>
        </w:rPr>
      </w:pPr>
      <w:r>
        <w:rPr/>
        <w:t>中国注册会计师：王磊</w:t>
      </w:r>
      <w:r>
        <w:rPr>
          <w:b w:val="0"/>
          <w:bCs w:val="0"/>
        </w:rPr>
      </w:r>
    </w:p>
    <w:p>
      <w:pPr>
        <w:pStyle w:val="Heading5"/>
        <w:tabs>
          <w:tab w:pos="7195" w:val="left" w:leader="none"/>
        </w:tabs>
        <w:spacing w:line="240" w:lineRule="auto" w:before="77"/>
        <w:ind w:left="719" w:right="1133"/>
        <w:jc w:val="left"/>
        <w:rPr>
          <w:b w:val="0"/>
          <w:bCs w:val="0"/>
        </w:rPr>
      </w:pPr>
      <w:r>
        <w:rPr>
          <w:w w:val="95"/>
        </w:rPr>
        <w:t>中国•上海</w:t>
        <w:tab/>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28</w:t>
      </w:r>
      <w:r>
        <w:rPr/>
        <w:t>日</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3"/>
          <w:szCs w:val="13"/>
        </w:rPr>
      </w:pPr>
    </w:p>
    <w:p>
      <w:pPr>
        <w:pStyle w:val="Heading2"/>
        <w:spacing w:line="240" w:lineRule="auto"/>
        <w:ind w:right="1133"/>
        <w:jc w:val="left"/>
        <w:rPr>
          <w:b w:val="0"/>
          <w:bCs w:val="0"/>
        </w:rPr>
      </w:pPr>
      <w:bookmarkStart w:name="二、财务报表" w:id="160"/>
      <w:bookmarkEnd w:id="160"/>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合并资产负债表" w:id="161"/>
      <w:bookmarkEnd w:id="16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编制单位：顺利办信息服务股份有限公司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3" w:space="683"/>
            <w:col w:w="1642" w:space="3202"/>
            <w:col w:w="2010"/>
          </w:cols>
        </w:sectPr>
      </w:pP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344,204,044.88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348,732,469.00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95,543,497.68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99,251,167.74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102,484,792.97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27,517,879.27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38,826,854.22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192,659,797.36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128,121,695.49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21,295,208.04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4,236.38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105,354.13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5,076,577.19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51,974,617.36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764,257,200.50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670,245,783.17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40,263,140.39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242,277,039.04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354,905,679.69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70,333,140.39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51,037,928.96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52,582,320.80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27,434,876.07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40,458,413.53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53,935,151.57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102,308,918.75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5,628,261.95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51,512,949.75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1,550,953,655.20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2,849,493,500.83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1,730,506.45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3,397,170.97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4,700,593.67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1,207,412.32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2,019,606,153.30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3,496,129,507.03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2,783,863,353.80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4,166,375,290.20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100,100,000.00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65,836,367.64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14,792,638.52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101,762,901.10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109,439,413.67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28,723,319.03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18,672,497.77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68,468,964.19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34,449,946.95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155,025,981.47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91,483,182.66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378,899.95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378,900.11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517,053,173.72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393,172,893.64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4,911,524.20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1,041,882,231.35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662,010,573.21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26,248,168.73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28,980,225.14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4,621,024.32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3,363,518.75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633,948,498.62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52,373,193.05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666,292,242.51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1,094,255,424.40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1,328,302,815.72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765,799,353.00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1,961,923,917.68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2,040,431,333.05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-29,140,382.44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28,016,004.53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28,016,004.53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-1,066,496,845.72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-50,318,173.32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1,660,102,047.05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2,783,928,517.26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29,505,882.35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54,143,957.22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1,689,607,929.40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2,838,072,474.48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2,783,863,353.80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4,166,375,290.20</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749" w:val="left" w:leader="none"/>
        </w:tabs>
        <w:spacing w:line="240" w:lineRule="auto" w:before="44"/>
        <w:ind w:left="0" w:right="1222"/>
        <w:jc w:val="right"/>
      </w:pPr>
      <w:r>
        <w:rPr/>
        <w:t>法定代表人：彭聪</w:t>
        <w:tab/>
      </w:r>
      <w:r>
        <w:rPr>
          <w:spacing w:val="-1"/>
        </w:rPr>
        <w:t>主管会计工作负责人：黄海勇</w:t>
        <w:tab/>
      </w:r>
      <w:r>
        <w:rPr/>
        <w:t>会计机构负责人：任峰</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母公司资产负债表" w:id="162"/>
      <w:bookmarkEnd w:id="16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78,896,152.07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0" w:right="0"/>
              <w:jc w:val="left"/>
              <w:rPr>
                <w:rFonts w:ascii="Times New Roman" w:hAnsi="Times New Roman" w:cs="Times New Roman" w:eastAsia="Times New Roman" w:hint="default"/>
                <w:sz w:val="18"/>
                <w:szCs w:val="18"/>
              </w:rPr>
            </w:pPr>
            <w:r>
              <w:rPr>
                <w:rFonts w:ascii="Times New Roman"/>
                <w:sz w:val="18"/>
              </w:rPr>
              <w:t>117,553,238.71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113,077.55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165,614.67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141,472,881.28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39,466,902.96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718,735.96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886,296.82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221,200,846.86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158,072,053.16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2,295,871,307.37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2,964,078,464.24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51,037,928.96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52,582,320.80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21,830,218.99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27,250,287.76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25,223.86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2,039,760.18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113,273.86</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2,368,877,953.04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3,045,950,832.98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2,590,078,799.90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3,204,022,886.14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180,170.95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4,356,747.95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1,354,033.53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1,196,112.27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869,770.98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674,065.71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154,663.85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181,564.81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401,403,689.08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432,704,700.79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378,899.95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378,900.11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62,822,302.87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31,133,289.83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566,784,631.26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470,246,481.36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26,248,168.73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28,980,225.14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32,836.93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31,937,251.54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26,248,168.73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60,950,313.61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593,032,799.99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531,196,794.97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765,799,353.00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2,103,265,968.43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2,099,233,168.43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28,016,004.53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28,016,004.53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-900,035,326.05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-220,222,434.79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1,997,045,999.91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2,672,826,091.17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2,590,078,799.90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3,204,022,886.14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合并利润表" w:id="163"/>
      <w:bookmarkEnd w:id="16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57" w:type="dxa"/>
        <w:tblLayout w:type="fixed"/>
        <w:tblCellMar>
          <w:top w:w="0" w:type="dxa"/>
          <w:left w:w="0" w:type="dxa"/>
          <w:bottom w:w="0" w:type="dxa"/>
          <w:right w:w="0" w:type="dxa"/>
        </w:tblCellMar>
        <w:tblLook w:val="01E0"/>
      </w:tblPr>
      <w:tblGrid>
        <w:gridCol w:w="5083"/>
        <w:gridCol w:w="2279"/>
        <w:gridCol w:w="2269"/>
      </w:tblGrid>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2,025,037,868.90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735,139,995.00</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2,025,037,868.90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735,139,995.00</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1,909,340,188.20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624,426,019.49</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1,653,318,024.67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430,336,799.72</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13,319,249.63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5,540,483.28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57" w:type="dxa"/>
        <w:tblLayout w:type="fixed"/>
        <w:tblCellMar>
          <w:top w:w="0" w:type="dxa"/>
          <w:left w:w="0" w:type="dxa"/>
          <w:bottom w:w="0" w:type="dxa"/>
          <w:right w:w="0" w:type="dxa"/>
        </w:tblCellMar>
        <w:tblLook w:val="01E0"/>
      </w:tblPr>
      <w:tblGrid>
        <w:gridCol w:w="5083"/>
        <w:gridCol w:w="2279"/>
        <w:gridCol w:w="2269"/>
      </w:tblGrid>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94,674,557.96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54,528,706.77</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140,439,386.88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132,415,913.90</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1,854,023.23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727,422.96</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5,734,945.83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876,692.86</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6,482,630.14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2,196,308.03</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1,263,756.47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1,702,917.67</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7,414,102.39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4,104,964.44</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10,545,739.35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110,174,651.80</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15,370,032.02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56,845,976.34</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559,786.67</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-76,728,185.62</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-882,561,164.49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-3,374,397.07</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-2,632,923.53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-539,891.94</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-827,704,964.53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221,079,302.74</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46,980,719.29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24,113,458.32</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188,612,300.96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91,876,890.91</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-969,336,546.20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153,315,870.15</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39,440,616.43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42,267,189.16</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-1,008,777,162.63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111,048,680.99</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-1,008,777,162.63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111,048,680.99</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-1,016,178,672.40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93,282,489.53</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7,401,509.77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17,766,191.46</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-38,793,382.44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-7,481,773.91</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-29,140,382.44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-7,481,773.91</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-29,140,382.44</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-29,140,382.44</w:t>
            </w:r>
          </w:p>
        </w:tc>
        <w:tc>
          <w:tcPr>
            <w:tcW w:w="22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57" w:type="dxa"/>
        <w:tblLayout w:type="fixed"/>
        <w:tblCellMar>
          <w:top w:w="0" w:type="dxa"/>
          <w:left w:w="0" w:type="dxa"/>
          <w:bottom w:w="0" w:type="dxa"/>
          <w:right w:w="0" w:type="dxa"/>
        </w:tblCellMar>
        <w:tblLook w:val="01E0"/>
      </w:tblPr>
      <w:tblGrid>
        <w:gridCol w:w="5083"/>
        <w:gridCol w:w="2279"/>
        <w:gridCol w:w="2269"/>
      </w:tblGrid>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-7,481,773.91</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-7,481,773.91</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-9,653,000.00</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-1,047,570,545.07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103,566,907.08</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-1,045,319,054.84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85,800,715.62</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-2,251,490.23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17,766,191.46</w:t>
            </w: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0.1218</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0.1218</w:t>
            </w:r>
          </w:p>
        </w:tc>
      </w:tr>
    </w:tbl>
    <w:p>
      <w:pPr>
        <w:pStyle w:val="BodyText"/>
        <w:tabs>
          <w:tab w:pos="3578" w:val="left" w:leader="none"/>
          <w:tab w:pos="7901" w:val="left" w:leader="none"/>
        </w:tabs>
        <w:spacing w:line="621" w:lineRule="auto" w:before="49"/>
        <w:ind w:right="1222"/>
        <w:jc w:val="left"/>
      </w:pPr>
      <w:r>
        <w:rPr/>
        <w:t>本期发生同一控制下企业合并的，被合并方在合并前实现的净利润为：元，上期被合并方实现的净利润为：元。 法定代表人：彭聪</w:t>
        <w:tab/>
      </w:r>
      <w:r>
        <w:rPr>
          <w:spacing w:val="-1"/>
        </w:rPr>
        <w:t>主管会计工作负责人：黄海勇</w:t>
        <w:tab/>
      </w:r>
      <w:r>
        <w:rPr/>
        <w:t>会计机构负责人：任峰</w:t>
      </w:r>
    </w:p>
    <w:p>
      <w:pPr>
        <w:pStyle w:val="Heading3"/>
        <w:spacing w:line="240" w:lineRule="auto" w:before="69"/>
        <w:ind w:right="1133"/>
        <w:jc w:val="left"/>
        <w:rPr>
          <w:b w:val="0"/>
          <w:bCs w:val="0"/>
        </w:rPr>
      </w:pPr>
      <w:bookmarkStart w:name="4、母公司利润表" w:id="164"/>
      <w:bookmarkEnd w:id="16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279"/>
        <w:gridCol w:w="2269"/>
      </w:tblGrid>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2,451,388.13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1,700,262.92</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985,537.20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570,992.16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719,954.55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1,054,757.94</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26,867,557.54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32,563,855.50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3,571,302.34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-4,430,197.73</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6,121,048.13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1,817,833.21</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2,554,474.94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6,253,345.94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102"/>
        <w:gridCol w:w="2268"/>
        <w:gridCol w:w="2269"/>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5,770.98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-15,965,122.27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8,048,283.59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-11,878,274.01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-7,039,712.14</w:t>
            </w:r>
          </w:p>
        </w:tc>
      </w:tr>
      <w:tr>
        <w:trPr>
          <w:trHeight w:val="714"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3"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-14,766,588.97</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-616,669,034.60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-1,341,770.12</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-29,228.15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7,502.24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-677,122,937.49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-21,339,358.26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276,693.50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3,115,638.07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3,112,758.06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1,834,916.18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-679,959,002.05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-20,058,636.37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-146,110.79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32,836.93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-679,812,891.26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-20,091,473.30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-679,812,891.26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-20,091,473.30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-7,481,773.91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-7,481,773.91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-7,481,773.91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081"/>
        <w:gridCol w:w="2279"/>
        <w:gridCol w:w="2269"/>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055" w:right="0"/>
              <w:jc w:val="left"/>
              <w:rPr>
                <w:rFonts w:ascii="Times New Roman" w:hAnsi="Times New Roman" w:cs="Times New Roman" w:eastAsia="Times New Roman" w:hint="default"/>
                <w:sz w:val="18"/>
                <w:szCs w:val="18"/>
              </w:rPr>
            </w:pPr>
            <w:r>
              <w:rPr>
                <w:rFonts w:ascii="Times New Roman"/>
                <w:sz w:val="18"/>
              </w:rPr>
              <w:t>-679,812,891.26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2" w:right="0"/>
              <w:jc w:val="left"/>
              <w:rPr>
                <w:rFonts w:ascii="Times New Roman" w:hAnsi="Times New Roman" w:cs="Times New Roman" w:eastAsia="Times New Roman" w:hint="default"/>
                <w:sz w:val="18"/>
                <w:szCs w:val="18"/>
              </w:rPr>
            </w:pPr>
            <w:r>
              <w:rPr>
                <w:rFonts w:ascii="Times New Roman"/>
                <w:sz w:val="18"/>
              </w:rPr>
              <w:t>-27,573,247.21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076"/>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076"/>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合并现金流量表" w:id="165"/>
      <w:bookmarkEnd w:id="16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223"/>
        <w:gridCol w:w="2279"/>
        <w:gridCol w:w="2269"/>
      </w:tblGrid>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2,125,646,923.67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750,150,472.69</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38"/>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38"/>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920,979.84</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87,821,359.36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37,926,519.41</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2,214,389,262.87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788,076,992.10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1,047,314,610.12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97,558,586.17</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38"/>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38"/>
              <w:jc w:val="right"/>
              <w:rPr>
                <w:rFonts w:ascii="宋体" w:hAnsi="宋体" w:cs="宋体" w:eastAsia="宋体" w:hint="default"/>
                <w:sz w:val="18"/>
                <w:szCs w:val="18"/>
              </w:rPr>
            </w:pPr>
            <w:r>
              <w:rPr>
                <w:rFonts w:ascii="宋体" w:hAnsi="宋体" w:cs="宋体" w:eastAsia="宋体" w:hint="default"/>
                <w:spacing w:val="-1"/>
                <w:sz w:val="18"/>
                <w:szCs w:val="18"/>
              </w:rPr>
              <w:t>支付给职工以及为职工支付的现金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711,376,441.74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420,168,570.01</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151,026,282.99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74,667,213.89</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141,956,767.96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141,807,660.28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223"/>
        <w:gridCol w:w="2279"/>
        <w:gridCol w:w="2269"/>
      </w:tblGrid>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2,051,674,102.81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734,202,030.35</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162,715,160.06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53,874,961.75</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242,689,318.41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1,818,844.66</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2,990,710.79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17,017,223.28</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235,660.62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367,824.67</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454,000.00</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346,169,517.18</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246,369,689.82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365,373,409.79</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23,421,773.60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78,833,892.28</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317,080,676.00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2,150,006.29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303,055,158.89</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44,195,781.70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295,149,977.61</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386,848,237.59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685,539,028.78</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-140,478,547.77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-320,165,618.99</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100,100,000.00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34,000,000.00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41,098,103.00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112,993,252.36</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141,198,103.00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146,993,252.36</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2,732,056.41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1,619,774.86</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11,121,047.87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21,026,279.59</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156,771,167.77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483,303,281.10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170,624,272.05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505,949,335.55</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-29,426,169.05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-358,956,083.19</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-7,189,556.76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-625,246,740.43</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335,182,697.43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960,429,437.86</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327,993,140.67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335,182,697.43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bookmarkStart w:name="6、母公司现金流量表" w:id="166"/>
      <w:bookmarkEnd w:id="16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223"/>
        <w:gridCol w:w="2279"/>
        <w:gridCol w:w="2269"/>
      </w:tblGrid>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2,921,497.31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1,754,298.00</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1,315,015.57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1,081,434.28</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4,236,512.88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2,835,732.28</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2,961,259.50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4,420,224.45</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981,571.39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4,554,704.63</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14,643,984.31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39,173,746.55</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18,586,815.20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48,148,675.63</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-14,350,302.32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-45,312,943.35</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41,104,365.22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1,665,844.66</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15,736,919.07</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139,714.76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54,480.00</w:t>
            </w:r>
          </w:p>
        </w:tc>
      </w:tr>
      <w:tr>
        <w:trPr>
          <w:trHeight w:val="404"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41,244,079.98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297,457,243.73</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4,113,086.00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49,409,423.91</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730,500,000.00</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13,613,086.00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879,909,423.91</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27,630,993.98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-582,452,180.18</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34,000,000.00</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22,400,000.00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122,400,000.00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2,732,056.83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1,619,774.86</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6,121,047.87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1,612,416.69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244"/>
        <w:gridCol w:w="2268"/>
        <w:gridCol w:w="2269"/>
      </w:tblGrid>
      <w:tr>
        <w:trPr>
          <w:trHeight w:val="402"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165,484,673.60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18,619,520.00</w:t>
            </w:r>
          </w:p>
        </w:tc>
      </w:tr>
      <w:tr>
        <w:trPr>
          <w:trHeight w:val="402"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174,337,778.30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21,851,711.55</w:t>
            </w:r>
          </w:p>
        </w:tc>
      </w:tr>
      <w:tr>
        <w:trPr>
          <w:trHeight w:val="402"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-51,937,778.30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22,148,288.45</w:t>
            </w:r>
          </w:p>
        </w:tc>
      </w:tr>
      <w:tr>
        <w:trPr>
          <w:trHeight w:val="402"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-38,657,086.64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-605,616,835.08</w:t>
            </w:r>
          </w:p>
        </w:tc>
      </w:tr>
      <w:tr>
        <w:trPr>
          <w:trHeight w:val="402"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117,553,238.71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723,170,073.79</w:t>
            </w:r>
          </w:p>
        </w:tc>
      </w:tr>
      <w:tr>
        <w:trPr>
          <w:trHeight w:val="403"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78,896,152.07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117,553,238.71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8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9"/>
          <w:szCs w:val="19"/>
        </w:rPr>
      </w:pPr>
    </w:p>
    <w:p>
      <w:pPr>
        <w:pStyle w:val="Heading3"/>
        <w:spacing w:line="240" w:lineRule="auto" w:before="36"/>
        <w:ind w:left="860" w:right="0"/>
        <w:jc w:val="left"/>
        <w:rPr>
          <w:b w:val="0"/>
          <w:bCs w:val="0"/>
        </w:rPr>
      </w:pPr>
      <w:bookmarkStart w:name="7、合并所有者权益变动表" w:id="167"/>
      <w:bookmarkEnd w:id="16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860" w:right="0"/>
        <w:jc w:val="left"/>
      </w:pPr>
      <w:r>
        <w:rPr/>
        <w:t>本期金额</w:t>
      </w:r>
    </w:p>
    <w:p>
      <w:pPr>
        <w:pStyle w:val="BodyText"/>
        <w:spacing w:line="240" w:lineRule="auto" w:before="117"/>
        <w:ind w:left="0" w:right="974"/>
        <w:jc w:val="right"/>
      </w:pPr>
      <w:r>
        <w:rPr/>
        <w:t>单位：元</w:t>
      </w:r>
    </w:p>
    <w:p>
      <w:pPr>
        <w:spacing w:line="240" w:lineRule="auto" w:before="8"/>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232"/>
        <w:gridCol w:w="1310"/>
        <w:gridCol w:w="466"/>
        <w:gridCol w:w="468"/>
        <w:gridCol w:w="312"/>
        <w:gridCol w:w="1433"/>
        <w:gridCol w:w="583"/>
        <w:gridCol w:w="1298"/>
        <w:gridCol w:w="583"/>
        <w:gridCol w:w="1227"/>
        <w:gridCol w:w="583"/>
        <w:gridCol w:w="1399"/>
        <w:gridCol w:w="326"/>
        <w:gridCol w:w="1544"/>
        <w:gridCol w:w="1277"/>
        <w:gridCol w:w="1416"/>
      </w:tblGrid>
      <w:tr>
        <w:trPr>
          <w:trHeight w:val="401"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1422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32" w:type="dxa"/>
            <w:vMerge/>
            <w:tcBorders>
              <w:left w:val="single" w:sz="4" w:space="0" w:color="000000"/>
              <w:bottom w:val="single" w:sz="4" w:space="0" w:color="FFFFFF"/>
              <w:right w:val="single" w:sz="4" w:space="0" w:color="000000"/>
            </w:tcBorders>
            <w:shd w:val="clear" w:color="auto" w:fill="D2D2D2"/>
          </w:tcPr>
          <w:p>
            <w:pPr/>
          </w:p>
        </w:tc>
        <w:tc>
          <w:tcPr>
            <w:tcW w:w="11534"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206" w:hRule="exact"/>
        </w:trPr>
        <w:tc>
          <w:tcPr>
            <w:tcW w:w="123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0" w:type="dxa"/>
            <w:vMerge w:val="restart"/>
            <w:tcBorders>
              <w:top w:val="single" w:sz="4" w:space="0" w:color="FFFFFF"/>
              <w:left w:val="single" w:sz="4" w:space="0" w:color="000000"/>
              <w:right w:val="single" w:sz="4" w:space="0" w:color="000000"/>
            </w:tcBorders>
            <w:shd w:val="clear" w:color="auto" w:fill="D2D2D2"/>
          </w:tcPr>
          <w:p>
            <w:pPr/>
          </w:p>
        </w:tc>
        <w:tc>
          <w:tcPr>
            <w:tcW w:w="1246"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9"/>
              <w:ind w:left="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33" w:type="dxa"/>
            <w:vMerge w:val="restart"/>
            <w:tcBorders>
              <w:top w:val="single" w:sz="4" w:space="0" w:color="FFFFFF"/>
              <w:left w:val="single" w:sz="4" w:space="0" w:color="000000"/>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1298" w:type="dxa"/>
            <w:vMerge w:val="restart"/>
            <w:tcBorders>
              <w:top w:val="single" w:sz="4" w:space="0" w:color="FFFFFF"/>
              <w:left w:val="single" w:sz="4" w:space="0" w:color="000000"/>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1227"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04"/>
              <w:ind w:left="105" w:right="10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99" w:type="dxa"/>
            <w:vMerge w:val="restart"/>
            <w:tcBorders>
              <w:top w:val="single" w:sz="4" w:space="0" w:color="FFFFFF"/>
              <w:left w:val="single" w:sz="4" w:space="0" w:color="000000"/>
              <w:right w:val="single" w:sz="4" w:space="0" w:color="000000"/>
            </w:tcBorders>
            <w:shd w:val="clear" w:color="auto" w:fill="D2D2D2"/>
          </w:tcPr>
          <w:p>
            <w:pPr/>
          </w:p>
        </w:tc>
        <w:tc>
          <w:tcPr>
            <w:tcW w:w="326" w:type="dxa"/>
            <w:tcBorders>
              <w:top w:val="single" w:sz="4" w:space="0" w:color="FFFFFF"/>
              <w:left w:val="single" w:sz="4" w:space="0" w:color="000000"/>
              <w:bottom w:val="nil" w:sz="6" w:space="0" w:color="auto"/>
              <w:right w:val="single" w:sz="4" w:space="0" w:color="000000"/>
            </w:tcBorders>
            <w:shd w:val="clear" w:color="auto" w:fill="D2D2D2"/>
          </w:tcPr>
          <w:p>
            <w:pPr/>
          </w:p>
        </w:tc>
        <w:tc>
          <w:tcPr>
            <w:tcW w:w="1544" w:type="dxa"/>
            <w:vMerge w:val="restart"/>
            <w:tcBorders>
              <w:top w:val="single" w:sz="4" w:space="0" w:color="FFFFFF"/>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232" w:type="dxa"/>
            <w:vMerge/>
            <w:tcBorders>
              <w:left w:val="single" w:sz="4" w:space="0" w:color="000000"/>
              <w:bottom w:val="single" w:sz="5" w:space="0" w:color="FFFFFF"/>
              <w:right w:val="single" w:sz="4" w:space="0" w:color="000000"/>
            </w:tcBorders>
            <w:shd w:val="clear" w:color="auto" w:fill="D2D2D2"/>
          </w:tcPr>
          <w:p>
            <w:pPr/>
          </w:p>
        </w:tc>
        <w:tc>
          <w:tcPr>
            <w:tcW w:w="1310" w:type="dxa"/>
            <w:vMerge/>
            <w:tcBorders>
              <w:left w:val="single" w:sz="4" w:space="0" w:color="000000"/>
              <w:bottom w:val="single" w:sz="5" w:space="0" w:color="FFFFFF"/>
              <w:right w:val="single" w:sz="4" w:space="0" w:color="000000"/>
            </w:tcBorders>
            <w:shd w:val="clear" w:color="auto" w:fill="D2D2D2"/>
          </w:tcPr>
          <w:p>
            <w:pPr/>
          </w:p>
        </w:tc>
        <w:tc>
          <w:tcPr>
            <w:tcW w:w="1246" w:type="dxa"/>
            <w:gridSpan w:val="3"/>
            <w:vMerge/>
            <w:tcBorders>
              <w:left w:val="single" w:sz="4" w:space="0" w:color="000000"/>
              <w:bottom w:val="single" w:sz="5" w:space="0" w:color="FFFFFF"/>
              <w:right w:val="single" w:sz="4" w:space="0" w:color="000000"/>
            </w:tcBorders>
            <w:shd w:val="clear" w:color="auto" w:fill="D2D2D2"/>
          </w:tcPr>
          <w:p>
            <w:pPr/>
          </w:p>
        </w:tc>
        <w:tc>
          <w:tcPr>
            <w:tcW w:w="1433" w:type="dxa"/>
            <w:vMerge/>
            <w:tcBorders>
              <w:left w:val="single" w:sz="4" w:space="0" w:color="000000"/>
              <w:bottom w:val="single" w:sz="5" w:space="0" w:color="FFFFFF"/>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9"/>
              <w:ind w:left="107" w:right="19"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298" w:type="dxa"/>
            <w:vMerge/>
            <w:tcBorders>
              <w:left w:val="single" w:sz="4" w:space="0" w:color="000000"/>
              <w:bottom w:val="nil" w:sz="6" w:space="0" w:color="auto"/>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9"/>
              <w:ind w:left="105" w:right="10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27"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1399" w:type="dxa"/>
            <w:vMerge/>
            <w:tcBorders>
              <w:left w:val="single" w:sz="4" w:space="0" w:color="000000"/>
              <w:bottom w:val="nil" w:sz="6" w:space="0" w:color="auto"/>
              <w:right w:val="single" w:sz="4" w:space="0" w:color="000000"/>
            </w:tcBorders>
            <w:shd w:val="clear" w:color="auto" w:fill="D2D2D2"/>
          </w:tcPr>
          <w:p>
            <w:pPr/>
          </w:p>
        </w:tc>
        <w:tc>
          <w:tcPr>
            <w:tcW w:w="32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82"/>
              <w:ind w:left="69" w:right="65"/>
              <w:jc w:val="left"/>
              <w:rPr>
                <w:rFonts w:ascii="宋体" w:hAnsi="宋体" w:cs="宋体" w:eastAsia="宋体" w:hint="default"/>
                <w:sz w:val="18"/>
                <w:szCs w:val="18"/>
              </w:rPr>
            </w:pPr>
            <w:r>
              <w:rPr>
                <w:rFonts w:ascii="宋体" w:hAnsi="宋体" w:cs="宋体" w:eastAsia="宋体" w:hint="default"/>
                <w:sz w:val="18"/>
                <w:szCs w:val="18"/>
              </w:rPr>
              <w:t>其 他</w:t>
            </w:r>
          </w:p>
        </w:tc>
        <w:tc>
          <w:tcPr>
            <w:tcW w:w="1544"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6"/>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6"/>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0" w:hRule="exact"/>
        </w:trPr>
        <w:tc>
          <w:tcPr>
            <w:tcW w:w="1232" w:type="dxa"/>
            <w:vMerge w:val="restart"/>
            <w:tcBorders>
              <w:top w:val="single" w:sz="5" w:space="0" w:color="FFFFFF"/>
              <w:left w:val="single" w:sz="4" w:space="0" w:color="000000"/>
              <w:right w:val="single" w:sz="4" w:space="0" w:color="000000"/>
            </w:tcBorders>
            <w:shd w:val="clear" w:color="auto" w:fill="D2D2D2"/>
          </w:tcPr>
          <w:p>
            <w:pPr/>
          </w:p>
        </w:tc>
        <w:tc>
          <w:tcPr>
            <w:tcW w:w="1310"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55"/>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98"/>
              <w:ind w:left="136" w:right="4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8"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98"/>
              <w:ind w:left="139" w:right="4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312"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98"/>
              <w:ind w:left="60" w:right="60"/>
              <w:jc w:val="left"/>
              <w:rPr>
                <w:rFonts w:ascii="宋体" w:hAnsi="宋体" w:cs="宋体" w:eastAsia="宋体" w:hint="default"/>
                <w:sz w:val="18"/>
                <w:szCs w:val="18"/>
              </w:rPr>
            </w:pPr>
            <w:r>
              <w:rPr>
                <w:rFonts w:ascii="宋体" w:hAnsi="宋体" w:cs="宋体" w:eastAsia="宋体" w:hint="default"/>
                <w:sz w:val="18"/>
                <w:szCs w:val="18"/>
              </w:rPr>
              <w:t>其 他</w:t>
            </w:r>
          </w:p>
        </w:tc>
        <w:tc>
          <w:tcPr>
            <w:tcW w:w="143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55"/>
              <w:ind w:left="35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83" w:type="dxa"/>
            <w:vMerge/>
            <w:tcBorders>
              <w:left w:val="single" w:sz="4" w:space="0" w:color="000000"/>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83" w:type="dxa"/>
            <w:vMerge/>
            <w:tcBorders>
              <w:left w:val="single" w:sz="4" w:space="0" w:color="000000"/>
              <w:right w:val="single" w:sz="4" w:space="0" w:color="000000"/>
            </w:tcBorders>
            <w:shd w:val="clear" w:color="auto" w:fill="D2D2D2"/>
          </w:tcPr>
          <w:p>
            <w:pPr/>
          </w:p>
        </w:tc>
        <w:tc>
          <w:tcPr>
            <w:tcW w:w="12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left="24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83" w:type="dxa"/>
            <w:vMerge/>
            <w:tcBorders>
              <w:left w:val="single" w:sz="4" w:space="0" w:color="000000"/>
              <w:right w:val="single" w:sz="4" w:space="0" w:color="000000"/>
            </w:tcBorders>
            <w:shd w:val="clear" w:color="auto" w:fill="D2D2D2"/>
          </w:tcPr>
          <w:p>
            <w:pPr/>
          </w:p>
        </w:tc>
        <w:tc>
          <w:tcPr>
            <w:tcW w:w="13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left="24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26" w:type="dxa"/>
            <w:vMerge/>
            <w:tcBorders>
              <w:left w:val="single" w:sz="4" w:space="0" w:color="000000"/>
              <w:right w:val="single" w:sz="4" w:space="0" w:color="000000"/>
            </w:tcBorders>
            <w:shd w:val="clear" w:color="auto" w:fill="D2D2D2"/>
          </w:tcPr>
          <w:p>
            <w:pPr/>
          </w:p>
        </w:tc>
        <w:tc>
          <w:tcPr>
            <w:tcW w:w="15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32" w:type="dxa"/>
            <w:vMerge/>
            <w:tcBorders>
              <w:left w:val="single" w:sz="4" w:space="0" w:color="000000"/>
              <w:right w:val="single" w:sz="4" w:space="0" w:color="000000"/>
            </w:tcBorders>
            <w:shd w:val="clear" w:color="auto" w:fill="D2D2D2"/>
          </w:tcPr>
          <w:p>
            <w:pPr/>
          </w:p>
        </w:tc>
        <w:tc>
          <w:tcPr>
            <w:tcW w:w="1310"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right w:val="single" w:sz="4" w:space="0" w:color="000000"/>
            </w:tcBorders>
            <w:shd w:val="clear" w:color="auto" w:fill="D2D2D2"/>
          </w:tcPr>
          <w:p>
            <w:pPr/>
          </w:p>
        </w:tc>
        <w:tc>
          <w:tcPr>
            <w:tcW w:w="312" w:type="dxa"/>
            <w:vMerge/>
            <w:tcBorders>
              <w:left w:val="single" w:sz="4" w:space="0" w:color="000000"/>
              <w:right w:val="single" w:sz="4" w:space="0" w:color="000000"/>
            </w:tcBorders>
            <w:shd w:val="clear" w:color="auto" w:fill="D2D2D2"/>
          </w:tcPr>
          <w:p>
            <w:pPr/>
          </w:p>
        </w:tc>
        <w:tc>
          <w:tcPr>
            <w:tcW w:w="143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1227"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1399" w:type="dxa"/>
            <w:vMerge/>
            <w:tcBorders>
              <w:left w:val="single" w:sz="4" w:space="0" w:color="000000"/>
              <w:bottom w:val="nil" w:sz="6" w:space="0" w:color="auto"/>
              <w:right w:val="single" w:sz="4" w:space="0" w:color="000000"/>
            </w:tcBorders>
            <w:shd w:val="clear" w:color="auto" w:fill="D2D2D2"/>
          </w:tcPr>
          <w:p>
            <w:pPr/>
          </w:p>
        </w:tc>
        <w:tc>
          <w:tcPr>
            <w:tcW w:w="326" w:type="dxa"/>
            <w:vMerge/>
            <w:tcBorders>
              <w:left w:val="single" w:sz="4" w:space="0" w:color="000000"/>
              <w:right w:val="single" w:sz="4" w:space="0" w:color="000000"/>
            </w:tcBorders>
            <w:shd w:val="clear" w:color="auto" w:fill="D2D2D2"/>
          </w:tcPr>
          <w:p>
            <w:pPr/>
          </w:p>
        </w:tc>
        <w:tc>
          <w:tcPr>
            <w:tcW w:w="1544"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232" w:type="dxa"/>
            <w:vMerge/>
            <w:tcBorders>
              <w:left w:val="single" w:sz="4" w:space="0" w:color="000000"/>
              <w:right w:val="single" w:sz="4" w:space="0" w:color="000000"/>
            </w:tcBorders>
            <w:shd w:val="clear" w:color="auto" w:fill="D2D2D2"/>
          </w:tcPr>
          <w:p>
            <w:pPr/>
          </w:p>
        </w:tc>
        <w:tc>
          <w:tcPr>
            <w:tcW w:w="1310"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right w:val="single" w:sz="4" w:space="0" w:color="000000"/>
            </w:tcBorders>
            <w:shd w:val="clear" w:color="auto" w:fill="D2D2D2"/>
          </w:tcPr>
          <w:p>
            <w:pPr/>
          </w:p>
        </w:tc>
        <w:tc>
          <w:tcPr>
            <w:tcW w:w="312" w:type="dxa"/>
            <w:vMerge/>
            <w:tcBorders>
              <w:left w:val="single" w:sz="4" w:space="0" w:color="000000"/>
              <w:right w:val="single" w:sz="4" w:space="0" w:color="000000"/>
            </w:tcBorders>
            <w:shd w:val="clear" w:color="auto" w:fill="D2D2D2"/>
          </w:tcPr>
          <w:p>
            <w:pPr/>
          </w:p>
        </w:tc>
        <w:tc>
          <w:tcPr>
            <w:tcW w:w="143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1227"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1399" w:type="dxa"/>
            <w:vMerge w:val="restart"/>
            <w:tcBorders>
              <w:top w:val="nil" w:sz="6" w:space="0" w:color="auto"/>
              <w:left w:val="single" w:sz="4" w:space="0" w:color="000000"/>
              <w:right w:val="single" w:sz="4" w:space="0" w:color="000000"/>
            </w:tcBorders>
            <w:shd w:val="clear" w:color="auto" w:fill="D2D2D2"/>
          </w:tcPr>
          <w:p>
            <w:pPr/>
          </w:p>
        </w:tc>
        <w:tc>
          <w:tcPr>
            <w:tcW w:w="326" w:type="dxa"/>
            <w:vMerge/>
            <w:tcBorders>
              <w:left w:val="single" w:sz="4" w:space="0" w:color="000000"/>
              <w:bottom w:val="nil" w:sz="6" w:space="0" w:color="auto"/>
              <w:right w:val="single" w:sz="4" w:space="0" w:color="000000"/>
            </w:tcBorders>
            <w:shd w:val="clear" w:color="auto" w:fill="D2D2D2"/>
          </w:tcPr>
          <w:p>
            <w:pPr/>
          </w:p>
        </w:tc>
        <w:tc>
          <w:tcPr>
            <w:tcW w:w="1544"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r>
      <w:tr>
        <w:trPr>
          <w:trHeight w:val="206"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312" w:type="dxa"/>
            <w:vMerge/>
            <w:tcBorders>
              <w:left w:val="single" w:sz="4" w:space="0" w:color="000000"/>
              <w:bottom w:val="single" w:sz="4" w:space="0" w:color="000000"/>
              <w:right w:val="single" w:sz="4" w:space="0" w:color="000000"/>
            </w:tcBorders>
            <w:shd w:val="clear" w:color="auto" w:fill="D2D2D2"/>
          </w:tcPr>
          <w:p>
            <w:pPr/>
          </w:p>
        </w:tc>
        <w:tc>
          <w:tcPr>
            <w:tcW w:w="1433" w:type="dxa"/>
            <w:vMerge/>
            <w:tcBorders>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7"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1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13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765,799,353.00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2,040,431,333.05</w:t>
            </w: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28,016,004.53</w:t>
            </w:r>
          </w:p>
        </w:tc>
        <w:tc>
          <w:tcPr>
            <w:tcW w:w="583" w:type="dxa"/>
            <w:tcBorders>
              <w:top w:val="single" w:sz="18" w:space="0" w:color="D2D2D2"/>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-50,318,173.32</w:t>
            </w: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2,783,928,517.26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54,143,957.22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2,838,072,474.48</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10"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1310"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2" w:right="128"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1310"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128"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1310"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1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13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765,799,353.00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2,040,431,333.05</w:t>
            </w: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28,016,004.53</w:t>
            </w: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-50,318,173.32</w:t>
            </w: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2,783,928,517.26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54,143,957.22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2,838,072,474.48</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1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10"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-78,507,415.37</w:t>
            </w: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-29,140,382.44</w:t>
            </w: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-1,016,178,672.40</w:t>
            </w: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-1,123,826,470.21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-24,638,074.87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-1,148,464,545.08</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1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1310"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-29,140,382.44</w:t>
            </w: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-1,016,178,672.40</w:t>
            </w: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-1,045,319,054.84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-2,251,490.23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-1,047,570,545.07</w:t>
            </w:r>
          </w:p>
        </w:tc>
      </w:tr>
    </w:tbl>
    <w:p>
      <w:pPr>
        <w:spacing w:after="0" w:line="240" w:lineRule="auto"/>
        <w:jc w:val="right"/>
        <w:rPr>
          <w:rFonts w:ascii="Times New Roman" w:hAnsi="Times New Roman" w:cs="Times New Roman" w:eastAsia="Times New Roman" w:hint="default"/>
          <w:sz w:val="18"/>
          <w:szCs w:val="18"/>
        </w:rPr>
        <w:sectPr>
          <w:headerReference w:type="default" r:id="rId23"/>
          <w:footerReference w:type="default" r:id="rId24"/>
          <w:pgSz w:w="16840" w:h="11910" w:orient="landscape"/>
          <w:pgMar w:header="867" w:footer="980" w:top="1060" w:bottom="1240" w:left="580" w:right="560"/>
          <w:pgNumType w:start="86"/>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253"/>
        <w:gridCol w:w="1300"/>
        <w:gridCol w:w="466"/>
        <w:gridCol w:w="468"/>
        <w:gridCol w:w="312"/>
        <w:gridCol w:w="1433"/>
        <w:gridCol w:w="583"/>
        <w:gridCol w:w="1298"/>
        <w:gridCol w:w="583"/>
        <w:gridCol w:w="1227"/>
        <w:gridCol w:w="583"/>
        <w:gridCol w:w="1399"/>
        <w:gridCol w:w="326"/>
        <w:gridCol w:w="1544"/>
        <w:gridCol w:w="1277"/>
        <w:gridCol w:w="1416"/>
      </w:tblGrid>
      <w:tr>
        <w:trPr>
          <w:trHeight w:val="730" w:hRule="exact"/>
        </w:trPr>
        <w:tc>
          <w:tcPr>
            <w:tcW w:w="125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1300" w:type="dxa"/>
            <w:tcBorders>
              <w:top w:val="single" w:sz="15" w:space="0" w:color="000000"/>
              <w:left w:val="single" w:sz="4" w:space="0" w:color="000000"/>
              <w:bottom w:val="single" w:sz="4" w:space="0" w:color="000000"/>
              <w:right w:val="single" w:sz="4" w:space="0" w:color="000000"/>
            </w:tcBorders>
          </w:tcPr>
          <w:p>
            <w:pPr/>
          </w:p>
        </w:tc>
        <w:tc>
          <w:tcPr>
            <w:tcW w:w="466" w:type="dxa"/>
            <w:tcBorders>
              <w:top w:val="single" w:sz="15" w:space="0" w:color="000000"/>
              <w:left w:val="single" w:sz="4" w:space="0" w:color="000000"/>
              <w:bottom w:val="single" w:sz="4" w:space="0" w:color="000000"/>
              <w:right w:val="single" w:sz="4" w:space="0" w:color="000000"/>
            </w:tcBorders>
          </w:tcPr>
          <w:p>
            <w:pPr/>
          </w:p>
        </w:tc>
        <w:tc>
          <w:tcPr>
            <w:tcW w:w="468" w:type="dxa"/>
            <w:tcBorders>
              <w:top w:val="single" w:sz="15" w:space="0" w:color="000000"/>
              <w:left w:val="single" w:sz="4" w:space="0" w:color="000000"/>
              <w:bottom w:val="single" w:sz="4" w:space="0" w:color="000000"/>
              <w:right w:val="single" w:sz="4" w:space="0" w:color="000000"/>
            </w:tcBorders>
          </w:tcPr>
          <w:p>
            <w:pPr/>
          </w:p>
        </w:tc>
        <w:tc>
          <w:tcPr>
            <w:tcW w:w="312" w:type="dxa"/>
            <w:tcBorders>
              <w:top w:val="single" w:sz="15" w:space="0" w:color="000000"/>
              <w:left w:val="single" w:sz="4" w:space="0" w:color="000000"/>
              <w:bottom w:val="single" w:sz="4" w:space="0" w:color="000000"/>
              <w:right w:val="single" w:sz="4" w:space="0" w:color="000000"/>
            </w:tcBorders>
          </w:tcPr>
          <w:p>
            <w:pPr/>
          </w:p>
        </w:tc>
        <w:tc>
          <w:tcPr>
            <w:tcW w:w="14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-78,507,415.37</w:t>
            </w:r>
          </w:p>
        </w:tc>
        <w:tc>
          <w:tcPr>
            <w:tcW w:w="583" w:type="dxa"/>
            <w:tcBorders>
              <w:top w:val="single" w:sz="15" w:space="0" w:color="000000"/>
              <w:left w:val="single" w:sz="4" w:space="0" w:color="000000"/>
              <w:bottom w:val="single" w:sz="4" w:space="0" w:color="000000"/>
              <w:right w:val="single" w:sz="4" w:space="0" w:color="000000"/>
            </w:tcBorders>
          </w:tcPr>
          <w:p>
            <w:pPr/>
          </w:p>
        </w:tc>
        <w:tc>
          <w:tcPr>
            <w:tcW w:w="1298" w:type="dxa"/>
            <w:tcBorders>
              <w:top w:val="single" w:sz="15" w:space="0" w:color="000000"/>
              <w:left w:val="single" w:sz="4" w:space="0" w:color="000000"/>
              <w:bottom w:val="single" w:sz="4" w:space="0" w:color="000000"/>
              <w:right w:val="single" w:sz="4" w:space="0" w:color="000000"/>
            </w:tcBorders>
          </w:tcPr>
          <w:p>
            <w:pPr/>
          </w:p>
        </w:tc>
        <w:tc>
          <w:tcPr>
            <w:tcW w:w="583" w:type="dxa"/>
            <w:tcBorders>
              <w:top w:val="single" w:sz="15" w:space="0" w:color="000000"/>
              <w:left w:val="single" w:sz="4" w:space="0" w:color="000000"/>
              <w:bottom w:val="single" w:sz="4" w:space="0" w:color="000000"/>
              <w:right w:val="single" w:sz="4" w:space="0" w:color="000000"/>
            </w:tcBorders>
          </w:tcPr>
          <w:p>
            <w:pPr/>
          </w:p>
        </w:tc>
        <w:tc>
          <w:tcPr>
            <w:tcW w:w="1227" w:type="dxa"/>
            <w:tcBorders>
              <w:top w:val="single" w:sz="15" w:space="0" w:color="000000"/>
              <w:left w:val="single" w:sz="4" w:space="0" w:color="000000"/>
              <w:bottom w:val="single" w:sz="4" w:space="0" w:color="000000"/>
              <w:right w:val="single" w:sz="4" w:space="0" w:color="000000"/>
            </w:tcBorders>
          </w:tcPr>
          <w:p>
            <w:pPr/>
          </w:p>
        </w:tc>
        <w:tc>
          <w:tcPr>
            <w:tcW w:w="583" w:type="dxa"/>
            <w:tcBorders>
              <w:top w:val="single" w:sz="15" w:space="0" w:color="000000"/>
              <w:left w:val="single" w:sz="4" w:space="0" w:color="000000"/>
              <w:bottom w:val="single" w:sz="4" w:space="0" w:color="000000"/>
              <w:right w:val="single" w:sz="4" w:space="0" w:color="000000"/>
            </w:tcBorders>
          </w:tcPr>
          <w:p>
            <w:pPr/>
          </w:p>
        </w:tc>
        <w:tc>
          <w:tcPr>
            <w:tcW w:w="1399" w:type="dxa"/>
            <w:tcBorders>
              <w:top w:val="single" w:sz="15" w:space="0" w:color="000000"/>
              <w:left w:val="single" w:sz="4" w:space="0" w:color="000000"/>
              <w:bottom w:val="single" w:sz="4" w:space="0" w:color="000000"/>
              <w:right w:val="single" w:sz="4" w:space="0" w:color="000000"/>
            </w:tcBorders>
          </w:tcPr>
          <w:p>
            <w:pPr/>
          </w:p>
        </w:tc>
        <w:tc>
          <w:tcPr>
            <w:tcW w:w="326"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-78,507,415.37</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-17,386,584.64</w:t>
            </w: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-95,894,000.01</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-17,386,584.64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-17,386,584.64</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4,032,800.00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4,032,800.00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4,032,800.00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-82,540,215.37</w:t>
            </w: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-82,540,215.37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-82,540,215.37</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580" w:right="56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253"/>
        <w:gridCol w:w="1300"/>
        <w:gridCol w:w="466"/>
        <w:gridCol w:w="468"/>
        <w:gridCol w:w="312"/>
        <w:gridCol w:w="1433"/>
        <w:gridCol w:w="583"/>
        <w:gridCol w:w="1298"/>
        <w:gridCol w:w="583"/>
        <w:gridCol w:w="1227"/>
        <w:gridCol w:w="583"/>
        <w:gridCol w:w="1399"/>
        <w:gridCol w:w="326"/>
        <w:gridCol w:w="1544"/>
        <w:gridCol w:w="1277"/>
        <w:gridCol w:w="1416"/>
      </w:tblGrid>
      <w:tr>
        <w:trPr>
          <w:trHeight w:val="377" w:hRule="exact"/>
        </w:trPr>
        <w:tc>
          <w:tcPr>
            <w:tcW w:w="125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00" w:type="dxa"/>
            <w:tcBorders>
              <w:top w:val="single" w:sz="15" w:space="0" w:color="000000"/>
              <w:left w:val="single" w:sz="4" w:space="0" w:color="000000"/>
              <w:bottom w:val="single" w:sz="4" w:space="0" w:color="000000"/>
              <w:right w:val="single" w:sz="4" w:space="0" w:color="000000"/>
            </w:tcBorders>
          </w:tcPr>
          <w:p>
            <w:pPr/>
          </w:p>
        </w:tc>
        <w:tc>
          <w:tcPr>
            <w:tcW w:w="466" w:type="dxa"/>
            <w:tcBorders>
              <w:top w:val="single" w:sz="15" w:space="0" w:color="000000"/>
              <w:left w:val="single" w:sz="4" w:space="0" w:color="000000"/>
              <w:bottom w:val="single" w:sz="4" w:space="0" w:color="000000"/>
              <w:right w:val="single" w:sz="4" w:space="0" w:color="000000"/>
            </w:tcBorders>
          </w:tcPr>
          <w:p>
            <w:pPr/>
          </w:p>
        </w:tc>
        <w:tc>
          <w:tcPr>
            <w:tcW w:w="468" w:type="dxa"/>
            <w:tcBorders>
              <w:top w:val="single" w:sz="15" w:space="0" w:color="000000"/>
              <w:left w:val="single" w:sz="4" w:space="0" w:color="000000"/>
              <w:bottom w:val="single" w:sz="4" w:space="0" w:color="000000"/>
              <w:right w:val="single" w:sz="4" w:space="0" w:color="000000"/>
            </w:tcBorders>
          </w:tcPr>
          <w:p>
            <w:pPr/>
          </w:p>
        </w:tc>
        <w:tc>
          <w:tcPr>
            <w:tcW w:w="312" w:type="dxa"/>
            <w:tcBorders>
              <w:top w:val="single" w:sz="15" w:space="0" w:color="000000"/>
              <w:left w:val="single" w:sz="4" w:space="0" w:color="000000"/>
              <w:bottom w:val="single" w:sz="4" w:space="0" w:color="000000"/>
              <w:right w:val="single" w:sz="4" w:space="0" w:color="000000"/>
            </w:tcBorders>
          </w:tcPr>
          <w:p>
            <w:pPr/>
          </w:p>
        </w:tc>
        <w:tc>
          <w:tcPr>
            <w:tcW w:w="1433" w:type="dxa"/>
            <w:tcBorders>
              <w:top w:val="single" w:sz="15" w:space="0" w:color="000000"/>
              <w:left w:val="single" w:sz="4" w:space="0" w:color="000000"/>
              <w:bottom w:val="single" w:sz="4" w:space="0" w:color="000000"/>
              <w:right w:val="single" w:sz="4" w:space="0" w:color="000000"/>
            </w:tcBorders>
          </w:tcPr>
          <w:p>
            <w:pPr/>
          </w:p>
        </w:tc>
        <w:tc>
          <w:tcPr>
            <w:tcW w:w="583" w:type="dxa"/>
            <w:tcBorders>
              <w:top w:val="single" w:sz="15" w:space="0" w:color="000000"/>
              <w:left w:val="single" w:sz="4" w:space="0" w:color="000000"/>
              <w:bottom w:val="single" w:sz="4" w:space="0" w:color="000000"/>
              <w:right w:val="single" w:sz="4" w:space="0" w:color="000000"/>
            </w:tcBorders>
          </w:tcPr>
          <w:p>
            <w:pPr/>
          </w:p>
        </w:tc>
        <w:tc>
          <w:tcPr>
            <w:tcW w:w="1298" w:type="dxa"/>
            <w:tcBorders>
              <w:top w:val="single" w:sz="15" w:space="0" w:color="000000"/>
              <w:left w:val="single" w:sz="4" w:space="0" w:color="000000"/>
              <w:bottom w:val="single" w:sz="4" w:space="0" w:color="000000"/>
              <w:right w:val="single" w:sz="4" w:space="0" w:color="000000"/>
            </w:tcBorders>
          </w:tcPr>
          <w:p>
            <w:pPr/>
          </w:p>
        </w:tc>
        <w:tc>
          <w:tcPr>
            <w:tcW w:w="583" w:type="dxa"/>
            <w:tcBorders>
              <w:top w:val="single" w:sz="15" w:space="0" w:color="000000"/>
              <w:left w:val="single" w:sz="4" w:space="0" w:color="000000"/>
              <w:bottom w:val="single" w:sz="4" w:space="0" w:color="000000"/>
              <w:right w:val="single" w:sz="4" w:space="0" w:color="000000"/>
            </w:tcBorders>
          </w:tcPr>
          <w:p>
            <w:pPr/>
          </w:p>
        </w:tc>
        <w:tc>
          <w:tcPr>
            <w:tcW w:w="1227" w:type="dxa"/>
            <w:tcBorders>
              <w:top w:val="single" w:sz="15" w:space="0" w:color="000000"/>
              <w:left w:val="single" w:sz="4" w:space="0" w:color="000000"/>
              <w:bottom w:val="single" w:sz="4" w:space="0" w:color="000000"/>
              <w:right w:val="single" w:sz="4" w:space="0" w:color="000000"/>
            </w:tcBorders>
          </w:tcPr>
          <w:p>
            <w:pPr/>
          </w:p>
        </w:tc>
        <w:tc>
          <w:tcPr>
            <w:tcW w:w="583" w:type="dxa"/>
            <w:tcBorders>
              <w:top w:val="single" w:sz="15" w:space="0" w:color="000000"/>
              <w:left w:val="single" w:sz="4" w:space="0" w:color="000000"/>
              <w:bottom w:val="single" w:sz="4" w:space="0" w:color="000000"/>
              <w:right w:val="single" w:sz="4" w:space="0" w:color="000000"/>
            </w:tcBorders>
          </w:tcPr>
          <w:p>
            <w:pPr/>
          </w:p>
        </w:tc>
        <w:tc>
          <w:tcPr>
            <w:tcW w:w="1399" w:type="dxa"/>
            <w:tcBorders>
              <w:top w:val="single" w:sz="15" w:space="0" w:color="000000"/>
              <w:left w:val="single" w:sz="4" w:space="0" w:color="000000"/>
              <w:bottom w:val="single" w:sz="4" w:space="0" w:color="000000"/>
              <w:right w:val="single" w:sz="4" w:space="0" w:color="000000"/>
            </w:tcBorders>
          </w:tcPr>
          <w:p>
            <w:pPr/>
          </w:p>
        </w:tc>
        <w:tc>
          <w:tcPr>
            <w:tcW w:w="326"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0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765,799,353.00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1,961,923,917.68</w:t>
            </w:r>
          </w:p>
        </w:tc>
        <w:tc>
          <w:tcPr>
            <w:tcW w:w="58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-29,140,382.44</w:t>
            </w:r>
          </w:p>
        </w:tc>
        <w:tc>
          <w:tcPr>
            <w:tcW w:w="58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28,016,004.53</w:t>
            </w:r>
          </w:p>
        </w:tc>
        <w:tc>
          <w:tcPr>
            <w:tcW w:w="58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-1,066,496,845.72</w:t>
            </w:r>
          </w:p>
        </w:tc>
        <w:tc>
          <w:tcPr>
            <w:tcW w:w="32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1,660,102,047.05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29,505,882.35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1,689,607,929.40</w:t>
            </w:r>
          </w:p>
        </w:tc>
      </w:tr>
    </w:tbl>
    <w:p>
      <w:pPr>
        <w:pStyle w:val="BodyText"/>
        <w:spacing w:line="240" w:lineRule="auto" w:before="49"/>
        <w:ind w:left="860" w:right="0"/>
        <w:jc w:val="left"/>
      </w:pPr>
      <w:r>
        <w:rPr/>
        <w:t>上期金额</w:t>
      </w:r>
    </w:p>
    <w:p>
      <w:pPr>
        <w:pStyle w:val="BodyText"/>
        <w:spacing w:line="240" w:lineRule="auto" w:before="115"/>
        <w:ind w:left="0" w:right="974"/>
        <w:jc w:val="right"/>
      </w:pPr>
      <w:r>
        <w:rPr/>
        <w:t>单位：元</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212"/>
        <w:gridCol w:w="1352"/>
        <w:gridCol w:w="438"/>
        <w:gridCol w:w="449"/>
        <w:gridCol w:w="245"/>
        <w:gridCol w:w="1460"/>
        <w:gridCol w:w="576"/>
        <w:gridCol w:w="1123"/>
        <w:gridCol w:w="578"/>
        <w:gridCol w:w="1124"/>
        <w:gridCol w:w="576"/>
        <w:gridCol w:w="1409"/>
        <w:gridCol w:w="398"/>
        <w:gridCol w:w="1561"/>
        <w:gridCol w:w="1416"/>
        <w:gridCol w:w="1385"/>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
        </w:tc>
        <w:tc>
          <w:tcPr>
            <w:tcW w:w="1409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12" w:type="dxa"/>
            <w:vMerge/>
            <w:tcBorders>
              <w:left w:val="single" w:sz="4" w:space="0" w:color="000000"/>
              <w:bottom w:val="single" w:sz="4" w:space="0" w:color="FFFFFF"/>
              <w:right w:val="single" w:sz="4" w:space="0" w:color="000000"/>
            </w:tcBorders>
            <w:shd w:val="clear" w:color="auto" w:fill="D2D2D2"/>
          </w:tcPr>
          <w:p>
            <w:pPr/>
          </w:p>
        </w:tc>
        <w:tc>
          <w:tcPr>
            <w:tcW w:w="11289"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385" w:type="dxa"/>
            <w:vMerge w:val="restart"/>
            <w:tcBorders>
              <w:top w:val="single" w:sz="4" w:space="0" w:color="000000"/>
              <w:left w:val="single" w:sz="4" w:space="0" w:color="000000"/>
              <w:right w:val="single" w:sz="4" w:space="0" w:color="000000"/>
            </w:tcBorders>
            <w:shd w:val="clear" w:color="auto" w:fill="D2D2D2"/>
          </w:tcPr>
          <w:p>
            <w:pPr/>
          </w:p>
        </w:tc>
      </w:tr>
      <w:tr>
        <w:trPr>
          <w:trHeight w:val="206" w:hRule="exact"/>
        </w:trPr>
        <w:tc>
          <w:tcPr>
            <w:tcW w:w="121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2" w:type="dxa"/>
            <w:vMerge w:val="restart"/>
            <w:tcBorders>
              <w:top w:val="single" w:sz="4" w:space="0" w:color="FFFFFF"/>
              <w:left w:val="single" w:sz="4" w:space="0" w:color="000000"/>
              <w:right w:val="single" w:sz="4" w:space="0" w:color="000000"/>
            </w:tcBorders>
            <w:shd w:val="clear" w:color="auto" w:fill="D2D2D2"/>
          </w:tcPr>
          <w:p>
            <w:pPr/>
          </w:p>
        </w:tc>
        <w:tc>
          <w:tcPr>
            <w:tcW w:w="1132"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60" w:type="dxa"/>
            <w:vMerge w:val="restart"/>
            <w:tcBorders>
              <w:top w:val="single" w:sz="4" w:space="0" w:color="FFFFFF"/>
              <w:left w:val="single" w:sz="4" w:space="0" w:color="000000"/>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1123"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tcBorders>
              <w:top w:val="single" w:sz="4" w:space="0" w:color="FFFFFF"/>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FFFFFF"/>
              <w:left w:val="single" w:sz="4" w:space="0" w:color="000000"/>
              <w:right w:val="single" w:sz="4" w:space="0" w:color="000000"/>
            </w:tcBorders>
            <w:shd w:val="clear" w:color="auto" w:fill="D2D2D2"/>
          </w:tcPr>
          <w:p>
            <w:pP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03"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09" w:type="dxa"/>
            <w:vMerge w:val="restart"/>
            <w:tcBorders>
              <w:top w:val="single" w:sz="4" w:space="0" w:color="FFFFFF"/>
              <w:left w:val="single" w:sz="4" w:space="0" w:color="000000"/>
              <w:right w:val="single" w:sz="4" w:space="0" w:color="000000"/>
            </w:tcBorders>
            <w:shd w:val="clear" w:color="auto" w:fill="D2D2D2"/>
          </w:tcPr>
          <w:p>
            <w:pPr/>
          </w:p>
        </w:tc>
        <w:tc>
          <w:tcPr>
            <w:tcW w:w="398" w:type="dxa"/>
            <w:tcBorders>
              <w:top w:val="single" w:sz="4" w:space="0" w:color="FFFFFF"/>
              <w:left w:val="single" w:sz="4" w:space="0" w:color="000000"/>
              <w:bottom w:val="nil" w:sz="6" w:space="0" w:color="auto"/>
              <w:right w:val="single" w:sz="4" w:space="0" w:color="000000"/>
            </w:tcBorders>
            <w:shd w:val="clear" w:color="auto" w:fill="D2D2D2"/>
          </w:tcPr>
          <w:p>
            <w:pPr/>
          </w:p>
        </w:tc>
        <w:tc>
          <w:tcPr>
            <w:tcW w:w="1561" w:type="dxa"/>
            <w:vMerge w:val="restart"/>
            <w:tcBorders>
              <w:top w:val="single" w:sz="4" w:space="0" w:color="FFFFFF"/>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385" w:type="dxa"/>
            <w:vMerge/>
            <w:tcBorders>
              <w:left w:val="single" w:sz="4" w:space="0" w:color="000000"/>
              <w:bottom w:val="nil" w:sz="6" w:space="0" w:color="auto"/>
              <w:right w:val="single" w:sz="4" w:space="0" w:color="000000"/>
            </w:tcBorders>
            <w:shd w:val="clear" w:color="auto" w:fill="D2D2D2"/>
          </w:tcPr>
          <w:p>
            <w:pPr/>
          </w:p>
        </w:tc>
      </w:tr>
      <w:tr>
        <w:trPr>
          <w:trHeight w:val="177" w:hRule="exact"/>
        </w:trPr>
        <w:tc>
          <w:tcPr>
            <w:tcW w:w="1212" w:type="dxa"/>
            <w:vMerge/>
            <w:tcBorders>
              <w:left w:val="single" w:sz="4" w:space="0" w:color="000000"/>
              <w:bottom w:val="nil" w:sz="6" w:space="0" w:color="auto"/>
              <w:right w:val="single" w:sz="4" w:space="0" w:color="000000"/>
            </w:tcBorders>
            <w:shd w:val="clear" w:color="auto" w:fill="D2D2D2"/>
          </w:tcPr>
          <w:p>
            <w:pPr/>
          </w:p>
        </w:tc>
        <w:tc>
          <w:tcPr>
            <w:tcW w:w="1352" w:type="dxa"/>
            <w:vMerge/>
            <w:tcBorders>
              <w:left w:val="single" w:sz="4" w:space="0" w:color="000000"/>
              <w:bottom w:val="nil" w:sz="6" w:space="0" w:color="auto"/>
              <w:right w:val="single" w:sz="4" w:space="0" w:color="000000"/>
            </w:tcBorders>
            <w:shd w:val="clear" w:color="auto" w:fill="D2D2D2"/>
          </w:tcPr>
          <w:p>
            <w:pPr/>
          </w:p>
        </w:tc>
        <w:tc>
          <w:tcPr>
            <w:tcW w:w="1132" w:type="dxa"/>
            <w:gridSpan w:val="3"/>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0" w:right="22"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67" w:right="10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24"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bottom w:val="nil" w:sz="6" w:space="0" w:color="auto"/>
              <w:right w:val="single" w:sz="4" w:space="0" w:color="000000"/>
            </w:tcBorders>
            <w:shd w:val="clear" w:color="auto" w:fill="D2D2D2"/>
          </w:tcPr>
          <w:p>
            <w:pPr/>
          </w:p>
        </w:tc>
        <w:tc>
          <w:tcPr>
            <w:tcW w:w="3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103" w:right="103"/>
              <w:jc w:val="left"/>
              <w:rPr>
                <w:rFonts w:ascii="宋体" w:hAnsi="宋体" w:cs="宋体" w:eastAsia="宋体" w:hint="default"/>
                <w:sz w:val="18"/>
                <w:szCs w:val="18"/>
              </w:rPr>
            </w:pPr>
            <w:r>
              <w:rPr>
                <w:rFonts w:ascii="宋体" w:hAnsi="宋体" w:cs="宋体" w:eastAsia="宋体" w:hint="default"/>
                <w:sz w:val="18"/>
                <w:szCs w:val="18"/>
              </w:rPr>
              <w:t>其 他</w:t>
            </w:r>
          </w:p>
        </w:tc>
        <w:tc>
          <w:tcPr>
            <w:tcW w:w="1561"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6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0" w:hRule="exact"/>
        </w:trPr>
        <w:tc>
          <w:tcPr>
            <w:tcW w:w="1212" w:type="dxa"/>
            <w:vMerge w:val="restart"/>
            <w:tcBorders>
              <w:top w:val="nil" w:sz="6" w:space="0" w:color="auto"/>
              <w:left w:val="single" w:sz="4" w:space="0" w:color="000000"/>
              <w:right w:val="single" w:sz="4" w:space="0" w:color="000000"/>
            </w:tcBorders>
            <w:shd w:val="clear" w:color="auto" w:fill="D2D2D2"/>
          </w:tcPr>
          <w:p>
            <w:pPr/>
          </w:p>
        </w:tc>
        <w:tc>
          <w:tcPr>
            <w:tcW w:w="13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股本</w:t>
            </w:r>
          </w:p>
        </w:tc>
        <w:tc>
          <w:tcPr>
            <w:tcW w:w="43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2"/>
              <w:ind w:left="116" w:right="3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2"/>
              <w:ind w:left="127"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24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2"/>
              <w:ind w:left="33" w:right="19"/>
              <w:jc w:val="left"/>
              <w:rPr>
                <w:rFonts w:ascii="宋体" w:hAnsi="宋体" w:cs="宋体" w:eastAsia="宋体" w:hint="default"/>
                <w:sz w:val="18"/>
                <w:szCs w:val="18"/>
              </w:rPr>
            </w:pPr>
            <w:r>
              <w:rPr>
                <w:rFonts w:ascii="宋体" w:hAnsi="宋体" w:cs="宋体" w:eastAsia="宋体" w:hint="default"/>
                <w:sz w:val="18"/>
                <w:szCs w:val="18"/>
              </w:rPr>
              <w:t>其 他</w:t>
            </w:r>
          </w:p>
        </w:tc>
        <w:tc>
          <w:tcPr>
            <w:tcW w:w="14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76" w:type="dxa"/>
            <w:vMerge/>
            <w:tcBorders>
              <w:left w:val="single" w:sz="4" w:space="0" w:color="000000"/>
              <w:right w:val="single" w:sz="4" w:space="0" w:color="000000"/>
            </w:tcBorders>
            <w:shd w:val="clear" w:color="auto" w:fill="D2D2D2"/>
          </w:tcPr>
          <w:p>
            <w:pPr/>
          </w:p>
        </w:tc>
        <w:tc>
          <w:tcPr>
            <w:tcW w:w="14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8" w:type="dxa"/>
            <w:vMerge/>
            <w:tcBorders>
              <w:left w:val="single" w:sz="4" w:space="0" w:color="000000"/>
              <w:right w:val="single" w:sz="4" w:space="0" w:color="000000"/>
            </w:tcBorders>
            <w:shd w:val="clear" w:color="auto" w:fill="D2D2D2"/>
          </w:tcPr>
          <w:p>
            <w:pPr/>
          </w:p>
        </w:tc>
        <w:tc>
          <w:tcPr>
            <w:tcW w:w="15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416" w:type="dxa"/>
            <w:vMerge/>
            <w:tcBorders>
              <w:left w:val="single" w:sz="4" w:space="0" w:color="000000"/>
              <w:bottom w:val="nil" w:sz="6" w:space="0" w:color="auto"/>
              <w:right w:val="single" w:sz="4" w:space="0" w:color="000000"/>
            </w:tcBorders>
            <w:shd w:val="clear" w:color="auto" w:fill="D2D2D2"/>
          </w:tcPr>
          <w:p>
            <w:pPr/>
          </w:p>
        </w:tc>
        <w:tc>
          <w:tcPr>
            <w:tcW w:w="138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12" w:type="dxa"/>
            <w:vMerge/>
            <w:tcBorders>
              <w:left w:val="single" w:sz="4" w:space="0" w:color="000000"/>
              <w:right w:val="single" w:sz="4" w:space="0" w:color="000000"/>
            </w:tcBorders>
            <w:shd w:val="clear" w:color="auto" w:fill="D2D2D2"/>
          </w:tcPr>
          <w:p>
            <w:pPr/>
          </w:p>
        </w:tc>
        <w:tc>
          <w:tcPr>
            <w:tcW w:w="1352" w:type="dxa"/>
            <w:vMerge/>
            <w:tcBorders>
              <w:left w:val="single" w:sz="4" w:space="0" w:color="000000"/>
              <w:bottom w:val="nil" w:sz="6" w:space="0" w:color="auto"/>
              <w:right w:val="single" w:sz="4" w:space="0" w:color="000000"/>
            </w:tcBorders>
            <w:shd w:val="clear" w:color="auto" w:fill="D2D2D2"/>
          </w:tcPr>
          <w:p>
            <w:pPr/>
          </w:p>
        </w:tc>
        <w:tc>
          <w:tcPr>
            <w:tcW w:w="438"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bottom w:val="nil" w:sz="6" w:space="0" w:color="auto"/>
              <w:right w:val="single" w:sz="4" w:space="0" w:color="000000"/>
            </w:tcBorders>
            <w:shd w:val="clear" w:color="auto" w:fill="D2D2D2"/>
          </w:tcPr>
          <w:p>
            <w:pPr/>
          </w:p>
        </w:tc>
        <w:tc>
          <w:tcPr>
            <w:tcW w:w="398"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212" w:type="dxa"/>
            <w:vMerge/>
            <w:tcBorders>
              <w:left w:val="single" w:sz="4" w:space="0" w:color="000000"/>
              <w:right w:val="single" w:sz="4" w:space="0" w:color="000000"/>
            </w:tcBorders>
            <w:shd w:val="clear" w:color="auto" w:fill="D2D2D2"/>
          </w:tcPr>
          <w:p>
            <w:pPr/>
          </w:p>
        </w:tc>
        <w:tc>
          <w:tcPr>
            <w:tcW w:w="1352" w:type="dxa"/>
            <w:vMerge w:val="restart"/>
            <w:tcBorders>
              <w:top w:val="nil" w:sz="6" w:space="0" w:color="auto"/>
              <w:left w:val="single" w:sz="4" w:space="0" w:color="000000"/>
              <w:right w:val="single" w:sz="4" w:space="0" w:color="000000"/>
            </w:tcBorders>
            <w:shd w:val="clear" w:color="auto" w:fill="D2D2D2"/>
          </w:tcPr>
          <w:p>
            <w:pPr/>
          </w:p>
        </w:tc>
        <w:tc>
          <w:tcPr>
            <w:tcW w:w="438"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1460"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c>
          <w:tcPr>
            <w:tcW w:w="1124"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1409" w:type="dxa"/>
            <w:vMerge w:val="restart"/>
            <w:tcBorders>
              <w:top w:val="nil" w:sz="6" w:space="0" w:color="auto"/>
              <w:left w:val="single" w:sz="4" w:space="0" w:color="000000"/>
              <w:right w:val="single" w:sz="4" w:space="0" w:color="000000"/>
            </w:tcBorders>
            <w:shd w:val="clear" w:color="auto" w:fill="D2D2D2"/>
          </w:tcPr>
          <w:p>
            <w:pPr/>
          </w:p>
        </w:tc>
        <w:tc>
          <w:tcPr>
            <w:tcW w:w="398" w:type="dxa"/>
            <w:vMerge/>
            <w:tcBorders>
              <w:left w:val="single" w:sz="4" w:space="0" w:color="000000"/>
              <w:bottom w:val="nil" w:sz="6" w:space="0" w:color="auto"/>
              <w:right w:val="single" w:sz="4" w:space="0" w:color="000000"/>
            </w:tcBorders>
            <w:shd w:val="clear" w:color="auto" w:fill="D2D2D2"/>
          </w:tcPr>
          <w:p>
            <w:pPr/>
          </w:p>
        </w:tc>
        <w:tc>
          <w:tcPr>
            <w:tcW w:w="1561"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206"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1352" w:type="dxa"/>
            <w:vMerge/>
            <w:tcBorders>
              <w:left w:val="single" w:sz="4" w:space="0" w:color="000000"/>
              <w:bottom w:val="single" w:sz="4" w:space="0" w:color="000000"/>
              <w:right w:val="single" w:sz="4" w:space="0" w:color="000000"/>
            </w:tcBorders>
            <w:shd w:val="clear" w:color="auto" w:fill="D2D2D2"/>
          </w:tcPr>
          <w:p>
            <w:pPr/>
          </w:p>
        </w:tc>
        <w:tc>
          <w:tcPr>
            <w:tcW w:w="438"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245"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shd w:val="clear" w:color="auto" w:fill="D2D2D2"/>
          </w:tcPr>
          <w:p>
            <w:pPr/>
          </w:p>
        </w:tc>
        <w:tc>
          <w:tcPr>
            <w:tcW w:w="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13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765,799,353.00</w:t>
            </w:r>
          </w:p>
        </w:tc>
        <w:tc>
          <w:tcPr>
            <w:tcW w:w="4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2,087,760,045.87</w:t>
            </w: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7,481,773.91</w:t>
            </w: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28,016,004.53</w:t>
            </w:r>
          </w:p>
        </w:tc>
        <w:tc>
          <w:tcPr>
            <w:tcW w:w="576" w:type="dxa"/>
            <w:tcBorders>
              <w:top w:val="single" w:sz="18" w:space="0" w:color="D2D2D2"/>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-143,597,876.20</w:t>
            </w: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2,745,459,301.11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183,242,001.93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2,928,701,303.04</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580" w:right="560"/>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212"/>
        <w:gridCol w:w="1342"/>
        <w:gridCol w:w="449"/>
        <w:gridCol w:w="449"/>
        <w:gridCol w:w="257"/>
        <w:gridCol w:w="1448"/>
        <w:gridCol w:w="576"/>
        <w:gridCol w:w="1123"/>
        <w:gridCol w:w="578"/>
        <w:gridCol w:w="1124"/>
        <w:gridCol w:w="576"/>
        <w:gridCol w:w="1409"/>
        <w:gridCol w:w="398"/>
        <w:gridCol w:w="1561"/>
        <w:gridCol w:w="1416"/>
        <w:gridCol w:w="1385"/>
      </w:tblGrid>
      <w:tr>
        <w:trPr>
          <w:trHeight w:val="730" w:hRule="exact"/>
        </w:trPr>
        <w:tc>
          <w:tcPr>
            <w:tcW w:w="12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1342"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257" w:type="dxa"/>
            <w:tcBorders>
              <w:top w:val="single" w:sz="15" w:space="0" w:color="000000"/>
              <w:left w:val="single" w:sz="4" w:space="0" w:color="000000"/>
              <w:bottom w:val="single" w:sz="4" w:space="0" w:color="000000"/>
              <w:right w:val="single" w:sz="4" w:space="0" w:color="000000"/>
            </w:tcBorders>
          </w:tcPr>
          <w:p>
            <w:pPr/>
          </w:p>
        </w:tc>
        <w:tc>
          <w:tcPr>
            <w:tcW w:w="1448"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1123" w:type="dxa"/>
            <w:tcBorders>
              <w:top w:val="single" w:sz="15" w:space="0" w:color="000000"/>
              <w:left w:val="single" w:sz="4" w:space="0" w:color="000000"/>
              <w:bottom w:val="single" w:sz="4" w:space="0" w:color="000000"/>
              <w:right w:val="single" w:sz="4" w:space="0" w:color="000000"/>
            </w:tcBorders>
          </w:tcPr>
          <w:p>
            <w:pPr/>
          </w:p>
        </w:tc>
        <w:tc>
          <w:tcPr>
            <w:tcW w:w="578"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1409" w:type="dxa"/>
            <w:tcBorders>
              <w:top w:val="single" w:sz="15" w:space="0" w:color="000000"/>
              <w:left w:val="single" w:sz="4" w:space="0" w:color="000000"/>
              <w:bottom w:val="single" w:sz="4" w:space="0" w:color="000000"/>
              <w:right w:val="single" w:sz="4" w:space="0" w:color="000000"/>
            </w:tcBorders>
          </w:tcPr>
          <w:p>
            <w:pPr/>
          </w:p>
        </w:tc>
        <w:tc>
          <w:tcPr>
            <w:tcW w:w="398" w:type="dxa"/>
            <w:tcBorders>
              <w:top w:val="single" w:sz="15" w:space="0" w:color="000000"/>
              <w:left w:val="single" w:sz="4" w:space="0" w:color="000000"/>
              <w:bottom w:val="single" w:sz="4" w:space="0" w:color="000000"/>
              <w:right w:val="single" w:sz="4" w:space="0" w:color="000000"/>
            </w:tcBorders>
          </w:tcPr>
          <w:p>
            <w:pPr/>
          </w:p>
        </w:tc>
        <w:tc>
          <w:tcPr>
            <w:tcW w:w="1561"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385"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765,799,353.00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2,087,760,045.87</w:t>
            </w: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7,481,773.91</w:t>
            </w: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28,016,004.53</w:t>
            </w: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-143,597,876.20</w:t>
            </w: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2,745,459,301.11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183,242,001.93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2,928,701,303.04</w:t>
            </w:r>
          </w:p>
        </w:tc>
      </w:tr>
      <w:tr>
        <w:trPr>
          <w:trHeight w:val="133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-47,328,712.82</w:t>
            </w: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-7,481,773.91</w:t>
            </w: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93,279,702.88</w:t>
            </w: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38,469,216.15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-129,098,044.71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-90,628,828.56</w:t>
            </w:r>
          </w:p>
        </w:tc>
      </w:tr>
      <w:tr>
        <w:trPr>
          <w:trHeight w:val="71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-7,481,773.91</w:t>
            </w: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93,282,489.53</w:t>
            </w: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85,800,715.62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17,766,191.46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103,566,907.08</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-47,328,712.82</w:t>
            </w: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-2,786.65</w:t>
            </w: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-47,331,499.47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-146,864,236.17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-194,195,735.64</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-102,587,200.00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-102,587,200.00</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5,125,945.28</w:t>
            </w: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5,125,945.28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5,125,945.28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660" w:right="640"/>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212"/>
        <w:gridCol w:w="1342"/>
        <w:gridCol w:w="449"/>
        <w:gridCol w:w="449"/>
        <w:gridCol w:w="257"/>
        <w:gridCol w:w="1448"/>
        <w:gridCol w:w="576"/>
        <w:gridCol w:w="1123"/>
        <w:gridCol w:w="578"/>
        <w:gridCol w:w="1124"/>
        <w:gridCol w:w="576"/>
        <w:gridCol w:w="1409"/>
        <w:gridCol w:w="398"/>
        <w:gridCol w:w="1561"/>
        <w:gridCol w:w="1416"/>
        <w:gridCol w:w="1385"/>
      </w:tblGrid>
      <w:tr>
        <w:trPr>
          <w:trHeight w:val="418" w:hRule="exact"/>
        </w:trPr>
        <w:tc>
          <w:tcPr>
            <w:tcW w:w="12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257" w:type="dxa"/>
            <w:tcBorders>
              <w:top w:val="single" w:sz="15" w:space="0" w:color="000000"/>
              <w:left w:val="single" w:sz="4" w:space="0" w:color="000000"/>
              <w:bottom w:val="single" w:sz="4" w:space="0" w:color="000000"/>
              <w:right w:val="single" w:sz="4" w:space="0" w:color="000000"/>
            </w:tcBorders>
          </w:tcPr>
          <w:p>
            <w:pPr/>
          </w:p>
        </w:tc>
        <w:tc>
          <w:tcPr>
            <w:tcW w:w="14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319" w:right="0"/>
              <w:jc w:val="left"/>
              <w:rPr>
                <w:rFonts w:ascii="Times New Roman" w:hAnsi="Times New Roman" w:cs="Times New Roman" w:eastAsia="Times New Roman" w:hint="default"/>
                <w:sz w:val="18"/>
                <w:szCs w:val="18"/>
              </w:rPr>
            </w:pPr>
            <w:r>
              <w:rPr>
                <w:rFonts w:ascii="Times New Roman"/>
                <w:sz w:val="18"/>
              </w:rPr>
              <w:t>-52,454,658.10</w:t>
            </w:r>
          </w:p>
        </w:tc>
        <w:tc>
          <w:tcPr>
            <w:tcW w:w="576" w:type="dxa"/>
            <w:tcBorders>
              <w:top w:val="single" w:sz="15" w:space="0" w:color="000000"/>
              <w:left w:val="single" w:sz="4" w:space="0" w:color="000000"/>
              <w:bottom w:val="single" w:sz="4" w:space="0" w:color="000000"/>
              <w:right w:val="single" w:sz="4" w:space="0" w:color="000000"/>
            </w:tcBorders>
          </w:tcPr>
          <w:p>
            <w:pPr/>
          </w:p>
        </w:tc>
        <w:tc>
          <w:tcPr>
            <w:tcW w:w="1123" w:type="dxa"/>
            <w:tcBorders>
              <w:top w:val="single" w:sz="15" w:space="0" w:color="000000"/>
              <w:left w:val="single" w:sz="4" w:space="0" w:color="000000"/>
              <w:bottom w:val="single" w:sz="4" w:space="0" w:color="000000"/>
              <w:right w:val="single" w:sz="4" w:space="0" w:color="000000"/>
            </w:tcBorders>
          </w:tcPr>
          <w:p>
            <w:pPr/>
          </w:p>
        </w:tc>
        <w:tc>
          <w:tcPr>
            <w:tcW w:w="578"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14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686" w:right="0"/>
              <w:jc w:val="left"/>
              <w:rPr>
                <w:rFonts w:ascii="Times New Roman" w:hAnsi="Times New Roman" w:cs="Times New Roman" w:eastAsia="Times New Roman" w:hint="default"/>
                <w:sz w:val="18"/>
                <w:szCs w:val="18"/>
              </w:rPr>
            </w:pPr>
            <w:r>
              <w:rPr>
                <w:rFonts w:ascii="Times New Roman"/>
                <w:sz w:val="18"/>
              </w:rPr>
              <w:t>-2,786.65</w:t>
            </w:r>
          </w:p>
        </w:tc>
        <w:tc>
          <w:tcPr>
            <w:tcW w:w="398" w:type="dxa"/>
            <w:tcBorders>
              <w:top w:val="single" w:sz="15" w:space="0" w:color="000000"/>
              <w:left w:val="single" w:sz="4" w:space="0" w:color="000000"/>
              <w:bottom w:val="single" w:sz="4" w:space="0" w:color="000000"/>
              <w:right w:val="single" w:sz="4" w:space="0" w:color="000000"/>
            </w:tcBorders>
          </w:tcPr>
          <w:p>
            <w:pPr/>
          </w:p>
        </w:tc>
        <w:tc>
          <w:tcPr>
            <w:tcW w:w="15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432" w:right="0"/>
              <w:jc w:val="left"/>
              <w:rPr>
                <w:rFonts w:ascii="Times New Roman" w:hAnsi="Times New Roman" w:cs="Times New Roman" w:eastAsia="Times New Roman" w:hint="default"/>
                <w:sz w:val="18"/>
                <w:szCs w:val="18"/>
              </w:rPr>
            </w:pPr>
            <w:r>
              <w:rPr>
                <w:rFonts w:ascii="Times New Roman"/>
                <w:sz w:val="18"/>
              </w:rPr>
              <w:t>-52,457,444.75</w:t>
            </w: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88" w:right="0"/>
              <w:jc w:val="left"/>
              <w:rPr>
                <w:rFonts w:ascii="Times New Roman" w:hAnsi="Times New Roman" w:cs="Times New Roman" w:eastAsia="Times New Roman" w:hint="default"/>
                <w:sz w:val="18"/>
                <w:szCs w:val="18"/>
              </w:rPr>
            </w:pPr>
            <w:r>
              <w:rPr>
                <w:rFonts w:ascii="Times New Roman"/>
                <w:sz w:val="18"/>
              </w:rPr>
              <w:t>-44,277,036.17</w:t>
            </w:r>
          </w:p>
        </w:tc>
        <w:tc>
          <w:tcPr>
            <w:tcW w:w="13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59" w:right="0"/>
              <w:jc w:val="left"/>
              <w:rPr>
                <w:rFonts w:ascii="Times New Roman" w:hAnsi="Times New Roman" w:cs="Times New Roman" w:eastAsia="Times New Roman" w:hint="default"/>
                <w:sz w:val="18"/>
                <w:szCs w:val="18"/>
              </w:rPr>
            </w:pPr>
            <w:r>
              <w:rPr>
                <w:rFonts w:ascii="Times New Roman"/>
                <w:sz w:val="18"/>
              </w:rPr>
              <w:t>-96,734,480.92</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4"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40" w:left="660" w:right="640"/>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212"/>
        <w:gridCol w:w="1342"/>
        <w:gridCol w:w="449"/>
        <w:gridCol w:w="449"/>
        <w:gridCol w:w="257"/>
        <w:gridCol w:w="1448"/>
        <w:gridCol w:w="576"/>
        <w:gridCol w:w="1123"/>
        <w:gridCol w:w="578"/>
        <w:gridCol w:w="1124"/>
        <w:gridCol w:w="576"/>
        <w:gridCol w:w="1409"/>
        <w:gridCol w:w="398"/>
        <w:gridCol w:w="1561"/>
        <w:gridCol w:w="1416"/>
        <w:gridCol w:w="1385"/>
      </w:tblGrid>
      <w:tr>
        <w:trPr>
          <w:trHeight w:val="418" w:hRule="exact"/>
        </w:trPr>
        <w:tc>
          <w:tcPr>
            <w:tcW w:w="12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342"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257" w:type="dxa"/>
            <w:tcBorders>
              <w:top w:val="single" w:sz="15" w:space="0" w:color="000000"/>
              <w:left w:val="single" w:sz="4" w:space="0" w:color="000000"/>
              <w:bottom w:val="single" w:sz="4" w:space="0" w:color="000000"/>
              <w:right w:val="single" w:sz="4" w:space="0" w:color="000000"/>
            </w:tcBorders>
          </w:tcPr>
          <w:p>
            <w:pPr/>
          </w:p>
        </w:tc>
        <w:tc>
          <w:tcPr>
            <w:tcW w:w="1448"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1123" w:type="dxa"/>
            <w:tcBorders>
              <w:top w:val="single" w:sz="15" w:space="0" w:color="000000"/>
              <w:left w:val="single" w:sz="4" w:space="0" w:color="000000"/>
              <w:bottom w:val="single" w:sz="4" w:space="0" w:color="000000"/>
              <w:right w:val="single" w:sz="4" w:space="0" w:color="000000"/>
            </w:tcBorders>
          </w:tcPr>
          <w:p>
            <w:pPr/>
          </w:p>
        </w:tc>
        <w:tc>
          <w:tcPr>
            <w:tcW w:w="578"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1409" w:type="dxa"/>
            <w:tcBorders>
              <w:top w:val="single" w:sz="15" w:space="0" w:color="000000"/>
              <w:left w:val="single" w:sz="4" w:space="0" w:color="000000"/>
              <w:bottom w:val="single" w:sz="4" w:space="0" w:color="000000"/>
              <w:right w:val="single" w:sz="4" w:space="0" w:color="000000"/>
            </w:tcBorders>
          </w:tcPr>
          <w:p>
            <w:pPr/>
          </w:p>
        </w:tc>
        <w:tc>
          <w:tcPr>
            <w:tcW w:w="398" w:type="dxa"/>
            <w:tcBorders>
              <w:top w:val="single" w:sz="15" w:space="0" w:color="000000"/>
              <w:left w:val="single" w:sz="4" w:space="0" w:color="000000"/>
              <w:bottom w:val="single" w:sz="4" w:space="0" w:color="000000"/>
              <w:right w:val="single" w:sz="4" w:space="0" w:color="000000"/>
            </w:tcBorders>
          </w:tcPr>
          <w:p>
            <w:pPr/>
          </w:p>
        </w:tc>
        <w:tc>
          <w:tcPr>
            <w:tcW w:w="1561"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385"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765,799,353.00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2,040,431,333.05</w:t>
            </w:r>
          </w:p>
        </w:tc>
        <w:tc>
          <w:tcPr>
            <w:tcW w:w="5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28,016,004.53</w:t>
            </w:r>
          </w:p>
        </w:tc>
        <w:tc>
          <w:tcPr>
            <w:tcW w:w="57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-50,318,173.32</w:t>
            </w:r>
          </w:p>
        </w:tc>
        <w:tc>
          <w:tcPr>
            <w:tcW w:w="3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2,783,928,517.26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54,143,957.22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2,838,072,474.48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780" w:right="0"/>
        <w:jc w:val="left"/>
        <w:rPr>
          <w:b w:val="0"/>
          <w:bCs w:val="0"/>
        </w:rPr>
      </w:pPr>
      <w:bookmarkStart w:name="8、母公司所有者权益变动表" w:id="168"/>
      <w:bookmarkEnd w:id="16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780" w:right="0"/>
        <w:jc w:val="left"/>
      </w:pPr>
      <w:r>
        <w:rPr/>
        <w:t>本期金额</w:t>
      </w:r>
    </w:p>
    <w:p>
      <w:pPr>
        <w:pStyle w:val="BodyText"/>
        <w:spacing w:line="240" w:lineRule="auto" w:before="117"/>
        <w:ind w:left="0" w:right="894"/>
        <w:jc w:val="right"/>
      </w:pPr>
      <w:r>
        <w:rPr/>
        <w:t>单位：元</w:t>
      </w:r>
    </w:p>
    <w:p>
      <w:pPr>
        <w:spacing w:line="240" w:lineRule="auto" w:before="4"/>
        <w:rPr>
          <w:rFonts w:ascii="宋体" w:hAnsi="宋体" w:cs="宋体" w:eastAsia="宋体" w:hint="default"/>
          <w:sz w:val="8"/>
          <w:szCs w:val="8"/>
        </w:rPr>
      </w:pPr>
    </w:p>
    <w:tbl>
      <w:tblPr>
        <w:tblW w:w="0" w:type="auto"/>
        <w:jc w:val="left"/>
        <w:tblInd w:w="467" w:type="dxa"/>
        <w:tblLayout w:type="fixed"/>
        <w:tblCellMar>
          <w:top w:w="0" w:type="dxa"/>
          <w:left w:w="0" w:type="dxa"/>
          <w:bottom w:w="0" w:type="dxa"/>
          <w:right w:w="0" w:type="dxa"/>
        </w:tblCellMar>
        <w:tblLook w:val="01E0"/>
      </w:tblPr>
      <w:tblGrid>
        <w:gridCol w:w="2979"/>
        <w:gridCol w:w="1400"/>
        <w:gridCol w:w="605"/>
        <w:gridCol w:w="602"/>
        <w:gridCol w:w="605"/>
        <w:gridCol w:w="1447"/>
        <w:gridCol w:w="728"/>
        <w:gridCol w:w="727"/>
        <w:gridCol w:w="727"/>
        <w:gridCol w:w="1222"/>
        <w:gridCol w:w="1275"/>
        <w:gridCol w:w="710"/>
        <w:gridCol w:w="1558"/>
      </w:tblGrid>
      <w:tr>
        <w:trPr>
          <w:trHeight w:val="396" w:hRule="exact"/>
        </w:trPr>
        <w:tc>
          <w:tcPr>
            <w:tcW w:w="29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0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12" w:hRule="exact"/>
        </w:trPr>
        <w:tc>
          <w:tcPr>
            <w:tcW w:w="29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4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69" w:right="20" w:hanging="246"/>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88" w:right="8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66" w:right="8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979" w:type="dxa"/>
            <w:vMerge/>
            <w:tcBorders>
              <w:left w:val="single" w:sz="4" w:space="0" w:color="000000"/>
              <w:bottom w:val="nil" w:sz="6" w:space="0" w:color="auto"/>
              <w:right w:val="single" w:sz="4" w:space="0" w:color="000000"/>
            </w:tcBorders>
            <w:shd w:val="clear" w:color="auto" w:fill="D2D2D2"/>
          </w:tcPr>
          <w:p>
            <w:pPr/>
          </w:p>
        </w:tc>
        <w:tc>
          <w:tcPr>
            <w:tcW w:w="14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12" w:type="dxa"/>
            <w:gridSpan w:val="3"/>
            <w:vMerge/>
            <w:tcBorders>
              <w:left w:val="single" w:sz="4" w:space="0" w:color="000000"/>
              <w:bottom w:val="single" w:sz="4" w:space="0" w:color="000000"/>
              <w:right w:val="single" w:sz="4" w:space="0" w:color="000000"/>
            </w:tcBorders>
            <w:shd w:val="clear" w:color="auto" w:fill="D2D2D2"/>
          </w:tcPr>
          <w:p>
            <w:pPr/>
          </w:p>
        </w:tc>
        <w:tc>
          <w:tcPr>
            <w:tcW w:w="14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12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2979" w:type="dxa"/>
            <w:vMerge w:val="restart"/>
            <w:tcBorders>
              <w:top w:val="nil" w:sz="6" w:space="0" w:color="auto"/>
              <w:left w:val="single" w:sz="4" w:space="0" w:color="000000"/>
              <w:right w:val="single" w:sz="4" w:space="0" w:color="000000"/>
            </w:tcBorders>
            <w:shd w:val="clear" w:color="auto" w:fill="D2D2D2"/>
          </w:tcPr>
          <w:p>
            <w:pPr/>
          </w:p>
        </w:tc>
        <w:tc>
          <w:tcPr>
            <w:tcW w:w="140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7" w:type="dxa"/>
            <w:vMerge/>
            <w:tcBorders>
              <w:left w:val="single" w:sz="4" w:space="0" w:color="000000"/>
              <w:bottom w:val="nil" w:sz="6" w:space="0" w:color="auto"/>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1222"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979" w:type="dxa"/>
            <w:vMerge/>
            <w:tcBorders>
              <w:left w:val="single" w:sz="4" w:space="0" w:color="000000"/>
              <w:bottom w:val="single" w:sz="4" w:space="0" w:color="000000"/>
              <w:right w:val="single" w:sz="4" w:space="0" w:color="000000"/>
            </w:tcBorders>
            <w:shd w:val="clear" w:color="auto" w:fill="D2D2D2"/>
          </w:tcPr>
          <w:p>
            <w:pPr/>
          </w:p>
        </w:tc>
        <w:tc>
          <w:tcPr>
            <w:tcW w:w="140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144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12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765,799,353.00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2,099,233,168.43</w:t>
            </w:r>
          </w:p>
        </w:tc>
        <w:tc>
          <w:tcPr>
            <w:tcW w:w="728" w:type="dxa"/>
            <w:tcBorders>
              <w:top w:val="single" w:sz="18" w:space="0" w:color="D2D2D2"/>
              <w:left w:val="single" w:sz="4" w:space="0" w:color="000000"/>
              <w:bottom w:val="single" w:sz="4" w:space="0" w:color="000000"/>
              <w:right w:val="single" w:sz="4" w:space="0" w:color="000000"/>
            </w:tcBorders>
          </w:tcPr>
          <w:p>
            <w:pPr/>
          </w:p>
        </w:tc>
        <w:tc>
          <w:tcPr>
            <w:tcW w:w="727" w:type="dxa"/>
            <w:tcBorders>
              <w:top w:val="single" w:sz="18" w:space="0" w:color="D2D2D2"/>
              <w:left w:val="single" w:sz="4" w:space="0" w:color="000000"/>
              <w:bottom w:val="single" w:sz="4" w:space="0" w:color="000000"/>
              <w:right w:val="single" w:sz="4" w:space="0" w:color="000000"/>
            </w:tcBorders>
          </w:tcPr>
          <w:p>
            <w:pPr/>
          </w:p>
        </w:tc>
        <w:tc>
          <w:tcPr>
            <w:tcW w:w="727" w:type="dxa"/>
            <w:tcBorders>
              <w:top w:val="single" w:sz="18" w:space="0" w:color="D2D2D2"/>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28,016,004.53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-220,222,434.79</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2,672,826,091.17</w:t>
            </w: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765,799,353.00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2,099,233,168.43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28,016,004.53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-220,222,434.79</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2,672,826,091.17</w:t>
            </w: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95"/>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4,032,800.00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-679,812,891.26</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-675,780,091.26</w:t>
            </w: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-679,812,891.26</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-679,812,891.26</w:t>
            </w: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4,032,800.00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4,032,800.00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660" w:right="640"/>
        </w:sectPr>
      </w:pPr>
    </w:p>
    <w:p>
      <w:pPr>
        <w:spacing w:line="240" w:lineRule="auto" w:before="11"/>
        <w:rPr>
          <w:rFonts w:ascii="宋体" w:hAnsi="宋体" w:cs="宋体" w:eastAsia="宋体" w:hint="default"/>
          <w:sz w:val="2"/>
          <w:szCs w:val="2"/>
        </w:rPr>
      </w:pPr>
    </w:p>
    <w:tbl>
      <w:tblPr>
        <w:tblW w:w="0" w:type="auto"/>
        <w:jc w:val="left"/>
        <w:tblInd w:w="357" w:type="dxa"/>
        <w:tblLayout w:type="fixed"/>
        <w:tblCellMar>
          <w:top w:w="0" w:type="dxa"/>
          <w:left w:w="0" w:type="dxa"/>
          <w:bottom w:w="0" w:type="dxa"/>
          <w:right w:w="0" w:type="dxa"/>
        </w:tblCellMar>
        <w:tblLook w:val="01E0"/>
      </w:tblPr>
      <w:tblGrid>
        <w:gridCol w:w="2990"/>
        <w:gridCol w:w="1400"/>
        <w:gridCol w:w="605"/>
        <w:gridCol w:w="602"/>
        <w:gridCol w:w="605"/>
        <w:gridCol w:w="1447"/>
        <w:gridCol w:w="728"/>
        <w:gridCol w:w="727"/>
        <w:gridCol w:w="727"/>
        <w:gridCol w:w="1222"/>
        <w:gridCol w:w="1275"/>
        <w:gridCol w:w="710"/>
        <w:gridCol w:w="1558"/>
      </w:tblGrid>
      <w:tr>
        <w:trPr>
          <w:trHeight w:val="418" w:hRule="exact"/>
        </w:trPr>
        <w:tc>
          <w:tcPr>
            <w:tcW w:w="299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00" w:type="dxa"/>
            <w:tcBorders>
              <w:top w:val="single" w:sz="15" w:space="0" w:color="000000"/>
              <w:left w:val="single" w:sz="13" w:space="0" w:color="D2D2D2"/>
              <w:bottom w:val="single" w:sz="4" w:space="0" w:color="000000"/>
              <w:right w:val="single" w:sz="4" w:space="0" w:color="000000"/>
            </w:tcBorders>
          </w:tcPr>
          <w:p>
            <w:pPr/>
          </w:p>
        </w:tc>
        <w:tc>
          <w:tcPr>
            <w:tcW w:w="605" w:type="dxa"/>
            <w:tcBorders>
              <w:top w:val="single" w:sz="15" w:space="0" w:color="000000"/>
              <w:left w:val="single" w:sz="4" w:space="0" w:color="000000"/>
              <w:bottom w:val="single" w:sz="4" w:space="0" w:color="000000"/>
              <w:right w:val="single" w:sz="4" w:space="0" w:color="000000"/>
            </w:tcBorders>
          </w:tcPr>
          <w:p>
            <w:pPr/>
          </w:p>
        </w:tc>
        <w:tc>
          <w:tcPr>
            <w:tcW w:w="602" w:type="dxa"/>
            <w:tcBorders>
              <w:top w:val="single" w:sz="15" w:space="0" w:color="000000"/>
              <w:left w:val="single" w:sz="4" w:space="0" w:color="000000"/>
              <w:bottom w:val="single" w:sz="4" w:space="0" w:color="000000"/>
              <w:right w:val="single" w:sz="4" w:space="0" w:color="000000"/>
            </w:tcBorders>
          </w:tcPr>
          <w:p>
            <w:pPr/>
          </w:p>
        </w:tc>
        <w:tc>
          <w:tcPr>
            <w:tcW w:w="605" w:type="dxa"/>
            <w:tcBorders>
              <w:top w:val="single" w:sz="15" w:space="0" w:color="000000"/>
              <w:left w:val="single" w:sz="4" w:space="0" w:color="000000"/>
              <w:bottom w:val="single" w:sz="4" w:space="0" w:color="000000"/>
              <w:right w:val="single" w:sz="4" w:space="0" w:color="000000"/>
            </w:tcBorders>
          </w:tcPr>
          <w:p>
            <w:pPr/>
          </w:p>
        </w:tc>
        <w:tc>
          <w:tcPr>
            <w:tcW w:w="1447" w:type="dxa"/>
            <w:tcBorders>
              <w:top w:val="single" w:sz="15" w:space="0" w:color="000000"/>
              <w:left w:val="single" w:sz="4" w:space="0" w:color="000000"/>
              <w:bottom w:val="single" w:sz="4" w:space="0" w:color="000000"/>
              <w:right w:val="single" w:sz="4" w:space="0" w:color="000000"/>
            </w:tcBorders>
          </w:tcPr>
          <w:p>
            <w:pPr/>
          </w:p>
        </w:tc>
        <w:tc>
          <w:tcPr>
            <w:tcW w:w="728" w:type="dxa"/>
            <w:tcBorders>
              <w:top w:val="single" w:sz="15" w:space="0" w:color="000000"/>
              <w:left w:val="single" w:sz="4" w:space="0" w:color="000000"/>
              <w:bottom w:val="single" w:sz="4" w:space="0" w:color="000000"/>
              <w:right w:val="single" w:sz="4" w:space="0" w:color="000000"/>
            </w:tcBorders>
          </w:tcPr>
          <w:p>
            <w:pPr/>
          </w:p>
        </w:tc>
        <w:tc>
          <w:tcPr>
            <w:tcW w:w="727" w:type="dxa"/>
            <w:tcBorders>
              <w:top w:val="single" w:sz="15" w:space="0" w:color="000000"/>
              <w:left w:val="single" w:sz="4" w:space="0" w:color="000000"/>
              <w:bottom w:val="single" w:sz="4" w:space="0" w:color="000000"/>
              <w:right w:val="single" w:sz="4" w:space="0" w:color="000000"/>
            </w:tcBorders>
          </w:tcPr>
          <w:p>
            <w:pPr/>
          </w:p>
        </w:tc>
        <w:tc>
          <w:tcPr>
            <w:tcW w:w="727" w:type="dxa"/>
            <w:tcBorders>
              <w:top w:val="single" w:sz="15" w:space="0" w:color="000000"/>
              <w:left w:val="single" w:sz="4" w:space="0" w:color="000000"/>
              <w:bottom w:val="single" w:sz="4" w:space="0" w:color="000000"/>
              <w:right w:val="single" w:sz="4" w:space="0" w:color="000000"/>
            </w:tcBorders>
          </w:tcPr>
          <w:p>
            <w:pPr/>
          </w:p>
        </w:tc>
        <w:tc>
          <w:tcPr>
            <w:tcW w:w="1222"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4,032,800.00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4,032,800.00</w:t>
            </w:r>
          </w:p>
        </w:tc>
      </w:tr>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．设定受益计划变动额结转留存收益</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00"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8" w:right="0"/>
              <w:jc w:val="left"/>
              <w:rPr>
                <w:rFonts w:ascii="Times New Roman" w:hAnsi="Times New Roman" w:cs="Times New Roman" w:eastAsia="Times New Roman" w:hint="default"/>
                <w:sz w:val="18"/>
                <w:szCs w:val="18"/>
              </w:rPr>
            </w:pPr>
            <w:r>
              <w:rPr>
                <w:rFonts w:ascii="Times New Roman"/>
                <w:sz w:val="18"/>
              </w:rPr>
              <w:t>765,799,353.00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2,103,265,968.43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28,016,004.53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-900,035,326.05</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1,997,045,999.91</w:t>
            </w:r>
          </w:p>
        </w:tc>
      </w:tr>
    </w:tbl>
    <w:p>
      <w:pPr>
        <w:pStyle w:val="BodyText"/>
        <w:spacing w:line="240" w:lineRule="auto" w:before="49"/>
        <w:ind w:left="680" w:right="0"/>
        <w:jc w:val="left"/>
      </w:pPr>
      <w:r>
        <w:rPr/>
        <w:t>上期金额</w:t>
      </w:r>
    </w:p>
    <w:p>
      <w:pPr>
        <w:pStyle w:val="BodyText"/>
        <w:spacing w:line="240" w:lineRule="auto" w:before="115"/>
        <w:ind w:left="0" w:right="754"/>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835"/>
        <w:gridCol w:w="12227"/>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760" w:right="780"/>
        </w:sectPr>
      </w:pPr>
    </w:p>
    <w:p>
      <w:pPr>
        <w:spacing w:line="240" w:lineRule="auto" w:before="2"/>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811"/>
        <w:gridCol w:w="1476"/>
        <w:gridCol w:w="572"/>
        <w:gridCol w:w="571"/>
        <w:gridCol w:w="574"/>
        <w:gridCol w:w="1402"/>
        <w:gridCol w:w="687"/>
        <w:gridCol w:w="1440"/>
        <w:gridCol w:w="780"/>
        <w:gridCol w:w="1205"/>
        <w:gridCol w:w="1277"/>
        <w:gridCol w:w="797"/>
        <w:gridCol w:w="1471"/>
      </w:tblGrid>
      <w:tr>
        <w:trPr>
          <w:trHeight w:val="221" w:hRule="exact"/>
        </w:trPr>
        <w:tc>
          <w:tcPr>
            <w:tcW w:w="2811" w:type="dxa"/>
            <w:vMerge w:val="restart"/>
            <w:tcBorders>
              <w:top w:val="single" w:sz="15" w:space="0" w:color="000000"/>
              <w:left w:val="single" w:sz="4" w:space="0" w:color="000000"/>
              <w:right w:val="single" w:sz="4" w:space="0" w:color="000000"/>
            </w:tcBorders>
            <w:shd w:val="clear" w:color="auto" w:fill="D2D2D2"/>
          </w:tcPr>
          <w:p>
            <w:pPr/>
          </w:p>
        </w:tc>
        <w:tc>
          <w:tcPr>
            <w:tcW w:w="1476" w:type="dxa"/>
            <w:vMerge w:val="restart"/>
            <w:tcBorders>
              <w:top w:val="single" w:sz="15" w:space="0" w:color="000000"/>
              <w:left w:val="single" w:sz="4" w:space="0" w:color="000000"/>
              <w:right w:val="single" w:sz="4" w:space="0" w:color="000000"/>
            </w:tcBorders>
            <w:shd w:val="clear" w:color="auto" w:fill="D2D2D2"/>
          </w:tcPr>
          <w:p>
            <w:pPr/>
          </w:p>
        </w:tc>
        <w:tc>
          <w:tcPr>
            <w:tcW w:w="1717" w:type="dxa"/>
            <w:gridSpan w:val="3"/>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02" w:type="dxa"/>
            <w:vMerge w:val="restart"/>
            <w:tcBorders>
              <w:top w:val="single" w:sz="15" w:space="0" w:color="000000"/>
              <w:left w:val="single" w:sz="4" w:space="0" w:color="000000"/>
              <w:right w:val="single" w:sz="4" w:space="0" w:color="000000"/>
            </w:tcBorders>
            <w:shd w:val="clear" w:color="auto" w:fill="D2D2D2"/>
          </w:tcPr>
          <w:p>
            <w:pPr/>
          </w:p>
        </w:tc>
        <w:tc>
          <w:tcPr>
            <w:tcW w:w="687" w:type="dxa"/>
            <w:tcBorders>
              <w:top w:val="single" w:sz="15" w:space="0" w:color="000000"/>
              <w:left w:val="single" w:sz="4" w:space="0" w:color="000000"/>
              <w:bottom w:val="nil" w:sz="6" w:space="0" w:color="auto"/>
              <w:right w:val="single" w:sz="4" w:space="0" w:color="000000"/>
            </w:tcBorders>
            <w:shd w:val="clear" w:color="auto" w:fill="D2D2D2"/>
          </w:tcPr>
          <w:p>
            <w:pPr/>
          </w:p>
        </w:tc>
        <w:tc>
          <w:tcPr>
            <w:tcW w:w="1440" w:type="dxa"/>
            <w:vMerge w:val="restart"/>
            <w:tcBorders>
              <w:top w:val="single" w:sz="15" w:space="0" w:color="000000"/>
              <w:left w:val="single" w:sz="4" w:space="0" w:color="000000"/>
              <w:right w:val="single" w:sz="4" w:space="0" w:color="000000"/>
            </w:tcBorders>
            <w:shd w:val="clear" w:color="auto" w:fill="D2D2D2"/>
          </w:tcPr>
          <w:p>
            <w:pPr/>
          </w:p>
        </w:tc>
        <w:tc>
          <w:tcPr>
            <w:tcW w:w="780" w:type="dxa"/>
            <w:vMerge w:val="restart"/>
            <w:tcBorders>
              <w:top w:val="single" w:sz="15" w:space="0" w:color="000000"/>
              <w:left w:val="single" w:sz="4" w:space="0" w:color="000000"/>
              <w:right w:val="single" w:sz="4" w:space="0" w:color="000000"/>
            </w:tcBorders>
            <w:shd w:val="clear" w:color="auto" w:fill="D2D2D2"/>
          </w:tcPr>
          <w:p>
            <w:pPr/>
          </w:p>
        </w:tc>
        <w:tc>
          <w:tcPr>
            <w:tcW w:w="1205" w:type="dxa"/>
            <w:vMerge w:val="restart"/>
            <w:tcBorders>
              <w:top w:val="single" w:sz="15" w:space="0" w:color="000000"/>
              <w:left w:val="single" w:sz="4" w:space="0" w:color="000000"/>
              <w:right w:val="single" w:sz="4" w:space="0" w:color="000000"/>
            </w:tcBorders>
            <w:shd w:val="clear" w:color="auto" w:fill="D2D2D2"/>
          </w:tcPr>
          <w:p>
            <w:pPr/>
          </w:p>
        </w:tc>
        <w:tc>
          <w:tcPr>
            <w:tcW w:w="1277" w:type="dxa"/>
            <w:vMerge w:val="restart"/>
            <w:tcBorders>
              <w:top w:val="single" w:sz="15" w:space="0" w:color="000000"/>
              <w:left w:val="single" w:sz="4" w:space="0" w:color="000000"/>
              <w:right w:val="single" w:sz="4" w:space="0" w:color="000000"/>
            </w:tcBorders>
            <w:shd w:val="clear" w:color="auto" w:fill="D2D2D2"/>
          </w:tcPr>
          <w:p>
            <w:pPr/>
          </w:p>
        </w:tc>
        <w:tc>
          <w:tcPr>
            <w:tcW w:w="797" w:type="dxa"/>
            <w:vMerge w:val="restart"/>
            <w:tcBorders>
              <w:top w:val="single" w:sz="15" w:space="0" w:color="000000"/>
              <w:left w:val="single" w:sz="4" w:space="0" w:color="000000"/>
              <w:right w:val="single" w:sz="4" w:space="0" w:color="000000"/>
            </w:tcBorders>
            <w:shd w:val="clear" w:color="auto" w:fill="D2D2D2"/>
          </w:tcPr>
          <w:p>
            <w:pPr/>
          </w:p>
        </w:tc>
        <w:tc>
          <w:tcPr>
            <w:tcW w:w="1471" w:type="dxa"/>
            <w:vMerge w:val="restart"/>
            <w:tcBorders>
              <w:top w:val="single" w:sz="15" w:space="0" w:color="000000"/>
              <w:left w:val="single" w:sz="4" w:space="0" w:color="000000"/>
              <w:right w:val="single" w:sz="4" w:space="0" w:color="000000"/>
            </w:tcBorders>
            <w:shd w:val="clear" w:color="auto" w:fill="D2D2D2"/>
          </w:tcPr>
          <w:p>
            <w:pPr/>
          </w:p>
        </w:tc>
      </w:tr>
      <w:tr>
        <w:trPr>
          <w:trHeight w:val="165" w:hRule="exact"/>
        </w:trPr>
        <w:tc>
          <w:tcPr>
            <w:tcW w:w="2811" w:type="dxa"/>
            <w:vMerge/>
            <w:tcBorders>
              <w:left w:val="single" w:sz="4" w:space="0" w:color="000000"/>
              <w:right w:val="single" w:sz="4" w:space="0" w:color="000000"/>
            </w:tcBorders>
            <w:shd w:val="clear" w:color="auto" w:fill="D2D2D2"/>
          </w:tcPr>
          <w:p>
            <w:pPr/>
          </w:p>
        </w:tc>
        <w:tc>
          <w:tcPr>
            <w:tcW w:w="1476" w:type="dxa"/>
            <w:vMerge/>
            <w:tcBorders>
              <w:left w:val="single" w:sz="4" w:space="0" w:color="000000"/>
              <w:bottom w:val="single" w:sz="14" w:space="0" w:color="FFFFFF"/>
              <w:right w:val="single" w:sz="4" w:space="0" w:color="000000"/>
            </w:tcBorders>
            <w:shd w:val="clear" w:color="auto" w:fill="D2D2D2"/>
          </w:tcPr>
          <w:p>
            <w:pPr/>
          </w:p>
        </w:tc>
        <w:tc>
          <w:tcPr>
            <w:tcW w:w="1717" w:type="dxa"/>
            <w:gridSpan w:val="3"/>
            <w:vMerge/>
            <w:tcBorders>
              <w:left w:val="single" w:sz="4" w:space="0" w:color="000000"/>
              <w:bottom w:val="single" w:sz="14" w:space="0" w:color="FFFFFF"/>
              <w:right w:val="single" w:sz="4" w:space="0" w:color="000000"/>
            </w:tcBorders>
            <w:shd w:val="clear" w:color="auto" w:fill="D2D2D2"/>
          </w:tcPr>
          <w:p>
            <w:pPr/>
          </w:p>
        </w:tc>
        <w:tc>
          <w:tcPr>
            <w:tcW w:w="1402" w:type="dxa"/>
            <w:vMerge/>
            <w:tcBorders>
              <w:left w:val="single" w:sz="4" w:space="0" w:color="000000"/>
              <w:bottom w:val="single" w:sz="14" w:space="0" w:color="FFFFFF"/>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1440"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1471" w:type="dxa"/>
            <w:vMerge/>
            <w:tcBorders>
              <w:left w:val="single" w:sz="4" w:space="0" w:color="000000"/>
              <w:bottom w:val="nil" w:sz="6" w:space="0" w:color="auto"/>
              <w:right w:val="single" w:sz="4" w:space="0" w:color="000000"/>
            </w:tcBorders>
            <w:shd w:val="clear" w:color="auto" w:fill="D2D2D2"/>
          </w:tcPr>
          <w:p>
            <w:pPr/>
          </w:p>
        </w:tc>
      </w:tr>
      <w:tr>
        <w:trPr>
          <w:trHeight w:val="193" w:hRule="exact"/>
        </w:trPr>
        <w:tc>
          <w:tcPr>
            <w:tcW w:w="2811" w:type="dxa"/>
            <w:vMerge/>
            <w:tcBorders>
              <w:left w:val="single" w:sz="4" w:space="0" w:color="000000"/>
              <w:right w:val="single" w:sz="4" w:space="0" w:color="000000"/>
            </w:tcBorders>
            <w:shd w:val="clear" w:color="auto" w:fill="D2D2D2"/>
          </w:tcPr>
          <w:p>
            <w:pPr/>
          </w:p>
        </w:tc>
        <w:tc>
          <w:tcPr>
            <w:tcW w:w="147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90" w:right="101"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91"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40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3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87" w:type="dxa"/>
            <w:vMerge/>
            <w:tcBorders>
              <w:left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3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2" w:hRule="exact"/>
        </w:trPr>
        <w:tc>
          <w:tcPr>
            <w:tcW w:w="2811" w:type="dxa"/>
            <w:vMerge/>
            <w:tcBorders>
              <w:left w:val="single" w:sz="4" w:space="0" w:color="000000"/>
              <w:right w:val="single" w:sz="4" w:space="0" w:color="000000"/>
            </w:tcBorders>
            <w:shd w:val="clear" w:color="auto" w:fill="D2D2D2"/>
          </w:tcPr>
          <w:p>
            <w:pPr/>
          </w:p>
        </w:tc>
        <w:tc>
          <w:tcPr>
            <w:tcW w:w="1476"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1471"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811" w:type="dxa"/>
            <w:vMerge/>
            <w:tcBorders>
              <w:left w:val="single" w:sz="4" w:space="0" w:color="000000"/>
              <w:right w:val="single" w:sz="4" w:space="0" w:color="000000"/>
            </w:tcBorders>
            <w:shd w:val="clear" w:color="auto" w:fill="D2D2D2"/>
          </w:tcPr>
          <w:p>
            <w:pPr/>
          </w:p>
        </w:tc>
        <w:tc>
          <w:tcPr>
            <w:tcW w:w="1476"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402"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
        </w:tc>
        <w:tc>
          <w:tcPr>
            <w:tcW w:w="780" w:type="dxa"/>
            <w:vMerge w:val="restart"/>
            <w:tcBorders>
              <w:top w:val="nil" w:sz="6" w:space="0" w:color="auto"/>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1471" w:type="dxa"/>
            <w:vMerge w:val="restart"/>
            <w:tcBorders>
              <w:top w:val="nil" w:sz="6" w:space="0" w:color="auto"/>
              <w:left w:val="single" w:sz="4" w:space="0" w:color="000000"/>
              <w:right w:val="single" w:sz="4" w:space="0" w:color="000000"/>
            </w:tcBorders>
            <w:shd w:val="clear" w:color="auto" w:fill="D2D2D2"/>
          </w:tcPr>
          <w:p>
            <w:pPr/>
          </w:p>
        </w:tc>
      </w:tr>
      <w:tr>
        <w:trPr>
          <w:trHeight w:val="182"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476"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2" w:type="dxa"/>
            <w:vMerge/>
            <w:tcBorders>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4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765,799,353.00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2,094,107,223.15</w:t>
            </w: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7,481,773.91</w:t>
            </w: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28,016,004.53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-200,130,961.49</w:t>
            </w: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2,695,273,393.10</w:t>
            </w: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765,799,353.00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2,094,107,223.15</w:t>
            </w: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7,481,773.91</w:t>
            </w: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28,016,004.53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-200,130,961.49</w:t>
            </w: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2,695,273,393.10</w:t>
            </w: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9"/>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号填列）</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5,125,945.28</w:t>
            </w: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-7,481,773.91</w:t>
            </w: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-20,091,473.30</w:t>
            </w: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-22,447,301.93</w:t>
            </w: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-7,481,773.91</w:t>
            </w: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-20,091,473.30</w:t>
            </w: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-27,573,247.21</w:t>
            </w: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5,125,945.28</w:t>
            </w: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5,125,945.28</w:t>
            </w: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5,125,945.28</w:t>
            </w: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5,125,945.28</w:t>
            </w: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6"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780" w:right="760"/>
        </w:sectPr>
      </w:pPr>
    </w:p>
    <w:p>
      <w:pPr>
        <w:spacing w:line="240" w:lineRule="auto" w:before="2"/>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835"/>
        <w:gridCol w:w="1464"/>
        <w:gridCol w:w="572"/>
        <w:gridCol w:w="571"/>
        <w:gridCol w:w="574"/>
        <w:gridCol w:w="1402"/>
        <w:gridCol w:w="687"/>
        <w:gridCol w:w="1440"/>
        <w:gridCol w:w="780"/>
        <w:gridCol w:w="1205"/>
        <w:gridCol w:w="1277"/>
        <w:gridCol w:w="797"/>
        <w:gridCol w:w="1471"/>
      </w:tblGrid>
      <w:tr>
        <w:trPr>
          <w:trHeight w:val="730" w:hRule="exact"/>
        </w:trPr>
        <w:tc>
          <w:tcPr>
            <w:tcW w:w="283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．设定受益计划变动额结转留存收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464" w:type="dxa"/>
            <w:tcBorders>
              <w:top w:val="single" w:sz="15" w:space="0" w:color="000000"/>
              <w:left w:val="single" w:sz="4" w:space="0" w:color="000000"/>
              <w:bottom w:val="single" w:sz="4" w:space="0" w:color="000000"/>
              <w:right w:val="single" w:sz="4" w:space="0" w:color="000000"/>
            </w:tcBorders>
          </w:tcPr>
          <w:p>
            <w:pPr/>
          </w:p>
        </w:tc>
        <w:tc>
          <w:tcPr>
            <w:tcW w:w="572" w:type="dxa"/>
            <w:tcBorders>
              <w:top w:val="single" w:sz="15" w:space="0" w:color="000000"/>
              <w:left w:val="single" w:sz="4" w:space="0" w:color="000000"/>
              <w:bottom w:val="single" w:sz="4" w:space="0" w:color="000000"/>
              <w:right w:val="single" w:sz="4" w:space="0" w:color="000000"/>
            </w:tcBorders>
          </w:tcPr>
          <w:p>
            <w:pPr/>
          </w:p>
        </w:tc>
        <w:tc>
          <w:tcPr>
            <w:tcW w:w="571" w:type="dxa"/>
            <w:tcBorders>
              <w:top w:val="single" w:sz="15" w:space="0" w:color="000000"/>
              <w:left w:val="single" w:sz="4" w:space="0" w:color="000000"/>
              <w:bottom w:val="single" w:sz="4" w:space="0" w:color="000000"/>
              <w:right w:val="single" w:sz="4" w:space="0" w:color="000000"/>
            </w:tcBorders>
          </w:tcPr>
          <w:p>
            <w:pPr/>
          </w:p>
        </w:tc>
        <w:tc>
          <w:tcPr>
            <w:tcW w:w="574" w:type="dxa"/>
            <w:tcBorders>
              <w:top w:val="single" w:sz="15" w:space="0" w:color="000000"/>
              <w:left w:val="single" w:sz="4" w:space="0" w:color="000000"/>
              <w:bottom w:val="single" w:sz="4" w:space="0" w:color="000000"/>
              <w:right w:val="single" w:sz="4" w:space="0" w:color="000000"/>
            </w:tcBorders>
          </w:tcPr>
          <w:p>
            <w:pPr/>
          </w:p>
        </w:tc>
        <w:tc>
          <w:tcPr>
            <w:tcW w:w="1402" w:type="dxa"/>
            <w:tcBorders>
              <w:top w:val="single" w:sz="15" w:space="0" w:color="000000"/>
              <w:left w:val="single" w:sz="4" w:space="0" w:color="000000"/>
              <w:bottom w:val="single" w:sz="4" w:space="0" w:color="000000"/>
              <w:right w:val="single" w:sz="4" w:space="0" w:color="000000"/>
            </w:tcBorders>
          </w:tcPr>
          <w:p>
            <w:pPr/>
          </w:p>
        </w:tc>
        <w:tc>
          <w:tcPr>
            <w:tcW w:w="687"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c>
          <w:tcPr>
            <w:tcW w:w="120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1471"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46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6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6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6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6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6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765,799,353.00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2,099,233,168.43</w:t>
            </w:r>
          </w:p>
        </w:tc>
        <w:tc>
          <w:tcPr>
            <w:tcW w:w="68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28,016,004.53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-220,222,434.79</w:t>
            </w:r>
          </w:p>
        </w:tc>
        <w:tc>
          <w:tcPr>
            <w:tcW w:w="797"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2,672,826,091.17</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760" w:right="7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2"/>
        <w:spacing w:line="240" w:lineRule="auto" w:before="26"/>
        <w:ind w:right="1133"/>
        <w:jc w:val="left"/>
        <w:rPr>
          <w:b w:val="0"/>
          <w:bCs w:val="0"/>
        </w:rPr>
      </w:pPr>
      <w:bookmarkStart w:name="三、公司基本情况" w:id="169"/>
      <w:bookmarkEnd w:id="16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1" w:firstLine="427"/>
        <w:jc w:val="both"/>
      </w:pPr>
      <w:r>
        <w:rPr>
          <w:spacing w:val="-2"/>
        </w:rPr>
        <w:t>顺利办信息服务股份有限公司（原名称为神州易桥信息服务股份有限公司）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系经青海省经济体制改</w:t>
      </w:r>
      <w:r>
        <w:rPr/>
        <w:t> </w:t>
      </w:r>
      <w:r>
        <w:rPr>
          <w:spacing w:val="-3"/>
        </w:rPr>
        <w:t>革委员会以青体改字</w:t>
      </w:r>
      <w:r>
        <w:rPr>
          <w:rFonts w:ascii="Times New Roman" w:hAnsi="Times New Roman" w:cs="Times New Roman" w:eastAsia="Times New Roman" w:hint="default"/>
          <w:spacing w:val="-3"/>
        </w:rPr>
        <w:t>(1996)</w:t>
      </w:r>
      <w:r>
        <w:rPr>
          <w:spacing w:val="-3"/>
        </w:rPr>
        <w:t>第</w:t>
      </w:r>
      <w:r>
        <w:rPr>
          <w:rFonts w:ascii="Times New Roman" w:hAnsi="Times New Roman" w:cs="Times New Roman" w:eastAsia="Times New Roman" w:hint="default"/>
          <w:spacing w:val="-3"/>
        </w:rPr>
        <w:t>40</w:t>
      </w:r>
      <w:r>
        <w:rPr>
          <w:spacing w:val="-3"/>
        </w:rPr>
        <w:t>号文批准，以青海制胶总公司</w:t>
      </w:r>
      <w:r>
        <w:rPr>
          <w:rFonts w:ascii="Times New Roman" w:hAnsi="Times New Roman" w:cs="Times New Roman" w:eastAsia="Times New Roman" w:hint="default"/>
          <w:spacing w:val="-3"/>
        </w:rPr>
        <w:t>(</w:t>
      </w:r>
      <w:r>
        <w:rPr>
          <w:spacing w:val="-3"/>
        </w:rPr>
        <w:t>现已改名为青海金牛胶业集团有限公司，以下简称</w:t>
      </w:r>
      <w:r>
        <w:rPr>
          <w:rFonts w:ascii="Times New Roman" w:hAnsi="Times New Roman" w:cs="Times New Roman" w:eastAsia="Times New Roman" w:hint="default"/>
          <w:spacing w:val="-3"/>
        </w:rPr>
        <w:t>“</w:t>
      </w:r>
      <w:r>
        <w:rPr>
          <w:spacing w:val="-3"/>
        </w:rPr>
        <w:t>金牛集团</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2"/>
        </w:rPr>
        <w:t> </w:t>
      </w:r>
      <w:r>
        <w:rPr>
          <w:spacing w:val="-1"/>
        </w:rPr>
        <w:t>为主发起人，联合广东恒丰投资集团有限公司、西宁市自来水公司</w:t>
      </w:r>
      <w:r>
        <w:rPr>
          <w:rFonts w:ascii="Times New Roman" w:hAnsi="Times New Roman" w:cs="Times New Roman" w:eastAsia="Times New Roman" w:hint="default"/>
          <w:spacing w:val="-1"/>
        </w:rPr>
        <w:t>(</w:t>
      </w:r>
      <w:r>
        <w:rPr>
          <w:spacing w:val="-1"/>
        </w:rPr>
        <w:t>现已更名为西宁供水集团有限责任公司</w:t>
      </w:r>
      <w:r>
        <w:rPr>
          <w:rFonts w:ascii="Times New Roman" w:hAnsi="Times New Roman" w:cs="Times New Roman" w:eastAsia="Times New Roman" w:hint="default"/>
          <w:spacing w:val="-1"/>
        </w:rPr>
        <w:t>)</w:t>
      </w:r>
      <w:r>
        <w:rPr>
          <w:spacing w:val="-1"/>
        </w:rPr>
        <w:t>、青海省化工进</w:t>
      </w:r>
      <w:r>
        <w:rPr>
          <w:spacing w:val="-58"/>
        </w:rPr>
        <w:t> </w:t>
      </w:r>
      <w:r>
        <w:rPr>
          <w:spacing w:val="-58"/>
        </w:rPr>
      </w:r>
      <w:r>
        <w:rPr>
          <w:spacing w:val="-1"/>
        </w:rPr>
        <w:t>出口公司</w:t>
      </w:r>
      <w:r>
        <w:rPr>
          <w:rFonts w:ascii="Times New Roman" w:hAnsi="Times New Roman" w:cs="Times New Roman" w:eastAsia="Times New Roman" w:hint="default"/>
          <w:spacing w:val="-1"/>
        </w:rPr>
        <w:t>(</w:t>
      </w:r>
      <w:r>
        <w:rPr>
          <w:spacing w:val="-1"/>
        </w:rPr>
        <w:t>现已更名为青海省新机五金矿产化工有限公司</w:t>
      </w:r>
      <w:r>
        <w:rPr>
          <w:rFonts w:ascii="Times New Roman" w:hAnsi="Times New Roman" w:cs="Times New Roman" w:eastAsia="Times New Roman" w:hint="default"/>
          <w:spacing w:val="-1"/>
        </w:rPr>
        <w:t>)</w:t>
      </w:r>
      <w:r>
        <w:rPr>
          <w:spacing w:val="-1"/>
        </w:rPr>
        <w:t>、江门市蓬江区恒业化工商行、北京第三制药厂（现已更名为北京</w:t>
      </w:r>
      <w:r>
        <w:rPr>
          <w:spacing w:val="-59"/>
        </w:rPr>
        <w:t> </w:t>
      </w:r>
      <w:r>
        <w:rPr>
          <w:spacing w:val="-59"/>
        </w:rPr>
      </w:r>
      <w:r>
        <w:rPr/>
        <w:t>紫竹药业有限公司）共同发起，采用社会募集方式设立的股份有限公司。</w:t>
      </w:r>
    </w:p>
    <w:p>
      <w:pPr>
        <w:pStyle w:val="BodyText"/>
        <w:spacing w:line="300" w:lineRule="auto" w:before="31"/>
        <w:ind w:right="1129" w:firstLine="427"/>
        <w:jc w:val="both"/>
      </w:pPr>
      <w:r>
        <w:rPr>
          <w:spacing w:val="-2"/>
        </w:rPr>
        <w:t>经中国证券监督管理委员会证监发字（</w:t>
      </w:r>
      <w:r>
        <w:rPr>
          <w:rFonts w:ascii="Times New Roman" w:hAnsi="Times New Roman" w:cs="Times New Roman" w:eastAsia="Times New Roman" w:hint="default"/>
          <w:spacing w:val="-2"/>
        </w:rPr>
        <w:t>1996</w:t>
      </w:r>
      <w:r>
        <w:rPr>
          <w:spacing w:val="-2"/>
        </w:rPr>
        <w:t>）</w:t>
      </w:r>
      <w:r>
        <w:rPr>
          <w:rFonts w:ascii="Times New Roman" w:hAnsi="Times New Roman" w:cs="Times New Roman" w:eastAsia="Times New Roman" w:hint="default"/>
          <w:spacing w:val="-2"/>
        </w:rPr>
        <w:t>163</w:t>
      </w:r>
      <w:r>
        <w:rPr>
          <w:spacing w:val="-2"/>
        </w:rPr>
        <w:t>号和</w:t>
      </w:r>
      <w:r>
        <w:rPr>
          <w:rFonts w:ascii="Times New Roman" w:hAnsi="Times New Roman" w:cs="Times New Roman" w:eastAsia="Times New Roman" w:hint="default"/>
          <w:spacing w:val="-2"/>
        </w:rPr>
        <w:t>164</w:t>
      </w:r>
      <w:r>
        <w:rPr>
          <w:spacing w:val="-2"/>
        </w:rPr>
        <w:t>号文批准，本公司于</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月向社会公开发行人民币普通股</w:t>
      </w:r>
      <w:r>
        <w:rPr/>
        <w:t> 股票</w:t>
      </w:r>
      <w:r>
        <w:rPr>
          <w:rFonts w:ascii="Times New Roman" w:hAnsi="Times New Roman" w:cs="Times New Roman" w:eastAsia="Times New Roman" w:hint="default"/>
        </w:rPr>
        <w:t>1,500</w:t>
      </w:r>
      <w:r>
        <w:rPr/>
        <w:t>万股，每股面值人民币壹元，并于同年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4</w:t>
      </w:r>
      <w:r>
        <w:rPr/>
        <w:t>日在深圳证券交易所挂牌交易。</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日，本公司领取了注册 号为</w:t>
      </w:r>
      <w:r>
        <w:rPr>
          <w:rFonts w:ascii="Times New Roman" w:hAnsi="Times New Roman" w:cs="Times New Roman" w:eastAsia="Times New Roman" w:hint="default"/>
        </w:rPr>
        <w:t>22659245-9</w:t>
      </w:r>
      <w:r>
        <w:rPr/>
        <w:t>的企业法人营业执照，注册资本为人民币</w:t>
      </w:r>
      <w:r>
        <w:rPr>
          <w:rFonts w:ascii="Times New Roman" w:hAnsi="Times New Roman" w:cs="Times New Roman" w:eastAsia="Times New Roman" w:hint="default"/>
        </w:rPr>
        <w:t>5150</w:t>
      </w:r>
      <w:r>
        <w:rPr/>
        <w:t>万元。</w:t>
      </w:r>
    </w:p>
    <w:p>
      <w:pPr>
        <w:pStyle w:val="BodyText"/>
        <w:spacing w:line="300" w:lineRule="auto" w:before="13"/>
        <w:ind w:right="1040" w:firstLine="427"/>
        <w:jc w:val="left"/>
      </w:pPr>
      <w:r>
        <w:rPr>
          <w:spacing w:val="-4"/>
        </w:rPr>
        <w:t>经中国证券监督管理委员会证监上字（</w:t>
      </w:r>
      <w:r>
        <w:rPr>
          <w:rFonts w:ascii="Times New Roman" w:hAnsi="Times New Roman" w:cs="Times New Roman" w:eastAsia="Times New Roman" w:hint="default"/>
          <w:spacing w:val="-4"/>
        </w:rPr>
        <w:t>1997</w:t>
      </w:r>
      <w:r>
        <w:rPr>
          <w:spacing w:val="-4"/>
        </w:rPr>
        <w:t>）</w:t>
      </w:r>
      <w:r>
        <w:rPr>
          <w:rFonts w:ascii="Times New Roman" w:hAnsi="Times New Roman" w:cs="Times New Roman" w:eastAsia="Times New Roman" w:hint="default"/>
          <w:spacing w:val="-4"/>
        </w:rPr>
        <w:t>119</w:t>
      </w:r>
      <w:r>
        <w:rPr>
          <w:spacing w:val="-4"/>
        </w:rPr>
        <w:t>号、证监公司字（</w:t>
      </w:r>
      <w:r>
        <w:rPr>
          <w:rFonts w:ascii="Times New Roman" w:hAnsi="Times New Roman" w:cs="Times New Roman" w:eastAsia="Times New Roman" w:hint="default"/>
          <w:spacing w:val="-4"/>
        </w:rPr>
        <w:t>2000</w:t>
      </w:r>
      <w:r>
        <w:rPr>
          <w:spacing w:val="-4"/>
        </w:rPr>
        <w:t>）</w:t>
      </w:r>
      <w:r>
        <w:rPr>
          <w:rFonts w:ascii="Times New Roman" w:hAnsi="Times New Roman" w:cs="Times New Roman" w:eastAsia="Times New Roman" w:hint="default"/>
          <w:spacing w:val="-4"/>
        </w:rPr>
        <w:t>106</w:t>
      </w:r>
      <w:r>
        <w:rPr>
          <w:spacing w:val="-4"/>
        </w:rPr>
        <w:t>号文批准，本公司分别于</w:t>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2</w:t>
      </w:r>
      <w:r>
        <w:rPr>
          <w:spacing w:val="-4"/>
        </w:rPr>
        <w:t>月及</w:t>
      </w:r>
      <w:r>
        <w:rPr>
          <w:rFonts w:ascii="Times New Roman" w:hAnsi="Times New Roman" w:cs="Times New Roman" w:eastAsia="Times New Roman" w:hint="default"/>
          <w:spacing w:val="-4"/>
        </w:rPr>
        <w:t>2000</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8</w:t>
      </w:r>
      <w:r>
        <w:rPr>
          <w:spacing w:val="-3"/>
        </w:rPr>
        <w:t>月实施每</w:t>
      </w:r>
      <w:r>
        <w:rPr>
          <w:rFonts w:ascii="Times New Roman" w:hAnsi="Times New Roman" w:cs="Times New Roman" w:eastAsia="Times New Roman" w:hint="default"/>
          <w:spacing w:val="-3"/>
        </w:rPr>
        <w:t>10</w:t>
      </w:r>
      <w:r>
        <w:rPr>
          <w:spacing w:val="-3"/>
        </w:rPr>
        <w:t>股配</w:t>
      </w:r>
      <w:r>
        <w:rPr>
          <w:rFonts w:ascii="Times New Roman" w:hAnsi="Times New Roman" w:cs="Times New Roman" w:eastAsia="Times New Roman" w:hint="default"/>
          <w:spacing w:val="-3"/>
        </w:rPr>
        <w:t>3</w:t>
      </w:r>
      <w:r>
        <w:rPr>
          <w:spacing w:val="-3"/>
        </w:rPr>
        <w:t>股的增资方案。</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7</w:t>
      </w:r>
      <w:r>
        <w:rPr>
          <w:spacing w:val="-3"/>
        </w:rPr>
        <w:t>日，本公司临时股东大会审议通过了资本公积金每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股的增资方案。</w:t>
      </w:r>
      <w:r>
        <w:rPr>
          <w:spacing w:val="-85"/>
        </w:rPr>
        <w:t> </w:t>
      </w:r>
      <w:r>
        <w:rPr>
          <w:spacing w:val="-85"/>
        </w:rPr>
      </w:r>
      <w:r>
        <w:rPr/>
        <w:t>经中国证券监督管理委员证监发行字</w:t>
      </w:r>
      <w:r>
        <w:rPr>
          <w:rFonts w:ascii="Times New Roman" w:hAnsi="Times New Roman" w:cs="Times New Roman" w:eastAsia="Times New Roman" w:hint="default"/>
        </w:rPr>
        <w:t>[2007]45</w:t>
      </w:r>
      <w:r>
        <w:rPr/>
        <w:t>号文批准，本公司向控股股东、证券公司、信托投资公司、财务公司、保险机 构投资者及其他机构投资者等特定投资者非公开发行股票</w:t>
      </w:r>
      <w:r>
        <w:rPr>
          <w:rFonts w:ascii="Times New Roman" w:hAnsi="Times New Roman" w:cs="Times New Roman" w:eastAsia="Times New Roman" w:hint="default"/>
        </w:rPr>
        <w:t>3500</w:t>
      </w:r>
      <w:r>
        <w:rPr/>
        <w:t>万股。根据本公司</w:t>
      </w:r>
      <w:r>
        <w:rPr>
          <w:rFonts w:ascii="Times New Roman" w:hAnsi="Times New Roman" w:cs="Times New Roman" w:eastAsia="Times New Roman" w:hint="default"/>
        </w:rPr>
        <w:t>2006</w:t>
      </w:r>
      <w:r>
        <w:rPr/>
        <w:t>年度股东大会审议通过按每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 </w:t>
      </w:r>
      <w:r>
        <w:rPr>
          <w:spacing w:val="-5"/>
        </w:rPr>
        <w:t>股的增资方案，以资本公积和未分配利润转增股本。以上方案实施后，本公司注册资本变更为人民币</w:t>
      </w:r>
      <w:r>
        <w:rPr>
          <w:rFonts w:ascii="Times New Roman" w:hAnsi="Times New Roman" w:cs="Times New Roman" w:eastAsia="Times New Roman" w:hint="default"/>
          <w:spacing w:val="-5"/>
        </w:rPr>
        <w:t>22,404.24</w:t>
      </w:r>
      <w:r>
        <w:rPr>
          <w:spacing w:val="-5"/>
        </w:rPr>
        <w:t>万元，并于</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日更换企业法人营业执照，注册号</w:t>
      </w:r>
      <w:r>
        <w:rPr>
          <w:rFonts w:ascii="Times New Roman" w:hAnsi="Times New Roman" w:cs="Times New Roman" w:eastAsia="Times New Roman" w:hint="default"/>
        </w:rPr>
        <w:t>6300001200698</w:t>
      </w:r>
      <w:r>
        <w:rPr/>
        <w:t>。</w:t>
      </w:r>
    </w:p>
    <w:p>
      <w:pPr>
        <w:pStyle w:val="BodyText"/>
        <w:spacing w:line="300" w:lineRule="auto" w:before="13"/>
        <w:ind w:right="1130" w:firstLine="427"/>
        <w:jc w:val="both"/>
      </w:pPr>
      <w:r>
        <w:rPr>
          <w:spacing w:val="-2"/>
        </w:rPr>
        <w:t>根据</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26</w:t>
      </w:r>
      <w:r>
        <w:rPr>
          <w:spacing w:val="-2"/>
        </w:rPr>
        <w:t>日中国证券监督管理委员会证监许可【</w:t>
      </w:r>
      <w:r>
        <w:rPr>
          <w:rFonts w:ascii="Times New Roman" w:hAnsi="Times New Roman" w:cs="Times New Roman" w:eastAsia="Times New Roman" w:hint="default"/>
          <w:spacing w:val="-2"/>
        </w:rPr>
        <w:t>2008</w:t>
      </w:r>
      <w:r>
        <w:rPr>
          <w:spacing w:val="-2"/>
        </w:rPr>
        <w:t>】</w:t>
      </w:r>
      <w:r>
        <w:rPr>
          <w:rFonts w:ascii="Times New Roman" w:hAnsi="Times New Roman" w:cs="Times New Roman" w:eastAsia="Times New Roman" w:hint="default"/>
          <w:spacing w:val="-2"/>
        </w:rPr>
        <w:t>1449</w:t>
      </w:r>
      <w:r>
        <w:rPr>
          <w:spacing w:val="-2"/>
        </w:rPr>
        <w:t>号文核准，本公司非公开发行新股，发行面值为</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t>元的人民币普通股股票</w:t>
      </w:r>
      <w:r>
        <w:rPr>
          <w:rFonts w:ascii="Times New Roman" w:hAnsi="Times New Roman" w:cs="Times New Roman" w:eastAsia="Times New Roman" w:hint="default"/>
        </w:rPr>
        <w:t>4,660</w:t>
      </w:r>
      <w:r>
        <w:rPr/>
        <w:t>万股，每股发行价为人民币</w:t>
      </w:r>
      <w:r>
        <w:rPr>
          <w:rFonts w:ascii="Times New Roman" w:hAnsi="Times New Roman" w:cs="Times New Roman" w:eastAsia="Times New Roman" w:hint="default"/>
        </w:rPr>
        <w:t>3.39</w:t>
      </w:r>
      <w:r>
        <w:rPr/>
        <w:t>元。本公司申请增加注册资本人民币</w:t>
      </w:r>
      <w:r>
        <w:rPr>
          <w:rFonts w:ascii="Times New Roman" w:hAnsi="Times New Roman" w:cs="Times New Roman" w:eastAsia="Times New Roman" w:hint="default"/>
        </w:rPr>
        <w:t>4,660</w:t>
      </w:r>
      <w:r>
        <w:rPr/>
        <w:t>万元，变更后的注册 资本为人民币</w:t>
      </w:r>
      <w:r>
        <w:rPr>
          <w:rFonts w:ascii="Times New Roman" w:hAnsi="Times New Roman" w:cs="Times New Roman" w:eastAsia="Times New Roman" w:hint="default"/>
        </w:rPr>
        <w:t>27,064.24</w:t>
      </w:r>
      <w:r>
        <w:rPr/>
        <w:t>万元，股本为人民币</w:t>
      </w:r>
      <w:r>
        <w:rPr>
          <w:rFonts w:ascii="Times New Roman" w:hAnsi="Times New Roman" w:cs="Times New Roman" w:eastAsia="Times New Roman" w:hint="default"/>
        </w:rPr>
        <w:t>27,064.24</w:t>
      </w:r>
      <w:r>
        <w:rPr/>
        <w:t>万元。</w:t>
      </w:r>
    </w:p>
    <w:p>
      <w:pPr>
        <w:pStyle w:val="BodyText"/>
        <w:spacing w:line="300" w:lineRule="auto" w:before="13"/>
        <w:ind w:right="1129" w:firstLine="427"/>
        <w:jc w:val="both"/>
      </w:pPr>
      <w:r>
        <w:rPr/>
        <w:t>根据本公司</w:t>
      </w:r>
      <w:r>
        <w:rPr>
          <w:rFonts w:ascii="Times New Roman" w:hAnsi="Times New Roman" w:cs="Times New Roman" w:eastAsia="Times New Roman" w:hint="default"/>
        </w:rPr>
        <w:t>2008</w:t>
      </w:r>
      <w:r>
        <w:rPr/>
        <w:t>年年度股东大会决议和章程修正案的规定，由资本公积和未分配利润转增股本，本公司申请增加注册 </w:t>
      </w:r>
      <w:r>
        <w:rPr>
          <w:spacing w:val="-2"/>
        </w:rPr>
        <w:t>资本人民币</w:t>
      </w:r>
      <w:r>
        <w:rPr>
          <w:rFonts w:ascii="Times New Roman" w:hAnsi="Times New Roman" w:cs="Times New Roman" w:eastAsia="Times New Roman" w:hint="default"/>
          <w:spacing w:val="-2"/>
        </w:rPr>
        <w:t>13,532.12</w:t>
      </w:r>
      <w:r>
        <w:rPr>
          <w:spacing w:val="-2"/>
        </w:rPr>
        <w:t>万元，变更后的注册资本为人民币</w:t>
      </w:r>
      <w:r>
        <w:rPr>
          <w:rFonts w:ascii="Times New Roman" w:hAnsi="Times New Roman" w:cs="Times New Roman" w:eastAsia="Times New Roman" w:hint="default"/>
          <w:spacing w:val="-2"/>
        </w:rPr>
        <w:t>40,596.36</w:t>
      </w:r>
      <w:r>
        <w:rPr>
          <w:spacing w:val="-2"/>
        </w:rPr>
        <w:t>万元，股本为人民币</w:t>
      </w:r>
      <w:r>
        <w:rPr>
          <w:rFonts w:ascii="Times New Roman" w:hAnsi="Times New Roman" w:cs="Times New Roman" w:eastAsia="Times New Roman" w:hint="default"/>
          <w:spacing w:val="-2"/>
        </w:rPr>
        <w:t>40,596.36</w:t>
      </w:r>
      <w:r>
        <w:rPr>
          <w:spacing w:val="-2"/>
        </w:rPr>
        <w:t>万元。并更换企业法人营业执</w:t>
      </w:r>
      <w:r>
        <w:rPr>
          <w:spacing w:val="-41"/>
        </w:rPr>
        <w:t> </w:t>
      </w:r>
      <w:r>
        <w:rPr>
          <w:spacing w:val="-41"/>
        </w:rPr>
      </w:r>
      <w:r>
        <w:rPr/>
        <w:t>照，注册号</w:t>
      </w:r>
      <w:r>
        <w:rPr>
          <w:rFonts w:ascii="Times New Roman" w:hAnsi="Times New Roman" w:cs="Times New Roman" w:eastAsia="Times New Roman" w:hint="default"/>
        </w:rPr>
        <w:t>63000100006984</w:t>
      </w:r>
      <w:r>
        <w:rPr/>
        <w:t>。</w:t>
      </w:r>
    </w:p>
    <w:p>
      <w:pPr>
        <w:pStyle w:val="BodyText"/>
        <w:spacing w:line="300" w:lineRule="auto" w:before="13"/>
        <w:ind w:right="1128" w:firstLine="427"/>
        <w:jc w:val="both"/>
      </w:pPr>
      <w:r>
        <w:rPr>
          <w:spacing w:val="-2"/>
        </w:rPr>
        <w:t>根据</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日中国证券监督管理委员会证监许可【</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1484</w:t>
      </w:r>
      <w:r>
        <w:rPr>
          <w:spacing w:val="-2"/>
        </w:rPr>
        <w:t>号文核准，本公司非公开发行新股，发行面值为</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2"/>
        </w:rPr>
        <w:t>元的人民币普通股股票</w:t>
      </w:r>
      <w:r>
        <w:rPr>
          <w:rFonts w:ascii="Times New Roman" w:hAnsi="Times New Roman" w:cs="Times New Roman" w:eastAsia="Times New Roman" w:hint="default"/>
          <w:spacing w:val="-2"/>
        </w:rPr>
        <w:t>6,615</w:t>
      </w:r>
      <w:r>
        <w:rPr>
          <w:spacing w:val="-2"/>
        </w:rPr>
        <w:t>万股，每股发行价为人民币</w:t>
      </w:r>
      <w:r>
        <w:rPr>
          <w:rFonts w:ascii="Times New Roman" w:hAnsi="Times New Roman" w:cs="Times New Roman" w:eastAsia="Times New Roman" w:hint="default"/>
          <w:spacing w:val="-2"/>
        </w:rPr>
        <w:t>5.13</w:t>
      </w:r>
      <w:r>
        <w:rPr>
          <w:spacing w:val="-2"/>
        </w:rPr>
        <w:t>元。本公司申请增加注册资本人民币</w:t>
      </w:r>
      <w:r>
        <w:rPr>
          <w:rFonts w:ascii="Times New Roman" w:hAnsi="Times New Roman" w:cs="Times New Roman" w:eastAsia="Times New Roman" w:hint="default"/>
          <w:spacing w:val="-2"/>
        </w:rPr>
        <w:t>6615</w:t>
      </w:r>
      <w:r>
        <w:rPr>
          <w:spacing w:val="-2"/>
        </w:rPr>
        <w:t>万元，变更后的注册资</w:t>
      </w:r>
      <w:r>
        <w:rPr>
          <w:spacing w:val="-54"/>
        </w:rPr>
        <w:t> </w:t>
      </w:r>
      <w:r>
        <w:rPr>
          <w:spacing w:val="-54"/>
        </w:rPr>
      </w:r>
      <w:r>
        <w:rPr/>
        <w:t>本为人民币</w:t>
      </w:r>
      <w:r>
        <w:rPr>
          <w:rFonts w:ascii="Times New Roman" w:hAnsi="Times New Roman" w:cs="Times New Roman" w:eastAsia="Times New Roman" w:hint="default"/>
        </w:rPr>
        <w:t>47,211.36</w:t>
      </w:r>
      <w:r>
        <w:rPr/>
        <w:t>万元，股本为人民币</w:t>
      </w:r>
      <w:r>
        <w:rPr>
          <w:rFonts w:ascii="Times New Roman" w:hAnsi="Times New Roman" w:cs="Times New Roman" w:eastAsia="Times New Roman" w:hint="default"/>
        </w:rPr>
        <w:t>47,211.36</w:t>
      </w:r>
      <w:r>
        <w:rPr/>
        <w:t>万元。企业法人营业执照统一社会信用代码</w:t>
      </w:r>
      <w:r>
        <w:rPr>
          <w:rFonts w:ascii="Times New Roman" w:hAnsi="Times New Roman" w:cs="Times New Roman" w:eastAsia="Times New Roman" w:hint="default"/>
        </w:rPr>
        <w:t>916300002265924591</w:t>
      </w:r>
      <w:r>
        <w:rPr/>
        <w:t>号。</w:t>
      </w:r>
    </w:p>
    <w:p>
      <w:pPr>
        <w:pStyle w:val="BodyText"/>
        <w:spacing w:line="300" w:lineRule="auto" w:before="13"/>
        <w:ind w:right="1034" w:firstLine="427"/>
        <w:jc w:val="left"/>
      </w:pP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日证券监督管理委员会《关于核准青海明胶股份有限公司向彭聪等发行股份购买资产并募集配套资金 </w:t>
      </w:r>
      <w:r>
        <w:rPr>
          <w:spacing w:val="-10"/>
        </w:rPr>
        <w:t>的批复》（证监许可</w:t>
      </w:r>
      <w:r>
        <w:rPr>
          <w:rFonts w:ascii="Times New Roman" w:hAnsi="Times New Roman" w:cs="Times New Roman" w:eastAsia="Times New Roman" w:hint="default"/>
          <w:spacing w:val="-10"/>
        </w:rPr>
        <w:t>[2016]577</w:t>
      </w:r>
      <w:r>
        <w:rPr>
          <w:rFonts w:ascii="Times New Roman" w:hAnsi="Times New Roman" w:cs="Times New Roman" w:eastAsia="Times New Roman" w:hint="default"/>
          <w:spacing w:val="30"/>
        </w:rPr>
        <w:t> </w:t>
      </w:r>
      <w:r>
        <w:rPr>
          <w:spacing w:val="-8"/>
        </w:rPr>
        <w:t>号），核准本公司向彭聪发行</w:t>
      </w:r>
      <w:r>
        <w:rPr>
          <w:rFonts w:ascii="Times New Roman" w:hAnsi="Times New Roman" w:cs="Times New Roman" w:eastAsia="Times New Roman" w:hint="default"/>
          <w:spacing w:val="-8"/>
        </w:rPr>
        <w:t>78,130,329</w:t>
      </w:r>
      <w:r>
        <w:rPr>
          <w:rFonts w:ascii="Times New Roman" w:hAnsi="Times New Roman" w:cs="Times New Roman" w:eastAsia="Times New Roman" w:hint="default"/>
          <w:spacing w:val="31"/>
        </w:rPr>
        <w:t> </w:t>
      </w:r>
      <w:r>
        <w:rPr>
          <w:spacing w:val="-9"/>
        </w:rPr>
        <w:t>股股份、向百达永信（北京）投资有限公司发行</w:t>
      </w:r>
      <w:r>
        <w:rPr>
          <w:rFonts w:ascii="Times New Roman" w:hAnsi="Times New Roman" w:cs="Times New Roman" w:eastAsia="Times New Roman" w:hint="default"/>
          <w:spacing w:val="-9"/>
        </w:rPr>
        <w:t>45,768,340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股股份、向新疆泰达新源股权投资有限公司发行</w:t>
      </w:r>
      <w:r>
        <w:rPr>
          <w:rFonts w:ascii="Times New Roman" w:hAnsi="Times New Roman" w:cs="Times New Roman" w:eastAsia="Times New Roman" w:hint="default"/>
        </w:rPr>
        <w:t>22,944,207</w:t>
      </w:r>
      <w:r>
        <w:rPr/>
        <w:t>股股份购买相关资产；经第七届董事会</w:t>
      </w:r>
      <w:r>
        <w:rPr>
          <w:rFonts w:ascii="Times New Roman" w:hAnsi="Times New Roman" w:cs="Times New Roman" w:eastAsia="Times New Roman" w:hint="default"/>
        </w:rPr>
        <w:t>2016</w:t>
      </w:r>
      <w:r>
        <w:rPr/>
        <w:t>年第六次临时会议、 </w:t>
      </w:r>
      <w:r>
        <w:rPr>
          <w:rFonts w:ascii="Times New Roman" w:hAnsi="Times New Roman" w:cs="Times New Roman" w:eastAsia="Times New Roman" w:hint="default"/>
          <w:spacing w:val="-2"/>
        </w:rPr>
        <w:t>2015</w:t>
      </w:r>
      <w:r>
        <w:rPr>
          <w:spacing w:val="-2"/>
        </w:rPr>
        <w:t>年年度股东大会审议通过了《关于修订公司章程的议案》、《关于公司名称、经营范围变更的议案》，</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日公</w:t>
      </w:r>
      <w:r>
        <w:rPr>
          <w:spacing w:val="-62"/>
        </w:rPr>
        <w:t> </w:t>
      </w:r>
      <w:r>
        <w:rPr>
          <w:spacing w:val="-3"/>
        </w:rPr>
        <w:t>司完成了工商登记变更手续，取得了青海省工商行政管理局颁发的《营业执照》，统一社会信用代码：</w:t>
      </w:r>
      <w:r>
        <w:rPr>
          <w:rFonts w:ascii="Times New Roman" w:hAnsi="Times New Roman" w:cs="Times New Roman" w:eastAsia="Times New Roman" w:hint="default"/>
          <w:spacing w:val="-3"/>
        </w:rPr>
        <w:t>916300002265924591</w:t>
      </w:r>
      <w:r>
        <w:rPr>
          <w:spacing w:val="-3"/>
        </w:rPr>
        <w:t>，</w:t>
      </w:r>
      <w:r>
        <w:rPr>
          <w:spacing w:val="-77"/>
        </w:rPr>
        <w:t> </w:t>
      </w:r>
      <w:r>
        <w:rPr>
          <w:spacing w:val="-2"/>
        </w:rPr>
        <w:t>本公司增加注册资本</w:t>
      </w:r>
      <w:r>
        <w:rPr>
          <w:rFonts w:ascii="Times New Roman" w:hAnsi="Times New Roman" w:cs="Times New Roman" w:eastAsia="Times New Roman" w:hint="default"/>
          <w:spacing w:val="-2"/>
        </w:rPr>
        <w:t>14,684.2876</w:t>
      </w:r>
      <w:r>
        <w:rPr>
          <w:spacing w:val="-2"/>
        </w:rPr>
        <w:t>万元，变更后的注册资本为人民币</w:t>
      </w:r>
      <w:r>
        <w:rPr>
          <w:rFonts w:ascii="Times New Roman" w:hAnsi="Times New Roman" w:cs="Times New Roman" w:eastAsia="Times New Roman" w:hint="default"/>
          <w:spacing w:val="-2"/>
        </w:rPr>
        <w:t>61,895.6476</w:t>
      </w:r>
      <w:r>
        <w:rPr>
          <w:spacing w:val="-2"/>
        </w:rPr>
        <w:t>万元；本公司更名为神州易桥信息服务股份有</w:t>
      </w:r>
      <w:r>
        <w:rPr>
          <w:spacing w:val="-47"/>
        </w:rPr>
        <w:t> </w:t>
      </w:r>
      <w:r>
        <w:rPr>
          <w:spacing w:val="-47"/>
        </w:rPr>
      </w:r>
      <w:r>
        <w:rPr/>
        <w:t>限公司。</w:t>
      </w:r>
    </w:p>
    <w:p>
      <w:pPr>
        <w:pStyle w:val="BodyText"/>
        <w:spacing w:line="300" w:lineRule="auto" w:before="31"/>
        <w:ind w:right="1029" w:firstLine="427"/>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日，本公司分别向连良桂、智尚田发行人民币普通股</w:t>
      </w:r>
      <w:r>
        <w:rPr>
          <w:rFonts w:ascii="Times New Roman" w:hAnsi="Times New Roman" w:cs="Times New Roman" w:eastAsia="Times New Roman" w:hint="default"/>
        </w:rPr>
        <w:t>124,816,446</w:t>
      </w:r>
      <w:r>
        <w:rPr/>
        <w:t>股、</w:t>
      </w:r>
      <w:r>
        <w:rPr>
          <w:rFonts w:ascii="Times New Roman" w:hAnsi="Times New Roman" w:cs="Times New Roman" w:eastAsia="Times New Roman" w:hint="default"/>
        </w:rPr>
        <w:t>22,026,431</w:t>
      </w:r>
      <w:r>
        <w:rPr/>
        <w:t>股，发行面值为人民币</w:t>
      </w:r>
      <w:r>
        <w:rPr>
          <w:rFonts w:ascii="Times New Roman" w:hAnsi="Times New Roman" w:cs="Times New Roman" w:eastAsia="Times New Roman" w:hint="default"/>
        </w:rPr>
        <w:t>1 </w:t>
      </w:r>
      <w:r>
        <w:rPr/>
        <w:t>元，发行价格</w:t>
      </w:r>
      <w:r>
        <w:rPr>
          <w:rFonts w:ascii="Times New Roman" w:hAnsi="Times New Roman" w:cs="Times New Roman" w:eastAsia="Times New Roman" w:hint="default"/>
        </w:rPr>
        <w:t>6.81</w:t>
      </w:r>
      <w:r>
        <w:rPr/>
        <w:t>元</w:t>
      </w:r>
      <w:r>
        <w:rPr>
          <w:rFonts w:ascii="Times New Roman" w:hAnsi="Times New Roman" w:cs="Times New Roman" w:eastAsia="Times New Roman" w:hint="default"/>
        </w:rPr>
        <w:t>/</w:t>
      </w:r>
      <w:r>
        <w:rPr/>
        <w:t>股，本公司增加注册资本</w:t>
      </w:r>
      <w:r>
        <w:rPr>
          <w:rFonts w:ascii="Times New Roman" w:hAnsi="Times New Roman" w:cs="Times New Roman" w:eastAsia="Times New Roman" w:hint="default"/>
        </w:rPr>
        <w:t>14,684.2877</w:t>
      </w:r>
      <w:r>
        <w:rPr/>
        <w:t>万元，变更后的注册资本为</w:t>
      </w:r>
      <w:r>
        <w:rPr>
          <w:rFonts w:ascii="Times New Roman" w:hAnsi="Times New Roman" w:cs="Times New Roman" w:eastAsia="Times New Roman" w:hint="default"/>
        </w:rPr>
        <w:t>76,579.9353</w:t>
      </w:r>
      <w:r>
        <w:rPr/>
        <w:t>万元。本公司法定代表人： 彭聪；经营期限：长期。</w:t>
      </w:r>
    </w:p>
    <w:p>
      <w:pPr>
        <w:pStyle w:val="BodyText"/>
        <w:spacing w:line="300" w:lineRule="auto" w:before="31"/>
        <w:ind w:left="580" w:right="114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日本公司更名为顺利办信息服务股份有限公司。 本公司经营范围为：信息技术开发、推广、服务、咨询与转让；研制、开发多媒体网络信息系统软件、多媒体网络工</w:t>
      </w:r>
    </w:p>
    <w:p>
      <w:pPr>
        <w:pStyle w:val="BodyText"/>
        <w:spacing w:line="316" w:lineRule="auto" w:before="31"/>
        <w:ind w:left="580" w:right="1128" w:hanging="428"/>
        <w:jc w:val="left"/>
      </w:pPr>
      <w:r>
        <w:rPr/>
        <w:t>程设计咨询、企业中介代理并提供相关的技术、管理和咨询服务等；经营期限：长期。 本公司位于青海省西宁市城西区五四西路 </w:t>
      </w:r>
      <w:r>
        <w:rPr>
          <w:rFonts w:ascii="Times New Roman" w:hAnsi="Times New Roman" w:cs="Times New Roman" w:eastAsia="Times New Roman" w:hint="default"/>
        </w:rPr>
        <w:t>57 </w:t>
      </w:r>
      <w:r>
        <w:rPr/>
        <w:t>号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号楼，主要从事服务业；本公司及控股子公司主要产品包括：人力</w:t>
      </w:r>
    </w:p>
    <w:p>
      <w:pPr>
        <w:pStyle w:val="BodyText"/>
        <w:spacing w:line="316" w:lineRule="auto"/>
        <w:ind w:left="580" w:right="1133" w:hanging="428"/>
        <w:jc w:val="left"/>
      </w:pPr>
      <w:r>
        <w:rPr/>
        <w:t>资本、企业综合服务等。 </w:t>
      </w:r>
      <w:r>
        <w:rPr>
          <w:spacing w:val="-2"/>
        </w:rPr>
        <w:t>本财务报表已于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日经第八届董事会第五次会议批准。按照有关法律、行政法规等规定，本公司股东大会或</w:t>
      </w:r>
    </w:p>
    <w:p>
      <w:pPr>
        <w:pStyle w:val="BodyText"/>
        <w:spacing w:line="316" w:lineRule="auto"/>
        <w:ind w:left="580" w:right="1133" w:hanging="428"/>
        <w:jc w:val="left"/>
      </w:pPr>
      <w:r>
        <w:rPr/>
        <w:t>其他方面有权对报出的财务报告进行修改。 </w:t>
      </w:r>
      <w:r>
        <w:rPr>
          <w:spacing w:val="-2"/>
        </w:rPr>
        <w:t>截至本报告期末，纳入合并范围的子公司共</w:t>
      </w:r>
      <w:r>
        <w:rPr>
          <w:rFonts w:ascii="Times New Roman" w:hAnsi="Times New Roman" w:cs="Times New Roman" w:eastAsia="Times New Roman" w:hint="default"/>
          <w:spacing w:val="-2"/>
        </w:rPr>
        <w:t>5</w:t>
      </w:r>
      <w:r>
        <w:rPr>
          <w:spacing w:val="-2"/>
        </w:rPr>
        <w:t>户，分别是神州易桥（北京）财税科技有限公司、企业管家（北京）科技</w:t>
      </w:r>
    </w:p>
    <w:p>
      <w:pPr>
        <w:pStyle w:val="BodyText"/>
        <w:spacing w:line="235" w:lineRule="exact"/>
        <w:ind w:right="0"/>
        <w:jc w:val="left"/>
      </w:pPr>
      <w:r>
        <w:rPr/>
        <w:t>信息服务有限公司、霍尔果斯快马财税管理服务有限公司、青海宁达创业投资有限责任公司和北京办饭餐饮服务有限公司，</w:t>
      </w:r>
    </w:p>
    <w:p>
      <w:pPr>
        <w:spacing w:after="0" w:line="235" w:lineRule="exact"/>
        <w:jc w:val="left"/>
        <w:sectPr>
          <w:headerReference w:type="default" r:id="rId25"/>
          <w:footerReference w:type="default" r:id="rId26"/>
          <w:pgSz w:w="11910" w:h="16840"/>
          <w:pgMar w:header="877" w:footer="980" w:top="1100" w:bottom="1160" w:left="980" w:right="0"/>
          <w:pgNumType w:start="95"/>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详见本附注</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编制基础" w:id="171"/>
      <w:bookmarkEnd w:id="17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1" w:firstLine="425"/>
        <w:jc w:val="both"/>
      </w:pPr>
      <w:r>
        <w:rPr/>
        <w:t>公司以持续经营为基础，根据实际发生的交易和事项，按照财政部颁布的《企业会计准则——基本准则》和各项具体 </w:t>
      </w:r>
      <w:r>
        <w:rPr>
          <w:spacing w:val="-2"/>
        </w:rPr>
        <w:t>会计准则、企业会计准则应用指南、企业会计准则解释及其他相关规定（以下合称“企业会计准则”），以及中国证券监督</w:t>
      </w:r>
      <w:r>
        <w:rPr>
          <w:spacing w:val="-67"/>
        </w:rPr>
        <w:t> </w:t>
      </w:r>
      <w:r>
        <w:rPr>
          <w:spacing w:val="-67"/>
        </w:rPr>
      </w:r>
      <w:r>
        <w:rPr/>
        <w:t>管理委员会《公开发行证券的公司信息披露编报规则第</w:t>
      </w:r>
      <w:r>
        <w:rPr>
          <w:rFonts w:ascii="宋体" w:hAnsi="宋体" w:cs="宋体" w:eastAsia="宋体" w:hint="default"/>
        </w:rPr>
        <w:t>15</w:t>
      </w:r>
      <w:r>
        <w:rPr>
          <w:rFonts w:ascii="宋体" w:hAnsi="宋体" w:cs="宋体" w:eastAsia="宋体" w:hint="default"/>
          <w:spacing w:val="1"/>
        </w:rPr>
        <w:t> </w:t>
      </w:r>
      <w:r>
        <w:rPr/>
        <w:t>号——财务报告的一般规定》的披露规定编制财务报表。</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持续经营" w:id="172"/>
      <w:bookmarkEnd w:id="17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8" w:right="1133"/>
        <w:jc w:val="left"/>
      </w:pPr>
      <w:r>
        <w:rPr/>
        <w:t>公司自本报告期末起</w:t>
      </w:r>
      <w:r>
        <w:rPr>
          <w:rFonts w:ascii="宋体" w:hAnsi="宋体" w:cs="宋体" w:eastAsia="宋体" w:hint="default"/>
        </w:rPr>
        <w:t>12</w:t>
      </w:r>
      <w:r>
        <w:rPr/>
        <w:t>个月具备持续经营能力，无影响持续经营能力的重大事项。</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五、重要会计政策及会计估计" w:id="173"/>
      <w:bookmarkEnd w:id="173"/>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66" w:right="3500" w:hanging="414"/>
        <w:jc w:val="left"/>
      </w:pPr>
      <w:r>
        <w:rPr/>
        <w:t>具体会计政策和会计估计提示： 以下披露内容已涵盖了本公司根据实际生产经营特点制定的具体会计政策和会计估计。</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bookmarkStart w:name="1、遵循企业会计准则的声明" w:id="174"/>
      <w:bookmarkEnd w:id="17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65"/>
        <w:jc w:val="both"/>
      </w:pPr>
      <w:r>
        <w:rPr>
          <w:spacing w:val="-2"/>
        </w:rPr>
        <w:t>本财务报表符合财政部颁布的企业会计准则的要求，真实、完整地反映了本公司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日的合并及母公司财务状</w:t>
      </w:r>
      <w:r>
        <w:rPr/>
        <w:t> 况以及</w:t>
      </w:r>
      <w:r>
        <w:rPr>
          <w:rFonts w:ascii="宋体" w:hAnsi="宋体" w:cs="宋体" w:eastAsia="宋体" w:hint="default"/>
        </w:rPr>
        <w:t>2019</w:t>
      </w:r>
      <w:r>
        <w:rPr/>
        <w:t>年度的合并及母公司经营成果和现金流量。</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2、会计期间" w:id="175"/>
      <w:bookmarkEnd w:id="17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05" w:right="1133"/>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营业周期" w:id="176"/>
      <w:bookmarkEnd w:id="17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66" w:right="1133"/>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记账本位币" w:id="177"/>
      <w:bookmarkEnd w:id="17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66" w:right="1133"/>
        <w:jc w:val="left"/>
      </w:pPr>
      <w:r>
        <w:rPr/>
        <w:t>本公司采用人民币为记账本位币。</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5、同一控制下和非同一控制下企业合并的会计处理方法" w:id="178"/>
      <w:bookmarkEnd w:id="17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2" w:firstLine="336"/>
        <w:jc w:val="both"/>
      </w:pPr>
      <w:r>
        <w:rPr/>
        <w:t>同一控制下企业合并：合并方在企业合并中取得的资产和负债，按照合并日被合并方资产、负债（包括最终控制方收购 </w:t>
      </w:r>
      <w:r>
        <w:rPr>
          <w:spacing w:val="-2"/>
        </w:rPr>
        <w:t>被合并方而形成的商誉）在最终控制方合并财务报表中的账面价值计量。在合并中取得的净资产账面价值与支付的合并对价</w:t>
      </w:r>
      <w:r>
        <w:rPr>
          <w:spacing w:val="-63"/>
        </w:rPr>
        <w:t> </w:t>
      </w:r>
      <w:r>
        <w:rPr>
          <w:spacing w:val="-63"/>
        </w:rPr>
      </w:r>
      <w:r>
        <w:rPr>
          <w:spacing w:val="-4"/>
        </w:rPr>
        <w:t>账面价值（或发行股份面值总额）的差额，调整资本公积中的股本溢价，资本公积中的股本溢价不足冲减的，调整留存收益。</w:t>
      </w:r>
    </w:p>
    <w:p>
      <w:pPr>
        <w:pStyle w:val="BodyText"/>
        <w:spacing w:line="316" w:lineRule="auto" w:before="19"/>
        <w:ind w:right="1130" w:firstLine="362"/>
        <w:jc w:val="both"/>
      </w:pPr>
      <w:r>
        <w:rPr>
          <w:spacing w:val="-2"/>
        </w:rPr>
        <w:t>非同一控制下企业合并：购买方在购买日对作为企业合并对价付出的资产、发生或承担的负债按照公允价值计量，公允</w:t>
      </w:r>
      <w:r>
        <w:rPr/>
        <w:t> </w:t>
      </w:r>
      <w:r>
        <w:rPr>
          <w:spacing w:val="-2"/>
        </w:rPr>
        <w:t>价值与其账面价值的差额，计入当期损益。合并成本大于合并中取得的被购买方可辨认净资产公允价值份额的差额，确认为</w:t>
      </w:r>
      <w:r>
        <w:rPr>
          <w:spacing w:val="-63"/>
        </w:rPr>
        <w:t> </w:t>
      </w:r>
      <w:r>
        <w:rPr>
          <w:spacing w:val="-63"/>
        </w:rPr>
      </w:r>
      <w:r>
        <w:rPr/>
        <w:t>商誉；合并成本小于合并中取得的被购买方可辨认净资产公允价值份额的差额，计入当期损益。</w:t>
      </w:r>
    </w:p>
    <w:p>
      <w:pPr>
        <w:pStyle w:val="BodyText"/>
        <w:spacing w:line="240" w:lineRule="auto" w:before="19"/>
        <w:ind w:left="515" w:right="0"/>
        <w:jc w:val="left"/>
      </w:pPr>
      <w:r>
        <w:rPr/>
        <w:t>为企业合并发生的直接相关费用于发生时计入当期损益；为企业合并而发行权益性证券或债务性证券的交易费用，计入</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权益性证券或债务性证券的初始确认金额。</w:t>
      </w:r>
    </w:p>
    <w:p>
      <w:pPr>
        <w:pStyle w:val="Heading3"/>
        <w:spacing w:line="600" w:lineRule="atLeast" w:before="47"/>
        <w:ind w:left="599" w:right="8132" w:hanging="447"/>
        <w:jc w:val="left"/>
        <w:rPr>
          <w:b w:val="0"/>
          <w:bCs w:val="0"/>
        </w:rPr>
      </w:pPr>
      <w:bookmarkStart w:name="6、合并财务报表的编制方法" w:id="179"/>
      <w:bookmarkEnd w:id="179"/>
      <w:r>
        <w:rPr>
          <w:b w:val="0"/>
          <w:bCs w:val="0"/>
        </w:rPr>
      </w:r>
      <w:r>
        <w:rPr>
          <w:rFonts w:ascii="Times New Roman" w:hAnsi="Times New Roman" w:cs="Times New Roman" w:eastAsia="Times New Roman" w:hint="default"/>
          <w:spacing w:val="-1"/>
        </w:rPr>
        <w:t>6</w:t>
      </w:r>
      <w:r>
        <w:rPr>
          <w:spacing w:val="-1"/>
        </w:rPr>
        <w:t>、合并财务报表的编制方法</w:t>
      </w:r>
      <w:r>
        <w:rPr>
          <w:spacing w:val="-94"/>
        </w:rPr>
        <w:t> </w:t>
      </w:r>
      <w:r>
        <w:rPr>
          <w:spacing w:val="-94"/>
        </w:rPr>
      </w:r>
      <w:r>
        <w:rPr/>
        <w:t>合并范围</w:t>
      </w:r>
      <w:r>
        <w:rPr>
          <w:b w:val="0"/>
          <w:bCs w:val="0"/>
        </w:rPr>
      </w:r>
    </w:p>
    <w:p>
      <w:pPr>
        <w:pStyle w:val="BodyText"/>
        <w:spacing w:line="240" w:lineRule="auto" w:before="58"/>
        <w:ind w:left="604" w:right="1133"/>
        <w:jc w:val="left"/>
      </w:pPr>
      <w:r>
        <w:rPr/>
        <w:t>合并财务报表的合并范围以控制为基础确定，合并范围包括本公司及全部子公司。</w:t>
      </w:r>
    </w:p>
    <w:p>
      <w:pPr>
        <w:spacing w:line="240" w:lineRule="auto" w:before="0"/>
        <w:rPr>
          <w:rFonts w:ascii="宋体" w:hAnsi="宋体" w:cs="宋体" w:eastAsia="宋体" w:hint="default"/>
          <w:sz w:val="18"/>
          <w:szCs w:val="18"/>
        </w:rPr>
      </w:pPr>
    </w:p>
    <w:p>
      <w:pPr>
        <w:pStyle w:val="Heading3"/>
        <w:spacing w:line="240" w:lineRule="auto" w:before="132"/>
        <w:ind w:left="599" w:right="1133"/>
        <w:jc w:val="left"/>
        <w:rPr>
          <w:b w:val="0"/>
          <w:bCs w:val="0"/>
        </w:rPr>
      </w:pPr>
      <w:r>
        <w:rPr/>
        <w:t>合并程序</w:t>
      </w:r>
      <w:r>
        <w:rPr>
          <w:b w:val="0"/>
          <w:bCs w:val="0"/>
        </w:rPr>
      </w:r>
    </w:p>
    <w:p>
      <w:pPr>
        <w:pStyle w:val="BodyText"/>
        <w:spacing w:line="316" w:lineRule="auto" w:before="58"/>
        <w:ind w:left="229" w:right="1135" w:firstLine="336"/>
        <w:jc w:val="both"/>
      </w:pPr>
      <w:r>
        <w:rPr/>
        <w:t>本公司以自身和各子公司的财务报表为基础，根据其他有关资料，编制合并财务报表。本公司编制合并财务报表，将 整个企业集团视为一个会计主体，依据相关企业会计准则的确认、计量和列报要求，按照统一的会计政策，反映本企业集</w:t>
      </w:r>
      <w:r>
        <w:rPr>
          <w:spacing w:val="-75"/>
        </w:rPr>
        <w:t> </w:t>
      </w:r>
      <w:r>
        <w:rPr>
          <w:spacing w:val="-75"/>
        </w:rPr>
      </w:r>
      <w:r>
        <w:rPr/>
        <w:t>团整体财务状况、经营成果和现金流量。</w:t>
      </w:r>
    </w:p>
    <w:p>
      <w:pPr>
        <w:pStyle w:val="BodyText"/>
        <w:spacing w:line="319" w:lineRule="auto" w:before="19"/>
        <w:ind w:right="1131" w:firstLine="454"/>
        <w:jc w:val="both"/>
      </w:pPr>
      <w:r>
        <w:rPr/>
        <w:t>所有纳入合并财务报表合并范围的子公司所采用的会计政策、会计期间与本公司一致，如子公司采用的会计政策、会 </w:t>
      </w:r>
      <w:r>
        <w:rPr>
          <w:spacing w:val="-2"/>
        </w:rPr>
        <w:t>计期间与本公司不一致的，在编制合并财务报表时，按本公司的会计政策、会计期间进行必要的调整。对于非同一控制下企</w:t>
      </w:r>
      <w:r>
        <w:rPr>
          <w:spacing w:val="-65"/>
        </w:rPr>
        <w:t> </w:t>
      </w:r>
      <w:r>
        <w:rPr>
          <w:spacing w:val="-65"/>
        </w:rPr>
      </w:r>
      <w:r>
        <w:rPr>
          <w:spacing w:val="-2"/>
        </w:rPr>
        <w:t>业合并取得的子公司，以购买日可辨认净资产公允价值为基础对其财务报表进行调整。对于同一控制下企业合并取得的子公</w:t>
      </w:r>
      <w:r>
        <w:rPr>
          <w:spacing w:val="-64"/>
        </w:rPr>
        <w:t> </w:t>
      </w:r>
      <w:r>
        <w:rPr>
          <w:spacing w:val="-64"/>
        </w:rPr>
      </w:r>
      <w:r>
        <w:rPr>
          <w:spacing w:val="-2"/>
        </w:rPr>
        <w:t>司，以其资产、负债（包括最终控制方收购该子公司而形成的商誉）在最终控制方财务报表中的账面价值为基础对其财务报</w:t>
      </w:r>
      <w:r>
        <w:rPr>
          <w:spacing w:val="-66"/>
        </w:rPr>
        <w:t> </w:t>
      </w:r>
      <w:r>
        <w:rPr>
          <w:spacing w:val="-66"/>
        </w:rPr>
      </w:r>
      <w:r>
        <w:rPr/>
        <w:t>表进行调整。</w:t>
      </w:r>
    </w:p>
    <w:p>
      <w:pPr>
        <w:pStyle w:val="BodyText"/>
        <w:spacing w:line="316" w:lineRule="auto" w:before="17"/>
        <w:ind w:right="1131" w:firstLine="362"/>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left="515" w:right="1123" w:firstLine="14"/>
        <w:jc w:val="left"/>
      </w:pPr>
      <w:r>
        <w:rPr/>
        <w:t>（</w:t>
      </w:r>
      <w:r>
        <w:rPr>
          <w:rFonts w:ascii="宋体" w:hAnsi="宋体" w:cs="宋体" w:eastAsia="宋体"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right="1123"/>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9" w:lineRule="auto" w:before="19"/>
        <w:ind w:right="1132" w:firstLine="362"/>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7"/>
        <w:ind w:right="1130" w:firstLine="362"/>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5"/>
        </w:rPr>
        <w:t> </w:t>
      </w:r>
      <w:r>
        <w:rPr>
          <w:spacing w:val="-65"/>
        </w:rPr>
      </w:r>
      <w:r>
        <w:rPr/>
        <w:t>表。</w:t>
      </w:r>
    </w:p>
    <w:p>
      <w:pPr>
        <w:pStyle w:val="BodyText"/>
        <w:spacing w:line="316" w:lineRule="auto" w:before="19"/>
        <w:ind w:right="1132" w:firstLine="362"/>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530" w:right="1133"/>
        <w:jc w:val="left"/>
      </w:pPr>
      <w:r>
        <w:rPr/>
        <w:t>（</w:t>
      </w:r>
      <w:r>
        <w:rPr>
          <w:rFonts w:ascii="宋体" w:hAnsi="宋体" w:cs="宋体" w:eastAsia="宋体" w:hint="default"/>
        </w:rPr>
        <w:t>2</w:t>
      </w:r>
      <w:r>
        <w:rPr/>
        <w:t>）处置子公司或业务</w:t>
      </w:r>
    </w:p>
    <w:p>
      <w:pPr>
        <w:pStyle w:val="BodyText"/>
        <w:spacing w:line="316" w:lineRule="auto" w:before="74"/>
        <w:ind w:left="515" w:right="1133" w:firstLine="105"/>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5" w:right="1123" w:hanging="363"/>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103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3"/>
        </w:rPr>
        <w:t> </w:t>
      </w:r>
      <w:r>
        <w:rPr>
          <w:spacing w:val="-63"/>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5" w:right="1133"/>
        <w:jc w:val="left"/>
      </w:pPr>
      <w:r>
        <w:rPr/>
        <w:t>因其他投资方对子公司增资而导致本公司持股比例下降从而丧失控制权的，按照上述原则进行会计处理。</w:t>
      </w:r>
    </w:p>
    <w:p>
      <w:pPr>
        <w:pStyle w:val="BodyText"/>
        <w:spacing w:line="316" w:lineRule="auto" w:before="77"/>
        <w:ind w:left="515" w:right="1123" w:firstLine="14"/>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9"/>
        <w:ind w:left="530" w:right="3554" w:hanging="378"/>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130" w:firstLine="362"/>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9" w:lineRule="auto" w:before="19"/>
        <w:ind w:right="1123" w:firstLine="362"/>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7"/>
        <w:ind w:left="515" w:right="1123" w:hanging="12"/>
        <w:jc w:val="left"/>
      </w:pPr>
      <w:r>
        <w:rPr/>
        <w:t>（</w:t>
      </w:r>
      <w:r>
        <w:rPr>
          <w:rFonts w:ascii="宋体" w:hAnsi="宋体" w:cs="宋体" w:eastAsia="宋体"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19"/>
        <w:ind w:right="1123"/>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16" w:lineRule="auto" w:before="19"/>
        <w:ind w:left="515" w:right="1133" w:hanging="12"/>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19"/>
        <w:ind w:right="1123"/>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7、合营安排分类及共同经营会计处理方法" w:id="180"/>
      <w:bookmarkEnd w:id="18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5" w:right="2471" w:hanging="27"/>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426" w:right="1133"/>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76"/>
        <w:ind w:left="426" w:right="1133"/>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76"/>
        <w:ind w:left="426" w:right="1133"/>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76"/>
        <w:ind w:left="426" w:right="1133"/>
        <w:jc w:val="left"/>
      </w:pPr>
      <w:r>
        <w:rPr/>
        <w:t>（</w:t>
      </w:r>
      <w:r>
        <w:rPr>
          <w:rFonts w:ascii="宋体" w:hAnsi="宋体" w:cs="宋体" w:eastAsia="宋体" w:hint="default"/>
        </w:rPr>
        <w:t>4</w:t>
      </w:r>
      <w:r>
        <w:rPr/>
        <w:t>）按本公司份额确认共同经营因出售产出所产生的收入；</w:t>
      </w:r>
    </w:p>
    <w:p>
      <w:pPr>
        <w:pStyle w:val="BodyText"/>
        <w:spacing w:line="316" w:lineRule="auto" w:before="76"/>
        <w:ind w:left="515" w:right="4361" w:hanging="89"/>
        <w:jc w:val="left"/>
      </w:pPr>
      <w:r>
        <w:rPr/>
        <w:t>（</w:t>
      </w:r>
      <w:r>
        <w:rPr>
          <w:rFonts w:ascii="宋体" w:hAnsi="宋体" w:cs="宋体" w:eastAsia="宋体" w:hint="default"/>
        </w:rPr>
        <w:t>5</w:t>
      </w:r>
      <w:r>
        <w:rPr/>
        <w:t>）确认单独所发生的费用，以及按本公司份额确认共同经营发生的费用。 本公司对合营企业投资的会计政策见本附注“长期股权投资”。</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8、现金及现金等价物的确定标准" w:id="181"/>
      <w:bookmarkEnd w:id="18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36"/>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pStyle w:val="Heading3"/>
        <w:spacing w:line="614" w:lineRule="exact" w:before="52"/>
        <w:ind w:left="508" w:right="8132" w:hanging="356"/>
        <w:jc w:val="left"/>
        <w:rPr>
          <w:b w:val="0"/>
          <w:bCs w:val="0"/>
        </w:rPr>
      </w:pPr>
      <w:bookmarkStart w:name="9、外币业务和外币报表折算" w:id="182"/>
      <w:bookmarkEnd w:id="182"/>
      <w:r>
        <w:rPr>
          <w:b w:val="0"/>
          <w:bCs w:val="0"/>
        </w:rPr>
      </w:r>
      <w:r>
        <w:rPr>
          <w:rFonts w:ascii="Times New Roman" w:hAnsi="Times New Roman" w:cs="Times New Roman" w:eastAsia="Times New Roman" w:hint="default"/>
          <w:spacing w:val="-1"/>
        </w:rPr>
        <w:t>9</w:t>
      </w:r>
      <w:r>
        <w:rPr>
          <w:spacing w:val="-1"/>
        </w:rPr>
        <w:t>、外币业务和外币报表折算</w:t>
      </w:r>
      <w:r>
        <w:rPr>
          <w:spacing w:val="-94"/>
        </w:rPr>
        <w:t> </w:t>
      </w:r>
      <w:r>
        <w:rPr>
          <w:spacing w:val="-94"/>
        </w:rPr>
      </w:r>
      <w:r>
        <w:rPr/>
        <w:t>外币业务</w:t>
      </w:r>
      <w:r>
        <w:rPr>
          <w:b w:val="0"/>
          <w:bCs w:val="0"/>
        </w:rPr>
      </w:r>
    </w:p>
    <w:p>
      <w:pPr>
        <w:pStyle w:val="BodyText"/>
        <w:spacing w:line="200" w:lineRule="exact"/>
        <w:ind w:left="520" w:right="1133"/>
        <w:jc w:val="left"/>
      </w:pPr>
      <w:r>
        <w:rPr/>
        <w:t>外币业务采用交易发生日的即期汇率作为折算汇率将外币金额折合成人民币记账。</w:t>
      </w:r>
    </w:p>
    <w:p>
      <w:pPr>
        <w:pStyle w:val="BodyText"/>
        <w:spacing w:line="316" w:lineRule="auto" w:before="76"/>
        <w:ind w:right="1133" w:firstLine="288"/>
        <w:jc w:val="left"/>
      </w:pPr>
      <w:r>
        <w:rPr>
          <w:spacing w:val="-1"/>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spacing w:after="0" w:line="316"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3"/>
        <w:spacing w:line="240" w:lineRule="auto" w:before="36"/>
        <w:ind w:left="508" w:right="1133"/>
        <w:jc w:val="left"/>
        <w:rPr>
          <w:b w:val="0"/>
          <w:bCs w:val="0"/>
        </w:rPr>
      </w:pPr>
      <w:r>
        <w:rPr/>
        <w:t>外币财务报表的折算</w:t>
      </w:r>
      <w:r>
        <w:rPr>
          <w:b w:val="0"/>
          <w:bCs w:val="0"/>
        </w:rPr>
      </w:r>
    </w:p>
    <w:p>
      <w:pPr>
        <w:pStyle w:val="BodyText"/>
        <w:spacing w:line="316" w:lineRule="auto" w:before="58"/>
        <w:ind w:right="1133" w:firstLine="336"/>
        <w:jc w:val="left"/>
      </w:pPr>
      <w:r>
        <w:rPr>
          <w:spacing w:val="-2"/>
        </w:rPr>
        <w:t>资产负债表中的资产和负债项目，采用资产负债表日的即期汇率折算；所有者权益项目除“未分配利润”项目外，其他</w:t>
      </w:r>
      <w:r>
        <w:rPr/>
        <w:t> 项目采用发生时的即期汇率折算。利润表中的收入和费用项目，采用交易发生日的即期汇率折算。</w:t>
      </w:r>
    </w:p>
    <w:p>
      <w:pPr>
        <w:pStyle w:val="BodyText"/>
        <w:spacing w:line="240" w:lineRule="auto" w:before="19"/>
        <w:ind w:left="621" w:right="1133"/>
        <w:jc w:val="left"/>
      </w:pPr>
      <w:r>
        <w:rPr/>
        <w:t>处置境外经营时，将与该境外经营相关的外币财务报表折算差额，自所有者权益项目转入处置当期损益。</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0、金融工具" w:id="183"/>
      <w:bookmarkEnd w:id="18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89" w:right="1133"/>
        <w:jc w:val="left"/>
      </w:pPr>
      <w:r>
        <w:rPr/>
        <w:t>金融工具包括金融资产、金融负债和权益工具。本公司自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日起适用新的金融工具准则。</w:t>
      </w:r>
    </w:p>
    <w:p>
      <w:pPr>
        <w:spacing w:line="240" w:lineRule="auto" w:before="0"/>
        <w:rPr>
          <w:rFonts w:ascii="宋体" w:hAnsi="宋体" w:cs="宋体" w:eastAsia="宋体" w:hint="default"/>
          <w:sz w:val="18"/>
          <w:szCs w:val="18"/>
        </w:rPr>
      </w:pPr>
    </w:p>
    <w:p>
      <w:pPr>
        <w:pStyle w:val="Heading3"/>
        <w:spacing w:line="240" w:lineRule="auto" w:before="132"/>
        <w:ind w:left="508" w:right="1133"/>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pStyle w:val="BodyText"/>
        <w:spacing w:line="319" w:lineRule="auto" w:before="42"/>
        <w:ind w:right="1132" w:firstLine="336"/>
        <w:jc w:val="both"/>
      </w:pPr>
      <w:r>
        <w:rPr>
          <w:spacing w:val="-2"/>
        </w:rPr>
        <w:t>根据本公司管理金融资产的业务模式和金融资产的合同现金流量特征，金融资产于初始确认时分类为：以摊余成本计量</w:t>
      </w:r>
      <w:r>
        <w:rPr/>
        <w:t> </w:t>
      </w:r>
      <w:r>
        <w:rPr>
          <w:spacing w:val="-2"/>
        </w:rPr>
        <w:t>的金融资产、以公允价值计量且其变动计入其他综合收益的金融资产（债务工具）和以公允价值计量且其变动计入当期损益</w:t>
      </w:r>
      <w:r>
        <w:rPr>
          <w:spacing w:val="-66"/>
        </w:rPr>
        <w:t> </w:t>
      </w:r>
      <w:r>
        <w:rPr>
          <w:spacing w:val="-66"/>
        </w:rPr>
      </w:r>
      <w:r>
        <w:rPr/>
        <w:t>的金融资产。</w:t>
      </w:r>
    </w:p>
    <w:p>
      <w:pPr>
        <w:pStyle w:val="BodyText"/>
        <w:spacing w:line="316" w:lineRule="auto" w:before="17"/>
        <w:ind w:right="1132" w:firstLine="362"/>
        <w:jc w:val="both"/>
      </w:pPr>
      <w:r>
        <w:rPr>
          <w:spacing w:val="-2"/>
        </w:rPr>
        <w:t>业务模式是以收取合同现金流量为目标且合同现金流量仅为对本金和以未偿付本金金额为基础的利息的支付的，分类为</w:t>
      </w:r>
      <w:r>
        <w:rPr/>
        <w:t> </w:t>
      </w:r>
      <w:r>
        <w:rPr>
          <w:spacing w:val="-2"/>
        </w:rPr>
        <w:t>以摊余成本计量的金融资产；业务模式既以收取合同现金流量又以出售该金融资产为目标且合同现金流量仅为对本金和以未</w:t>
      </w:r>
      <w:r>
        <w:rPr>
          <w:spacing w:val="-64"/>
        </w:rPr>
        <w:t> </w:t>
      </w:r>
      <w:r>
        <w:rPr>
          <w:spacing w:val="-64"/>
        </w:rPr>
      </w:r>
      <w:r>
        <w:rPr>
          <w:spacing w:val="-2"/>
        </w:rPr>
        <w:t>偿付本金金额为基础的利息的支付的，分类为以公允价值计量且其变动计入其他综合收益的金融资产（债务工具）；除此之</w:t>
      </w:r>
      <w:r>
        <w:rPr>
          <w:spacing w:val="-65"/>
        </w:rPr>
        <w:t> </w:t>
      </w:r>
      <w:r>
        <w:rPr>
          <w:spacing w:val="-65"/>
        </w:rPr>
      </w:r>
      <w:r>
        <w:rPr/>
        <w:t>外的其他金融资产，分类为以公允价值计量且其变动计入当期损益的金融资产。</w:t>
      </w:r>
    </w:p>
    <w:p>
      <w:pPr>
        <w:pStyle w:val="BodyText"/>
        <w:spacing w:line="316" w:lineRule="auto" w:before="19"/>
        <w:ind w:right="1123" w:firstLine="362"/>
        <w:jc w:val="left"/>
      </w:pPr>
      <w:r>
        <w:rPr>
          <w:spacing w:val="-2"/>
        </w:rPr>
        <w:t>对于非交易性权益工具投资，本公司在初始确认时确定是否将其指定为以公允价值计量且其变动计入其他综合收益的金</w:t>
      </w:r>
      <w:r>
        <w:rPr/>
        <w:t> 融资产（权益工具）。</w:t>
      </w:r>
    </w:p>
    <w:p>
      <w:pPr>
        <w:pStyle w:val="BodyText"/>
        <w:spacing w:line="240" w:lineRule="auto" w:before="19"/>
        <w:ind w:left="515" w:right="1133"/>
        <w:jc w:val="left"/>
      </w:pPr>
      <w:r>
        <w:rPr/>
        <w:t>金融负债于初始确认时分类为：以公允价值计量且其变动计入当期损益的金融负债和以摊余成本计量的金融负债。</w:t>
      </w:r>
    </w:p>
    <w:p>
      <w:pPr>
        <w:spacing w:line="240" w:lineRule="auto" w:before="0"/>
        <w:rPr>
          <w:rFonts w:ascii="宋体" w:hAnsi="宋体" w:cs="宋体" w:eastAsia="宋体" w:hint="default"/>
          <w:sz w:val="18"/>
          <w:szCs w:val="18"/>
        </w:rPr>
      </w:pPr>
    </w:p>
    <w:p>
      <w:pPr>
        <w:pStyle w:val="BodyText"/>
        <w:spacing w:line="316" w:lineRule="auto" w:before="153"/>
        <w:ind w:left="527" w:right="2111" w:hanging="12"/>
        <w:jc w:val="left"/>
      </w:pPr>
      <w:r>
        <w:rPr/>
        <w:t>符合以下条件之一的金融负债可在初始计量时指定为以公允价值计量且其变动计入当期损益的金融负债： </w:t>
      </w:r>
      <w:r>
        <w:rPr>
          <w:rFonts w:ascii="宋体" w:hAnsi="宋体" w:cs="宋体" w:eastAsia="宋体" w:hint="default"/>
        </w:rPr>
        <w:t>1</w:t>
      </w:r>
      <w:r>
        <w:rPr/>
        <w:t>）该项指定能够消除或显著减少会计错配。</w:t>
      </w:r>
    </w:p>
    <w:p>
      <w:pPr>
        <w:pStyle w:val="BodyText"/>
        <w:tabs>
          <w:tab w:pos="2406" w:val="left" w:leader="none"/>
        </w:tabs>
        <w:spacing w:line="316" w:lineRule="auto" w:before="19"/>
        <w:ind w:right="1133" w:firstLine="362"/>
        <w:jc w:val="left"/>
      </w:pPr>
      <w:r>
        <w:rPr>
          <w:rFonts w:ascii="宋体" w:hAnsi="宋体" w:cs="宋体" w:eastAsia="宋体" w:hint="default"/>
        </w:rPr>
        <w:t>2</w:t>
      </w:r>
      <w:r>
        <w:rPr/>
        <w:t>）根据正式书面文件载明的企业风险管理或投资策略，以公允价值为基础对金融负债组合或金融资产和金融负债组合 进行管理和业绩评价，并</w:t>
        <w:tab/>
        <w:t>在企业内部以此为基础向关键管理人员报告。</w:t>
      </w:r>
    </w:p>
    <w:p>
      <w:pPr>
        <w:pStyle w:val="BodyText"/>
        <w:spacing w:line="240" w:lineRule="auto" w:before="19"/>
        <w:ind w:left="515" w:right="1133"/>
        <w:jc w:val="left"/>
      </w:pPr>
      <w:r>
        <w:rPr>
          <w:rFonts w:ascii="宋体" w:hAnsi="宋体" w:cs="宋体" w:eastAsia="宋体" w:hint="default"/>
        </w:rPr>
        <w:t>3</w:t>
      </w:r>
      <w:r>
        <w:rPr/>
        <w:t>）该金融负债包含需单独分拆的嵌入衍生工具。</w:t>
      </w:r>
    </w:p>
    <w:p>
      <w:pPr>
        <w:spacing w:line="240" w:lineRule="auto" w:before="0"/>
        <w:rPr>
          <w:rFonts w:ascii="宋体" w:hAnsi="宋体" w:cs="宋体" w:eastAsia="宋体" w:hint="default"/>
          <w:sz w:val="18"/>
          <w:szCs w:val="18"/>
        </w:rPr>
      </w:pPr>
    </w:p>
    <w:p>
      <w:pPr>
        <w:pStyle w:val="Heading3"/>
        <w:spacing w:line="240" w:lineRule="auto" w:before="132"/>
        <w:ind w:left="508" w:right="1133"/>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pStyle w:val="BodyText"/>
        <w:spacing w:line="316" w:lineRule="auto" w:before="42"/>
        <w:ind w:left="578" w:right="1133"/>
        <w:jc w:val="left"/>
      </w:pPr>
      <w:r>
        <w:rPr>
          <w:rFonts w:ascii="宋体" w:hAnsi="宋体" w:cs="宋体" w:eastAsia="宋体" w:hint="default"/>
        </w:rPr>
        <w:t>1</w:t>
      </w:r>
      <w:r>
        <w:rPr/>
        <w:t>）以摊余成本计量的金融资产 以摊余成本计量的金融资产包括应收票据、应收账款、其他应收款、长期应收款、债权投资等，按公允价值进行初始</w:t>
      </w:r>
    </w:p>
    <w:p>
      <w:pPr>
        <w:pStyle w:val="BodyText"/>
        <w:spacing w:line="316" w:lineRule="auto" w:before="19"/>
        <w:ind w:right="1123"/>
        <w:jc w:val="left"/>
      </w:pPr>
      <w:r>
        <w:rPr>
          <w:spacing w:val="-2"/>
        </w:rPr>
        <w:t>计量，相关交易费用计入初始确认金额；不包含重大融资成分的应收账款以及本公司决定不考虑不超过一年的融资成分的应</w:t>
      </w:r>
      <w:r>
        <w:rPr>
          <w:spacing w:val="-63"/>
        </w:rPr>
        <w:t> </w:t>
      </w:r>
      <w:r>
        <w:rPr>
          <w:spacing w:val="-63"/>
        </w:rPr>
      </w:r>
      <w:r>
        <w:rPr/>
        <w:t>收账款，以合同交易价格进行初始计量。</w:t>
      </w:r>
    </w:p>
    <w:p>
      <w:pPr>
        <w:pStyle w:val="BodyText"/>
        <w:spacing w:line="316" w:lineRule="auto" w:before="19"/>
        <w:ind w:left="578" w:right="4028"/>
        <w:jc w:val="left"/>
      </w:pPr>
      <w:r>
        <w:rPr/>
        <w:t>持有期间采用实际利率法计算的利息计入当期损益。 收回或处置时，将取得的价款与该金融资产账面价值之间的差额计入当期损益。</w:t>
      </w:r>
    </w:p>
    <w:p>
      <w:pPr>
        <w:spacing w:line="240" w:lineRule="auto" w:before="2"/>
        <w:rPr>
          <w:rFonts w:ascii="宋体" w:hAnsi="宋体" w:cs="宋体" w:eastAsia="宋体" w:hint="default"/>
          <w:sz w:val="25"/>
          <w:szCs w:val="25"/>
        </w:rPr>
      </w:pPr>
    </w:p>
    <w:p>
      <w:pPr>
        <w:pStyle w:val="BodyText"/>
        <w:spacing w:line="316" w:lineRule="auto"/>
        <w:ind w:left="578" w:right="1133"/>
        <w:jc w:val="left"/>
      </w:pPr>
      <w:r>
        <w:rPr>
          <w:rFonts w:ascii="宋体" w:hAnsi="宋体" w:cs="宋体" w:eastAsia="宋体" w:hint="default"/>
        </w:rPr>
        <w:t>2</w:t>
      </w:r>
      <w:r>
        <w:rPr/>
        <w:t>）以公允价值计量且其变动计入其他综合收益的金融资产（债务工具） 以公允价值计量且其变动计入其他综合收益的金融资产（债务工具）包括应收款项融资、其他债权投资等，按公允价</w:t>
      </w:r>
    </w:p>
    <w:p>
      <w:pPr>
        <w:pStyle w:val="BodyText"/>
        <w:spacing w:line="316" w:lineRule="auto" w:before="19"/>
        <w:ind w:right="1123"/>
        <w:jc w:val="left"/>
      </w:pPr>
      <w:r>
        <w:rPr>
          <w:spacing w:val="-2"/>
        </w:rPr>
        <w:t>值进行初始计量，相关交易费用计入初始确认金额。该金融资产按公允价值进行后续计量，公允价值变动除采用实际利率法</w:t>
      </w:r>
      <w:r>
        <w:rPr>
          <w:spacing w:val="-63"/>
        </w:rPr>
        <w:t> </w:t>
      </w:r>
      <w:r>
        <w:rPr>
          <w:spacing w:val="-63"/>
        </w:rPr>
      </w:r>
      <w:r>
        <w:rPr/>
        <w:t>计算的利息、减值损失或利得和汇兑损益之外，均计入其他综合收益。</w:t>
      </w:r>
    </w:p>
    <w:p>
      <w:pPr>
        <w:pStyle w:val="BodyText"/>
        <w:spacing w:line="240" w:lineRule="auto" w:before="19"/>
        <w:ind w:left="578" w:right="1133"/>
        <w:jc w:val="left"/>
      </w:pPr>
      <w:r>
        <w:rPr/>
        <w:t>终止确认时，之前计入其他综合收益的累计利得或损失从其他综合收益中转出，计入当期损益。</w:t>
      </w:r>
    </w:p>
    <w:p>
      <w:pPr>
        <w:spacing w:line="240" w:lineRule="auto" w:before="0"/>
        <w:rPr>
          <w:rFonts w:ascii="宋体" w:hAnsi="宋体" w:cs="宋体" w:eastAsia="宋体" w:hint="default"/>
          <w:sz w:val="18"/>
          <w:szCs w:val="18"/>
        </w:rPr>
      </w:pPr>
    </w:p>
    <w:p>
      <w:pPr>
        <w:pStyle w:val="BodyText"/>
        <w:spacing w:line="316" w:lineRule="auto" w:before="153"/>
        <w:ind w:left="578" w:right="1133"/>
        <w:jc w:val="left"/>
      </w:pPr>
      <w:r>
        <w:rPr>
          <w:rFonts w:ascii="宋体" w:hAnsi="宋体" w:cs="宋体" w:eastAsia="宋体" w:hint="default"/>
        </w:rPr>
        <w:t>3</w:t>
      </w:r>
      <w:r>
        <w:rPr/>
        <w:t>）以公允价值计量且其变动计入其他综合收益的金融资产（权益工具） 以公允价值计量且其变动计入其他综合收益的金融资产（权益工具）包括其他权益工具投资等，按公允价值进行初始</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23"/>
        <w:jc w:val="left"/>
      </w:pPr>
      <w:r>
        <w:rPr>
          <w:spacing w:val="-2"/>
        </w:rPr>
        <w:t>计量，相关交易费用计入初始确认金额。该金融资产按公允价值进行后续计量，公允价值变动计入其他综合收益。取得的股</w:t>
      </w:r>
      <w:r>
        <w:rPr>
          <w:spacing w:val="-65"/>
        </w:rPr>
        <w:t> </w:t>
      </w:r>
      <w:r>
        <w:rPr>
          <w:spacing w:val="-65"/>
        </w:rPr>
      </w:r>
      <w:r>
        <w:rPr/>
        <w:t>利计入当期损益。</w:t>
      </w:r>
    </w:p>
    <w:p>
      <w:pPr>
        <w:pStyle w:val="BodyText"/>
        <w:spacing w:line="240" w:lineRule="auto" w:before="17"/>
        <w:ind w:left="578" w:right="1133"/>
        <w:jc w:val="left"/>
      </w:pPr>
      <w:r>
        <w:rPr/>
        <w:t>终止确认时，之前计入其他综合收益的累计利得或损失从其他综合收益中转出，计入留存收益。</w:t>
      </w:r>
    </w:p>
    <w:p>
      <w:pPr>
        <w:spacing w:line="240" w:lineRule="auto" w:before="0"/>
        <w:rPr>
          <w:rFonts w:ascii="宋体" w:hAnsi="宋体" w:cs="宋体" w:eastAsia="宋体" w:hint="default"/>
          <w:sz w:val="18"/>
          <w:szCs w:val="18"/>
        </w:rPr>
      </w:pPr>
    </w:p>
    <w:p>
      <w:pPr>
        <w:pStyle w:val="BodyText"/>
        <w:spacing w:line="316" w:lineRule="auto" w:before="153"/>
        <w:ind w:left="578" w:right="1133"/>
        <w:jc w:val="left"/>
      </w:pPr>
      <w:r>
        <w:rPr>
          <w:rFonts w:ascii="宋体" w:hAnsi="宋体" w:cs="宋体" w:eastAsia="宋体" w:hint="default"/>
        </w:rPr>
        <w:t>4</w:t>
      </w:r>
      <w:r>
        <w:rPr/>
        <w:t>）以公允价值计量且其变动计入当期损益的金融资产 以公允价值计量且其变动计入当期损益的金融资产包括交易性金融资产、衍生金融资产、其他非流动金融资产等，按</w:t>
      </w:r>
    </w:p>
    <w:p>
      <w:pPr>
        <w:pStyle w:val="BodyText"/>
        <w:spacing w:line="240" w:lineRule="auto" w:before="19"/>
        <w:ind w:right="0"/>
        <w:jc w:val="left"/>
      </w:pPr>
      <w:r>
        <w:rPr/>
        <w:t>公允价值进行初始计量，相关交易费用计入当期损益。该金融资产按公允价值进行后续计量，公允价值变动计入当期损益。</w:t>
      </w:r>
    </w:p>
    <w:p>
      <w:pPr>
        <w:spacing w:line="240" w:lineRule="auto" w:before="0"/>
        <w:rPr>
          <w:rFonts w:ascii="宋体" w:hAnsi="宋体" w:cs="宋体" w:eastAsia="宋体" w:hint="default"/>
          <w:sz w:val="18"/>
          <w:szCs w:val="18"/>
        </w:rPr>
      </w:pPr>
    </w:p>
    <w:p>
      <w:pPr>
        <w:pStyle w:val="BodyText"/>
        <w:spacing w:line="316" w:lineRule="auto" w:before="153"/>
        <w:ind w:left="578" w:right="0"/>
        <w:jc w:val="left"/>
      </w:pPr>
      <w:r>
        <w:rPr>
          <w:rFonts w:ascii="宋体" w:hAnsi="宋体" w:cs="宋体" w:eastAsia="宋体" w:hint="default"/>
        </w:rPr>
        <w:t>5</w:t>
      </w:r>
      <w:r>
        <w:rPr/>
        <w:t>）以公允价值计量且其变动计入当期损益的金融负债 </w:t>
      </w:r>
      <w:r>
        <w:rPr>
          <w:spacing w:val="-2"/>
        </w:rPr>
        <w:t>以公允价值计量且其变动计入当期损益的金融负债包括交易性金融负债、衍生金融负债等，按公允价值进行初始计量，</w:t>
      </w:r>
    </w:p>
    <w:p>
      <w:pPr>
        <w:pStyle w:val="BodyText"/>
        <w:spacing w:line="316" w:lineRule="auto" w:before="19"/>
        <w:ind w:left="578" w:right="3014" w:hanging="426"/>
        <w:jc w:val="left"/>
      </w:pPr>
      <w:r>
        <w:rPr/>
        <w:t>相关交易费用计入当期损益。该金融负债按公允价值进行后续计量，公允价值变动计入当期损益。 终止确认时，其账面价值与支付的对价之间的差额计入当期损益。</w:t>
      </w:r>
    </w:p>
    <w:p>
      <w:pPr>
        <w:spacing w:line="240" w:lineRule="auto" w:before="4"/>
        <w:rPr>
          <w:rFonts w:ascii="宋体" w:hAnsi="宋体" w:cs="宋体" w:eastAsia="宋体" w:hint="default"/>
          <w:sz w:val="25"/>
          <w:szCs w:val="25"/>
        </w:rPr>
      </w:pPr>
    </w:p>
    <w:p>
      <w:pPr>
        <w:pStyle w:val="BodyText"/>
        <w:spacing w:line="316" w:lineRule="auto"/>
        <w:ind w:left="578" w:right="1133"/>
        <w:jc w:val="left"/>
      </w:pPr>
      <w:r>
        <w:rPr>
          <w:rFonts w:ascii="宋体" w:hAnsi="宋体" w:cs="宋体" w:eastAsia="宋体" w:hint="default"/>
        </w:rPr>
        <w:t>6</w:t>
      </w:r>
      <w:r>
        <w:rPr/>
        <w:t>）以摊余成本计量的金融负债 以摊余成本计量的金融负债包括短期借款、应付票据、应付账款、其他应付款、长期借款、应付债券、长期应付款，</w:t>
      </w:r>
    </w:p>
    <w:p>
      <w:pPr>
        <w:pStyle w:val="BodyText"/>
        <w:spacing w:line="316" w:lineRule="auto" w:before="19"/>
        <w:ind w:left="578" w:right="4208" w:hanging="426"/>
        <w:jc w:val="left"/>
      </w:pPr>
      <w:r>
        <w:rPr/>
        <w:t>按公允价值进行初始计量，相关交易费用计入初始确认金额。 持有期间采用实际利率法计算的利息计入当期损益。 终止确认时，将支付的对价与该金融负债账面价值之间的差额计入当期损益。</w:t>
      </w:r>
    </w:p>
    <w:p>
      <w:pPr>
        <w:spacing w:line="240" w:lineRule="auto" w:before="9"/>
        <w:rPr>
          <w:rFonts w:ascii="宋体" w:hAnsi="宋体" w:cs="宋体" w:eastAsia="宋体" w:hint="default"/>
          <w:sz w:val="23"/>
          <w:szCs w:val="23"/>
        </w:rPr>
      </w:pPr>
    </w:p>
    <w:p>
      <w:pPr>
        <w:pStyle w:val="Heading3"/>
        <w:spacing w:line="240" w:lineRule="auto"/>
        <w:ind w:left="508" w:right="1133"/>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pStyle w:val="BodyText"/>
        <w:spacing w:line="316" w:lineRule="auto" w:before="42"/>
        <w:ind w:right="1133" w:firstLine="336"/>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left="515" w:right="1123"/>
        <w:jc w:val="left"/>
      </w:pPr>
      <w:r>
        <w:rPr/>
        <w:t>在判断金融资产转移是否满足上述金融资产终止确认条件时，采用实质重于形式的原则。 </w:t>
      </w:r>
      <w:r>
        <w:rPr>
          <w:spacing w:val="-2"/>
        </w:rPr>
        <w:t>公司将金融资产转移区分为金融资产整体转移和部分转移。金融资产整体转移满足终止确认条件的，将下列两项金额的</w:t>
      </w:r>
    </w:p>
    <w:p>
      <w:pPr>
        <w:pStyle w:val="BodyText"/>
        <w:spacing w:line="316" w:lineRule="auto" w:before="19"/>
        <w:ind w:left="527" w:right="7769" w:hanging="375"/>
        <w:jc w:val="left"/>
      </w:pPr>
      <w:r>
        <w:rPr/>
        <w:t>差额计入当期损益： </w:t>
      </w:r>
      <w:r>
        <w:rPr>
          <w:rFonts w:ascii="宋体" w:hAnsi="宋体" w:cs="宋体" w:eastAsia="宋体" w:hint="default"/>
        </w:rPr>
        <w:t>1</w:t>
      </w:r>
      <w:r>
        <w:rPr/>
        <w:t>）所转移金融资产的账面价值；</w:t>
      </w:r>
    </w:p>
    <w:p>
      <w:pPr>
        <w:pStyle w:val="BodyText"/>
        <w:spacing w:line="316" w:lineRule="auto" w:before="19"/>
        <w:ind w:right="1122" w:firstLine="362"/>
        <w:jc w:val="left"/>
      </w:pPr>
      <w:r>
        <w:rPr>
          <w:rFonts w:ascii="宋体" w:hAnsi="宋体" w:cs="宋体" w:eastAsia="宋体" w:hint="default"/>
        </w:rPr>
        <w:t>2</w:t>
      </w:r>
      <w:r>
        <w:rPr/>
        <w:t>）因转移而收到的对价，与原直接计入所有者权益的公允价值变动累计额（涉及转移的金融资产为以公允价值计量且 其变动计入其他综合收益的金融资产（债务工具）、可供出售金融资产的情形）之和。</w:t>
      </w:r>
    </w:p>
    <w:p>
      <w:pPr>
        <w:spacing w:line="240" w:lineRule="auto" w:before="4"/>
        <w:rPr>
          <w:rFonts w:ascii="宋体" w:hAnsi="宋体" w:cs="宋体" w:eastAsia="宋体" w:hint="default"/>
          <w:sz w:val="25"/>
          <w:szCs w:val="25"/>
        </w:rPr>
      </w:pPr>
    </w:p>
    <w:p>
      <w:pPr>
        <w:pStyle w:val="BodyText"/>
        <w:spacing w:line="316" w:lineRule="auto"/>
        <w:ind w:right="1032" w:firstLine="362"/>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436" w:right="1133"/>
        <w:jc w:val="left"/>
      </w:pPr>
      <w:r>
        <w:rPr>
          <w:rFonts w:ascii="宋体" w:hAnsi="宋体" w:cs="宋体" w:eastAsia="宋体" w:hint="default"/>
        </w:rPr>
        <w:t>1</w:t>
      </w:r>
      <w:r>
        <w:rPr/>
        <w:t>）终止确认部分的账面价值；</w:t>
      </w:r>
    </w:p>
    <w:p>
      <w:pPr>
        <w:pStyle w:val="BodyText"/>
        <w:spacing w:line="316" w:lineRule="auto" w:before="76"/>
        <w:ind w:right="1123" w:firstLine="271"/>
        <w:jc w:val="left"/>
      </w:pPr>
      <w:r>
        <w:rPr>
          <w:rFonts w:ascii="宋体" w:hAnsi="宋体" w:cs="宋体" w:eastAsia="宋体" w:hint="default"/>
          <w:spacing w:val="-2"/>
        </w:rPr>
        <w:t>2</w:t>
      </w:r>
      <w:r>
        <w:rPr>
          <w:spacing w:val="-2"/>
        </w:rPr>
        <w:t>）终止确认部分的对价，与原直接计入所有者权益的公允价值变动累计额中对应终止确认部分的金额（涉及转移的金融</w:t>
      </w:r>
      <w:r>
        <w:rPr/>
        <w:t> 资产为以公允价值计量且其变动计入其他综合收益的金融资产（债务工具）、可供出售金融资产的情形）之和。</w:t>
      </w:r>
    </w:p>
    <w:p>
      <w:pPr>
        <w:pStyle w:val="BodyText"/>
        <w:spacing w:line="240" w:lineRule="auto" w:before="19"/>
        <w:ind w:left="436" w:right="1133"/>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Heading3"/>
        <w:spacing w:line="240" w:lineRule="auto" w:before="133"/>
        <w:ind w:left="419" w:right="1133"/>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pStyle w:val="BodyText"/>
        <w:spacing w:line="316" w:lineRule="auto" w:before="42"/>
        <w:ind w:right="1130" w:firstLine="336"/>
        <w:jc w:val="both"/>
      </w:pPr>
      <w:r>
        <w:rPr>
          <w:spacing w:val="-2"/>
        </w:rPr>
        <w:t>金融负债的现时义务全部或部分已经解除的，则终止确认该金融负债或其一部分；本公司若与债权人签定协议，以承担</w:t>
      </w:r>
      <w:r>
        <w:rPr/>
        <w:t> </w:t>
      </w: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9"/>
        <w:ind w:right="1133" w:firstLine="288"/>
        <w:jc w:val="left"/>
      </w:pPr>
      <w:r>
        <w:rPr>
          <w:spacing w:val="-1"/>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1133" w:firstLine="288"/>
        <w:jc w:val="left"/>
      </w:pPr>
      <w:r>
        <w:rPr>
          <w:spacing w:val="-1"/>
        </w:rPr>
        <w:t>金融负债全部或部分终止确认时，终止确认的金融负债账面价值与支付对价（包括转出的非现金资产或承担的新金融负</w:t>
      </w:r>
      <w:r>
        <w:rPr/>
        <w:t> 债）之间的差额，计入当期损益。</w:t>
      </w:r>
    </w:p>
    <w:p>
      <w:pPr>
        <w:spacing w:after="0" w:line="316" w:lineRule="auto"/>
        <w:jc w:val="left"/>
        <w:sectPr>
          <w:footerReference w:type="default" r:id="rId27"/>
          <w:pgSz w:w="11910" w:h="16840"/>
          <w:pgMar w:footer="980" w:header="877"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034" w:firstLine="288"/>
        <w:jc w:val="left"/>
      </w:pPr>
      <w:r>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spacing w:line="240" w:lineRule="auto" w:before="7"/>
        <w:rPr>
          <w:rFonts w:ascii="宋体" w:hAnsi="宋体" w:cs="宋体" w:eastAsia="宋体" w:hint="default"/>
          <w:sz w:val="23"/>
          <w:szCs w:val="23"/>
        </w:rPr>
      </w:pPr>
    </w:p>
    <w:p>
      <w:pPr>
        <w:pStyle w:val="Heading3"/>
        <w:spacing w:line="240" w:lineRule="auto"/>
        <w:ind w:left="419" w:right="1133"/>
        <w:jc w:val="left"/>
        <w:rPr>
          <w:b w:val="0"/>
          <w:bCs w:val="0"/>
        </w:rPr>
      </w:pPr>
      <w:r>
        <w:rPr/>
        <w:t>（</w:t>
      </w:r>
      <w:r>
        <w:rPr>
          <w:rFonts w:ascii="Times New Roman" w:hAnsi="Times New Roman" w:cs="Times New Roman" w:eastAsia="Times New Roman" w:hint="default"/>
        </w:rPr>
        <w:t>5</w:t>
      </w:r>
      <w:r>
        <w:rPr/>
        <w:t>）金融资产和金融负债的公允价值的确定方法</w:t>
      </w:r>
      <w:r>
        <w:rPr>
          <w:b w:val="0"/>
          <w:bCs w:val="0"/>
        </w:rPr>
      </w:r>
    </w:p>
    <w:p>
      <w:pPr>
        <w:pStyle w:val="BodyText"/>
        <w:spacing w:line="316" w:lineRule="auto" w:before="42"/>
        <w:ind w:right="1132" w:firstLine="336"/>
        <w:jc w:val="both"/>
      </w:pPr>
      <w:r>
        <w:rPr>
          <w:spacing w:val="-2"/>
        </w:rPr>
        <w:t>存在活跃市场的金融工具，以活跃市场中的报价确定其公允价值。不存在活跃市场的金融工具，采用估值技术确定其公</w:t>
      </w:r>
      <w:r>
        <w:rPr/>
        <w:t> </w:t>
      </w:r>
      <w:r>
        <w:rPr>
          <w:spacing w:val="-2"/>
        </w:rPr>
        <w:t>允价值。在估值时，本公司采用在当前情况下适用并且有足够可利用数据和其他信息支持的估值技术，选择与市场参与者在</w:t>
      </w:r>
      <w:r>
        <w:rPr>
          <w:spacing w:val="-65"/>
        </w:rPr>
        <w:t> </w:t>
      </w:r>
      <w:r>
        <w:rPr>
          <w:spacing w:val="-65"/>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spacing w:line="240" w:lineRule="auto" w:before="9"/>
        <w:rPr>
          <w:rFonts w:ascii="宋体" w:hAnsi="宋体" w:cs="宋体" w:eastAsia="宋体" w:hint="default"/>
          <w:sz w:val="23"/>
          <w:szCs w:val="23"/>
        </w:rPr>
      </w:pPr>
    </w:p>
    <w:p>
      <w:pPr>
        <w:pStyle w:val="Heading3"/>
        <w:spacing w:line="240" w:lineRule="auto"/>
        <w:ind w:left="419" w:right="1133"/>
        <w:jc w:val="left"/>
        <w:rPr>
          <w:b w:val="0"/>
          <w:bCs w:val="0"/>
        </w:rPr>
      </w:pPr>
      <w:r>
        <w:rPr/>
        <w:t>（</w:t>
      </w:r>
      <w:r>
        <w:rPr>
          <w:rFonts w:ascii="Times New Roman" w:hAnsi="Times New Roman" w:cs="Times New Roman" w:eastAsia="Times New Roman" w:hint="default"/>
        </w:rPr>
        <w:t>6</w:t>
      </w:r>
      <w:r>
        <w:rPr/>
        <w:t>）金融资产减值的测试方法及会计处理方法</w:t>
      </w:r>
      <w:r>
        <w:rPr>
          <w:b w:val="0"/>
          <w:bCs w:val="0"/>
        </w:rPr>
      </w:r>
    </w:p>
    <w:p>
      <w:pPr>
        <w:pStyle w:val="BodyText"/>
        <w:spacing w:line="319" w:lineRule="auto" w:before="42"/>
        <w:ind w:right="1132" w:firstLine="336"/>
        <w:jc w:val="both"/>
      </w:pPr>
      <w:r>
        <w:rPr>
          <w:spacing w:val="-2"/>
        </w:rPr>
        <w:t>本公司考虑所有合理且有依据的信息，包括前瞻性信息，以单项或组合的方式对以摊余成本计量的金融资产和以公允价</w:t>
      </w:r>
      <w:r>
        <w:rPr/>
        <w:t> </w:t>
      </w:r>
      <w:r>
        <w:rPr>
          <w:spacing w:val="-2"/>
        </w:rPr>
        <w:t>值计量且其变动计入其他综合收益的金融资产（债务工具）的预期信用损失进行估计。预期信用损失的计量取决于金融资产</w:t>
      </w:r>
      <w:r>
        <w:rPr>
          <w:spacing w:val="-65"/>
        </w:rPr>
        <w:t> </w:t>
      </w:r>
      <w:r>
        <w:rPr>
          <w:spacing w:val="-65"/>
        </w:rPr>
      </w:r>
      <w:r>
        <w:rPr/>
        <w:t>自初始确认后是否发生信用风险显著增加。</w:t>
      </w:r>
    </w:p>
    <w:p>
      <w:pPr>
        <w:pStyle w:val="BodyText"/>
        <w:spacing w:line="316" w:lineRule="auto" w:before="17"/>
        <w:ind w:right="1131" w:firstLine="362"/>
        <w:jc w:val="both"/>
      </w:pPr>
      <w:r>
        <w:rPr>
          <w:spacing w:val="-2"/>
        </w:rPr>
        <w:t>如果该金融工具的信用风险自初始确认后已显著增加，本公司按照相当于该金融工具整个存续期内预期信用损失的金额</w:t>
      </w:r>
      <w:r>
        <w:rPr/>
        <w:t> </w:t>
      </w:r>
      <w:r>
        <w:rPr>
          <w:spacing w:val="-2"/>
        </w:rPr>
        <w:t>计量其损失准备；如果该金融工具的信用风险自初始确认后并未显著增加，本公司按照相当于该金融工具未来</w:t>
      </w:r>
      <w:r>
        <w:rPr>
          <w:rFonts w:ascii="宋体" w:hAnsi="宋体" w:cs="宋体" w:eastAsia="宋体" w:hint="default"/>
          <w:spacing w:val="-2"/>
        </w:rPr>
        <w:t>12</w:t>
      </w:r>
      <w:r>
        <w:rPr>
          <w:spacing w:val="-2"/>
        </w:rPr>
        <w:t>个月内预期</w:t>
      </w:r>
      <w:r>
        <w:rPr>
          <w:spacing w:val="-61"/>
        </w:rPr>
        <w:t> </w:t>
      </w:r>
      <w:r>
        <w:rPr>
          <w:spacing w:val="-61"/>
        </w:rPr>
      </w:r>
      <w:r>
        <w:rPr/>
        <w:t>信用损失的金额计量其损失准备。由此形成的损失准备的增加或转回金额，作为减值损失或利得计入当期损益。</w:t>
      </w:r>
    </w:p>
    <w:p>
      <w:pPr>
        <w:pStyle w:val="BodyText"/>
        <w:spacing w:line="316" w:lineRule="auto" w:before="19"/>
        <w:ind w:right="1132" w:firstLine="362"/>
        <w:jc w:val="both"/>
      </w:pPr>
      <w:r>
        <w:rPr>
          <w:spacing w:val="-2"/>
        </w:rPr>
        <w:t>通常逾期超过</w:t>
      </w:r>
      <w:r>
        <w:rPr>
          <w:rFonts w:ascii="宋体" w:hAnsi="宋体" w:cs="宋体" w:eastAsia="宋体" w:hint="default"/>
          <w:spacing w:val="-2"/>
        </w:rPr>
        <w:t>30</w:t>
      </w:r>
      <w:r>
        <w:rPr>
          <w:spacing w:val="-2"/>
        </w:rPr>
        <w:t>日，本公司即认为该金融工具的信用风险已显著增加，除非有确凿证据证明该金融工具的信用风险自初</w:t>
      </w:r>
      <w:r>
        <w:rPr/>
        <w:t> 始确认后并未显著增加。</w:t>
      </w:r>
    </w:p>
    <w:p>
      <w:pPr>
        <w:pStyle w:val="BodyText"/>
        <w:spacing w:line="316" w:lineRule="auto" w:before="19"/>
        <w:ind w:left="515" w:right="0"/>
        <w:jc w:val="left"/>
      </w:pPr>
      <w:r>
        <w:rPr/>
        <w:t>如果金融工具于资产负债表日的信用风险较低，本公司即认为该金融工具的信用风险自初始确认后并未显著增加。 如果有客观证据表明某项金融资产已经发生信用减值，则本公司在单项基础上对该金融资产计提减值准备。 </w:t>
      </w:r>
      <w:r>
        <w:rPr>
          <w:spacing w:val="-4"/>
        </w:rPr>
        <w:t>对于应收账款，无论是否包含重大融资成分，本公司始终按照相当于整个存续期内预期信用损失的金额计量其损失准备。</w:t>
      </w:r>
      <w:r>
        <w:rPr>
          <w:spacing w:val="-55"/>
        </w:rPr>
        <w:t> </w:t>
      </w:r>
      <w:r>
        <w:rPr>
          <w:spacing w:val="-55"/>
        </w:rPr>
      </w:r>
      <w:r>
        <w:rPr>
          <w:spacing w:val="-2"/>
        </w:rPr>
        <w:t>对于租赁应收款、公司通过销售商品或提供劳务形成的长期应收款，本公司选择始终按照相当于整个存续期内预期信用</w:t>
      </w:r>
    </w:p>
    <w:p>
      <w:pPr>
        <w:pStyle w:val="BodyText"/>
        <w:spacing w:line="319" w:lineRule="auto" w:before="19"/>
        <w:ind w:left="498" w:right="1027" w:hanging="347"/>
        <w:jc w:val="left"/>
      </w:pPr>
      <w:r>
        <w:rPr/>
        <w:t>损失的金额计量其损失准备。 </w:t>
      </w:r>
      <w:r>
        <w:rPr>
          <w:spacing w:val="-3"/>
        </w:rPr>
        <w:t>除了单项评估信用风险的金融资产外，本公司基于共同风险特征将金融资产划分为不同的组别，参考历史信用损失经验，</w:t>
      </w:r>
    </w:p>
    <w:p>
      <w:pPr>
        <w:pStyle w:val="BodyText"/>
        <w:spacing w:line="316" w:lineRule="auto" w:before="17"/>
        <w:ind w:left="518" w:right="1214" w:hanging="366"/>
        <w:jc w:val="left"/>
      </w:pPr>
      <w:r>
        <w:rPr/>
        <w:t>结合当前状况以及对未来经济状况的预测，编制应收账款账龄与整个存续期预期信用损失率对照表，计算预期信用损失。 应收款项组合及预期信用损失率：</w:t>
      </w:r>
    </w:p>
    <w:tbl>
      <w:tblPr>
        <w:tblW w:w="0" w:type="auto"/>
        <w:jc w:val="left"/>
        <w:tblInd w:w="169" w:type="dxa"/>
        <w:tblLayout w:type="fixed"/>
        <w:tblCellMar>
          <w:top w:w="0" w:type="dxa"/>
          <w:left w:w="0" w:type="dxa"/>
          <w:bottom w:w="0" w:type="dxa"/>
          <w:right w:w="0" w:type="dxa"/>
        </w:tblCellMar>
        <w:tblLook w:val="01E0"/>
      </w:tblPr>
      <w:tblGrid>
        <w:gridCol w:w="1277"/>
        <w:gridCol w:w="5471"/>
        <w:gridCol w:w="2849"/>
      </w:tblGrid>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4" w:right="0"/>
              <w:jc w:val="left"/>
              <w:rPr>
                <w:rFonts w:ascii="宋体" w:hAnsi="宋体" w:cs="宋体" w:eastAsia="宋体" w:hint="default"/>
                <w:sz w:val="18"/>
                <w:szCs w:val="18"/>
              </w:rPr>
            </w:pPr>
            <w:r>
              <w:rPr>
                <w:rFonts w:ascii="宋体" w:hAnsi="宋体" w:cs="宋体" w:eastAsia="宋体" w:hint="default"/>
                <w:sz w:val="18"/>
                <w:szCs w:val="18"/>
              </w:rPr>
              <w:t>组合类别</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按信用风险特征组合的计提方法</w:t>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1</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企业服务类应收款项含应收押金、保证金、关联方款项等</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2</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除企业服务类以外应收款项含应收押金、保证金、关联方款项等</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9"/>
        <w:rPr>
          <w:rFonts w:ascii="宋体" w:hAnsi="宋体" w:cs="宋体" w:eastAsia="宋体" w:hint="default"/>
          <w:sz w:val="24"/>
          <w:szCs w:val="24"/>
        </w:rPr>
      </w:pPr>
    </w:p>
    <w:tbl>
      <w:tblPr>
        <w:tblW w:w="0" w:type="auto"/>
        <w:jc w:val="left"/>
        <w:tblInd w:w="253" w:type="dxa"/>
        <w:tblLayout w:type="fixed"/>
        <w:tblCellMar>
          <w:top w:w="0" w:type="dxa"/>
          <w:left w:w="0" w:type="dxa"/>
          <w:bottom w:w="0" w:type="dxa"/>
          <w:right w:w="0" w:type="dxa"/>
        </w:tblCellMar>
        <w:tblLook w:val="01E0"/>
      </w:tblPr>
      <w:tblGrid>
        <w:gridCol w:w="3121"/>
        <w:gridCol w:w="3118"/>
        <w:gridCol w:w="3190"/>
      </w:tblGrid>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组合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2</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5.00%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10.00%</w:t>
            </w:r>
          </w:p>
        </w:tc>
      </w:tr>
      <w:tr>
        <w:trPr>
          <w:trHeight w:val="34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sz w:val="18"/>
              </w:rPr>
              <w:t>20.00%</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40.00%</w:t>
            </w:r>
          </w:p>
        </w:tc>
      </w:tr>
    </w:tbl>
    <w:p>
      <w:pPr>
        <w:pStyle w:val="BodyText"/>
        <w:spacing w:line="316" w:lineRule="auto" w:before="8"/>
        <w:ind w:right="1131" w:firstLine="430"/>
        <w:jc w:val="both"/>
      </w:pPr>
      <w:r>
        <w:rPr/>
        <w:t>期末对于不适用按账龄段划分的类似信用风险特征组合的应收票据、预付账款、长期应收款等其他应收款项均进行单 </w:t>
      </w:r>
      <w:r>
        <w:rPr>
          <w:spacing w:val="-2"/>
        </w:rPr>
        <w:t>项减值测试。如有客观证据表明其发生了减值的，根据其未来现金流量现值低于其账面价值的差额，确认减值损失，计提信</w:t>
      </w:r>
      <w:r>
        <w:rPr>
          <w:spacing w:val="-64"/>
        </w:rPr>
        <w:t> </w:t>
      </w:r>
      <w:r>
        <w:rPr>
          <w:spacing w:val="-64"/>
        </w:rPr>
      </w:r>
      <w:r>
        <w:rPr/>
        <w:t>用减值损失。如经减值测试未发现减值的，则不计提信用减值损失。</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1、应收票据" w:id="184"/>
      <w:bookmarkEnd w:id="184"/>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1133"/>
        <w:jc w:val="left"/>
      </w:pPr>
      <w:r>
        <w:rPr/>
        <w:t>参考附注五、</w:t>
      </w:r>
      <w:r>
        <w:rPr>
          <w:rFonts w:ascii="宋体" w:hAnsi="宋体" w:cs="宋体" w:eastAsia="宋体" w:hint="default"/>
        </w:rPr>
        <w:t>10</w:t>
      </w:r>
      <w:r>
        <w:rPr/>
        <w:t>金融工具。</w:t>
      </w:r>
    </w:p>
    <w:p>
      <w:pPr>
        <w:spacing w:after="0" w:line="240" w:lineRule="auto"/>
        <w:jc w:val="left"/>
        <w:sectPr>
          <w:footerReference w:type="default" r:id="rId28"/>
          <w:pgSz w:w="11910" w:h="16840"/>
          <w:pgMar w:footer="980" w:header="877" w:top="1100" w:bottom="1160" w:left="980" w:right="0"/>
          <w:pgNumType w:start="101"/>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12、应收账款" w:id="185"/>
      <w:bookmarkEnd w:id="185"/>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89" w:right="1133"/>
        <w:jc w:val="left"/>
      </w:pPr>
      <w:r>
        <w:rPr/>
        <w:t>参考附注五、</w:t>
      </w:r>
      <w:r>
        <w:rPr>
          <w:rFonts w:ascii="宋体" w:hAnsi="宋体" w:cs="宋体" w:eastAsia="宋体" w:hint="default"/>
        </w:rPr>
        <w:t>10</w:t>
      </w:r>
      <w:r>
        <w:rPr/>
        <w:t>金融工具。</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3、应收款项融资" w:id="186"/>
      <w:bookmarkEnd w:id="186"/>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1133"/>
        <w:jc w:val="left"/>
      </w:pPr>
      <w:r>
        <w:rPr/>
        <w:t>参考附注五、</w:t>
      </w:r>
      <w:r>
        <w:rPr>
          <w:rFonts w:ascii="宋体" w:hAnsi="宋体" w:cs="宋体" w:eastAsia="宋体" w:hint="default"/>
        </w:rPr>
        <w:t>10</w:t>
      </w:r>
      <w:r>
        <w:rPr/>
        <w:t>金融工具。</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4、其他应收款" w:id="187"/>
      <w:bookmarkEnd w:id="187"/>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85" w:right="6434" w:hanging="433"/>
        <w:jc w:val="left"/>
      </w:pPr>
      <w:r>
        <w:rPr/>
        <w:t>其他应收款的预期信用损失的确定方法及会计处理方法 参考附注五、</w:t>
      </w:r>
      <w:r>
        <w:rPr>
          <w:rFonts w:ascii="宋体" w:hAnsi="宋体" w:cs="宋体" w:eastAsia="宋体" w:hint="default"/>
        </w:rPr>
        <w:t>10</w:t>
      </w:r>
      <w:r>
        <w:rPr/>
        <w:t>金融工具。</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15、存货" w:id="188"/>
      <w:bookmarkEnd w:id="188"/>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05" w:right="1133"/>
        <w:jc w:val="left"/>
      </w:pPr>
      <w:r>
        <w:rPr/>
        <w:t>存货分类为周转材料、库存商品等。公司存货发出时按加权平均法计价，采用永续盘存制。</w:t>
      </w:r>
    </w:p>
    <w:p>
      <w:pPr>
        <w:spacing w:line="240" w:lineRule="auto" w:before="0"/>
        <w:rPr>
          <w:rFonts w:ascii="宋体" w:hAnsi="宋体" w:cs="宋体" w:eastAsia="宋体" w:hint="default"/>
          <w:sz w:val="18"/>
          <w:szCs w:val="18"/>
        </w:rPr>
      </w:pPr>
    </w:p>
    <w:p>
      <w:pPr>
        <w:pStyle w:val="Heading3"/>
        <w:spacing w:line="240" w:lineRule="auto" w:before="132"/>
        <w:ind w:left="330" w:right="1133"/>
        <w:jc w:val="left"/>
        <w:rPr>
          <w:b w:val="0"/>
          <w:bCs w:val="0"/>
        </w:rPr>
      </w:pPr>
      <w:r>
        <w:rPr/>
        <w:t>（</w:t>
      </w:r>
      <w:r>
        <w:rPr>
          <w:rFonts w:ascii="Times New Roman" w:hAnsi="Times New Roman" w:cs="Times New Roman" w:eastAsia="Times New Roman" w:hint="default"/>
        </w:rPr>
        <w:t>1</w:t>
      </w:r>
      <w:r>
        <w:rPr/>
        <w:t>）不同类别存货可变现净值的确定依据</w:t>
      </w:r>
      <w:r>
        <w:rPr>
          <w:b w:val="0"/>
          <w:bCs w:val="0"/>
        </w:rPr>
      </w:r>
    </w:p>
    <w:p>
      <w:pPr>
        <w:pStyle w:val="BodyText"/>
        <w:spacing w:line="316" w:lineRule="auto" w:before="42"/>
        <w:ind w:right="1130" w:firstLine="336"/>
        <w:jc w:val="both"/>
      </w:pPr>
      <w:r>
        <w:rPr>
          <w:spacing w:val="-2"/>
        </w:rPr>
        <w:t>产成品、库存商品和用于出售的材料等直接用于出售的商品存货，在正常生产经营过程中，以该存货的估计售价减去估</w:t>
      </w:r>
      <w:r>
        <w:rPr/>
        <w:t> </w:t>
      </w: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5"/>
        </w:rPr>
        <w:t> </w:t>
      </w:r>
      <w:r>
        <w:rPr>
          <w:spacing w:val="-65"/>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9" w:lineRule="auto" w:before="19"/>
        <w:ind w:right="1130" w:firstLine="288"/>
        <w:jc w:val="both"/>
      </w:pPr>
      <w:r>
        <w:rPr>
          <w:spacing w:val="-1"/>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7"/>
        <w:ind w:left="508" w:right="1646" w:hanging="68"/>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9"/>
        <w:rPr>
          <w:rFonts w:ascii="宋体" w:hAnsi="宋体" w:cs="宋体" w:eastAsia="宋体" w:hint="default"/>
          <w:sz w:val="23"/>
          <w:szCs w:val="23"/>
        </w:rPr>
      </w:pPr>
    </w:p>
    <w:p>
      <w:pPr>
        <w:pStyle w:val="Heading3"/>
        <w:spacing w:line="240" w:lineRule="auto"/>
        <w:ind w:left="330" w:right="1133"/>
        <w:jc w:val="left"/>
        <w:rPr>
          <w:b w:val="0"/>
          <w:bCs w:val="0"/>
        </w:rPr>
      </w:pPr>
      <w:r>
        <w:rPr/>
        <w:t>（</w:t>
      </w:r>
      <w:r>
        <w:rPr>
          <w:rFonts w:ascii="Times New Roman" w:hAnsi="Times New Roman" w:cs="Times New Roman" w:eastAsia="Times New Roman" w:hint="default"/>
        </w:rPr>
        <w:t>2</w:t>
      </w:r>
      <w:r>
        <w:rPr/>
        <w:t>）低值易耗品和包装物的摊销方法</w:t>
      </w:r>
      <w:r>
        <w:rPr>
          <w:b w:val="0"/>
          <w:bCs w:val="0"/>
        </w:rPr>
      </w:r>
    </w:p>
    <w:p>
      <w:pPr>
        <w:pStyle w:val="BodyText"/>
        <w:spacing w:line="240" w:lineRule="auto" w:before="42"/>
        <w:ind w:left="398" w:right="1133"/>
        <w:jc w:val="left"/>
      </w:pPr>
      <w:r>
        <w:rPr/>
        <w:t>低值易耗品和包装材料采用一次转销法。</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6、持有待售资产" w:id="189"/>
      <w:bookmarkEnd w:id="189"/>
      <w:r>
        <w:rPr>
          <w:b w:val="0"/>
          <w:bCs w:val="0"/>
        </w:rPr>
      </w:r>
      <w:r>
        <w:rPr>
          <w:rFonts w:ascii="Times New Roman" w:hAnsi="Times New Roman" w:cs="Times New Roman" w:eastAsia="Times New Roman" w:hint="default"/>
        </w:rPr>
        <w:t>16</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89" w:right="1133"/>
        <w:jc w:val="left"/>
      </w:pPr>
      <w:r>
        <w:rPr/>
        <w:t>本公司将同时满足下列条件的非流动资产或处置组划分为持有待售类别：</w:t>
      </w:r>
    </w:p>
    <w:p>
      <w:pPr>
        <w:pStyle w:val="BodyText"/>
        <w:spacing w:line="240" w:lineRule="auto" w:before="77"/>
        <w:ind w:left="426" w:right="1133"/>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16" w:lineRule="auto" w:before="76"/>
        <w:ind w:right="1123" w:firstLine="274"/>
        <w:jc w:val="left"/>
      </w:pPr>
      <w:r>
        <w:rPr>
          <w:spacing w:val="-2"/>
        </w:rPr>
        <w:t>（</w:t>
      </w:r>
      <w:r>
        <w:rPr>
          <w:rFonts w:ascii="宋体" w:hAnsi="宋体" w:cs="宋体" w:eastAsia="宋体" w:hint="default"/>
          <w:spacing w:val="-2"/>
        </w:rPr>
        <w:t>2</w:t>
      </w:r>
      <w:r>
        <w:rPr>
          <w:spacing w:val="-2"/>
        </w:rPr>
        <w:t>）出售极可能发生，即本公司已经就一项出售计划作出决议且获得确定的购买承诺，预计出售将在一年内完成。有关</w:t>
      </w:r>
      <w:r>
        <w:rPr/>
        <w:t> 规定要求本公司相关权力机构或者监管部门批准后方可出售的，已经获得批准。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7、债权投资" w:id="190"/>
      <w:bookmarkEnd w:id="190"/>
      <w:r>
        <w:rPr>
          <w:b w:val="0"/>
          <w:bCs w:val="0"/>
        </w:rPr>
      </w:r>
      <w:r>
        <w:rPr>
          <w:rFonts w:ascii="Times New Roman" w:hAnsi="Times New Roman" w:cs="Times New Roman" w:eastAsia="Times New Roman" w:hint="default"/>
        </w:rPr>
        <w:t>17</w:t>
      </w:r>
      <w:r>
        <w:rPr/>
        <w:t>、债权投资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18、其他债权投资" w:id="191"/>
      <w:bookmarkEnd w:id="191"/>
      <w:r>
        <w:rPr>
          <w:b w:val="0"/>
          <w:bCs w:val="0"/>
        </w:rPr>
      </w:r>
      <w:r>
        <w:rPr>
          <w:rFonts w:ascii="Times New Roman" w:hAnsi="Times New Roman" w:cs="Times New Roman" w:eastAsia="Times New Roman" w:hint="default"/>
        </w:rPr>
        <w:t>18</w:t>
      </w:r>
      <w:r>
        <w:rPr/>
        <w:t>、其他债权投资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9、长期应收款" w:id="192"/>
      <w:bookmarkEnd w:id="192"/>
      <w:r>
        <w:rPr>
          <w:b w:val="0"/>
          <w:bCs w:val="0"/>
        </w:rPr>
      </w:r>
      <w:r>
        <w:rPr>
          <w:rFonts w:ascii="Times New Roman" w:hAnsi="Times New Roman" w:cs="Times New Roman" w:eastAsia="Times New Roman" w:hint="default"/>
        </w:rPr>
        <w:t>19</w:t>
      </w:r>
      <w:r>
        <w:rPr/>
        <w:t>、长期应收款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0、长期股权投资" w:id="193"/>
      <w:bookmarkEnd w:id="193"/>
      <w:r>
        <w:rPr>
          <w:b w:val="0"/>
          <w:bCs w:val="0"/>
        </w:rPr>
      </w:r>
      <w:r>
        <w:rPr>
          <w:rFonts w:ascii="Times New Roman" w:hAnsi="Times New Roman" w:cs="Times New Roman" w:eastAsia="Times New Roman" w:hint="default"/>
        </w:rPr>
        <w:t>20</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19" w:right="1133"/>
        <w:jc w:val="left"/>
        <w:rPr>
          <w:b w:val="0"/>
          <w:bCs w:val="0"/>
        </w:rPr>
      </w:pPr>
      <w:r>
        <w:rPr/>
        <w:t>（</w:t>
      </w:r>
      <w:r>
        <w:rPr>
          <w:rFonts w:ascii="Times New Roman" w:hAnsi="Times New Roman" w:cs="Times New Roman" w:eastAsia="Times New Roman" w:hint="default"/>
        </w:rPr>
        <w:t>1</w:t>
      </w:r>
      <w:r>
        <w:rPr/>
        <w:t>）共同控制、重大影响的判断标准</w:t>
      </w:r>
      <w:r>
        <w:rPr>
          <w:b w:val="0"/>
          <w:bCs w:val="0"/>
        </w:rPr>
      </w:r>
    </w:p>
    <w:p>
      <w:pPr>
        <w:pStyle w:val="BodyText"/>
        <w:spacing w:line="319" w:lineRule="auto" w:before="42"/>
        <w:ind w:right="1132" w:firstLine="336"/>
        <w:jc w:val="both"/>
      </w:pPr>
      <w:r>
        <w:rPr>
          <w:spacing w:val="-2"/>
        </w:rPr>
        <w:t>共同控制，是指按照相关约定对某项安排所共有的控制，并且该安排的相关活动必须经过分享控制权的参与方一致同意</w:t>
      </w:r>
      <w:r>
        <w:rPr/>
        <w:t> </w:t>
      </w: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7"/>
        <w:ind w:right="1132" w:firstLine="288"/>
        <w:jc w:val="both"/>
      </w:pPr>
      <w:r>
        <w:rPr>
          <w:spacing w:val="-1"/>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spacing w:line="240" w:lineRule="auto" w:before="9"/>
        <w:rPr>
          <w:rFonts w:ascii="宋体" w:hAnsi="宋体" w:cs="宋体" w:eastAsia="宋体" w:hint="default"/>
          <w:sz w:val="23"/>
          <w:szCs w:val="23"/>
        </w:rPr>
      </w:pPr>
    </w:p>
    <w:p>
      <w:pPr>
        <w:pStyle w:val="Heading3"/>
        <w:spacing w:line="240" w:lineRule="auto"/>
        <w:ind w:left="419" w:right="1133"/>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316" w:lineRule="auto" w:before="42"/>
        <w:ind w:left="515" w:right="1123" w:hanging="27"/>
        <w:jc w:val="left"/>
      </w:pPr>
      <w:r>
        <w:rPr>
          <w:rFonts w:ascii="宋体" w:hAnsi="宋体" w:cs="宋体" w:eastAsia="宋体"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9" w:lineRule="auto" w:before="19"/>
        <w:ind w:right="0"/>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2"/>
        </w:rPr>
        <w:t> </w:t>
      </w:r>
      <w:r>
        <w:rPr>
          <w:spacing w:val="-62"/>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7"/>
        <w:ind w:right="1132" w:firstLine="362"/>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6" w:lineRule="auto" w:before="19"/>
        <w:ind w:left="515" w:right="3011"/>
        <w:jc w:val="left"/>
      </w:pPr>
      <w:r>
        <w:rPr>
          <w:rFonts w:ascii="宋体" w:hAnsi="宋体" w:cs="宋体" w:eastAsia="宋体"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9" w:lineRule="auto" w:before="19"/>
        <w:ind w:right="1129" w:firstLine="362"/>
        <w:jc w:val="both"/>
      </w:pPr>
      <w:r>
        <w:rPr>
          <w:spacing w:val="-2"/>
        </w:rPr>
        <w:t>在非货币性资产交换具有商业实质，且换入资产或换出资产的公允价值能够可靠计量时，以公允价值为基础计量。如换</w:t>
      </w:r>
      <w:r>
        <w:rPr/>
        <w:t> </w:t>
      </w:r>
      <w:r>
        <w:rPr>
          <w:spacing w:val="-2"/>
        </w:rPr>
        <w:t>入资产和换出资产的公允价值均能可靠计量的，对于换入的长期股权投资，以换出资产的公允价值和应支付的相关税费作为</w:t>
      </w:r>
      <w:r>
        <w:rPr>
          <w:spacing w:val="-64"/>
        </w:rPr>
        <w:t> </w:t>
      </w:r>
      <w:r>
        <w:rPr>
          <w:spacing w:val="-64"/>
        </w:rPr>
      </w:r>
      <w:r>
        <w:rPr>
          <w:spacing w:val="-2"/>
        </w:rPr>
        <w:t>换入的长期股权投资的初始投资成本，除非有确凿证据表明换入资产的公允价值更加可靠。非货币性资产交换不具有商业实</w:t>
      </w:r>
      <w:r>
        <w:rPr>
          <w:spacing w:val="-64"/>
        </w:rPr>
        <w:t> </w:t>
      </w:r>
      <w:r>
        <w:rPr>
          <w:spacing w:val="-64"/>
        </w:rPr>
      </w:r>
      <w:r>
        <w:rPr>
          <w:spacing w:val="-2"/>
        </w:rPr>
        <w:t>质，或换入资产和换出资产的公允价值均不能可靠计量的，对于换入的长期股权投资，以换出资产的账面价值和应支付的相</w:t>
      </w:r>
      <w:r>
        <w:rPr>
          <w:spacing w:val="-62"/>
        </w:rPr>
        <w:t> </w:t>
      </w:r>
      <w:r>
        <w:rPr>
          <w:spacing w:val="-62"/>
        </w:rPr>
      </w:r>
      <w:r>
        <w:rPr/>
        <w:t>关税费作为换入长期股权投资的初始投资成本。</w:t>
      </w:r>
    </w:p>
    <w:p>
      <w:pPr>
        <w:pStyle w:val="BodyText"/>
        <w:spacing w:line="316" w:lineRule="auto" w:before="17"/>
        <w:ind w:right="1041" w:firstLine="274"/>
        <w:jc w:val="both"/>
      </w:pPr>
      <w:r>
        <w:rPr>
          <w:spacing w:val="-2"/>
        </w:rPr>
        <w:t>通过债务重组取得的长期股权投资，以所放弃债权的公允价值和可直接归属于该资产的税金等其他成本确定其入账价值，</w:t>
      </w:r>
      <w:r>
        <w:rPr/>
        <w:t> 并将所放弃债权的公允</w:t>
      </w:r>
      <w:r>
        <w:rPr>
          <w:spacing w:val="1"/>
        </w:rPr>
        <w:t> </w:t>
      </w:r>
      <w:r>
        <w:rPr/>
        <w:t>价值与账面价值之间的差额，计入当期损益。</w:t>
      </w:r>
    </w:p>
    <w:p>
      <w:pPr>
        <w:spacing w:line="240" w:lineRule="auto" w:before="9"/>
        <w:rPr>
          <w:rFonts w:ascii="宋体" w:hAnsi="宋体" w:cs="宋体" w:eastAsia="宋体" w:hint="default"/>
          <w:sz w:val="23"/>
          <w:szCs w:val="23"/>
        </w:rPr>
      </w:pPr>
    </w:p>
    <w:p>
      <w:pPr>
        <w:pStyle w:val="Heading3"/>
        <w:spacing w:line="240" w:lineRule="auto"/>
        <w:ind w:left="419" w:right="1133"/>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BodyText"/>
        <w:spacing w:line="316" w:lineRule="auto" w:before="42"/>
        <w:ind w:left="592" w:right="1134" w:firstLine="64"/>
        <w:jc w:val="left"/>
      </w:pPr>
      <w:r>
        <w:rPr>
          <w:rFonts w:ascii="宋体" w:hAnsi="宋体" w:cs="宋体" w:eastAsia="宋体" w:hint="default"/>
        </w:rPr>
        <w:t>1</w:t>
      </w:r>
      <w:r>
        <w:rPr/>
        <w:t>）成本法核算的长期股权投资 公司对子公司的长期股权投资，采用成本法核算。除取得投资时实际支付的价款或对价中包含的已宣告但尚未发放的</w:t>
      </w:r>
    </w:p>
    <w:p>
      <w:pPr>
        <w:pStyle w:val="BodyText"/>
        <w:spacing w:line="316" w:lineRule="auto" w:before="19"/>
        <w:ind w:left="592" w:right="1134" w:hanging="363"/>
        <w:jc w:val="left"/>
      </w:pPr>
      <w:r>
        <w:rPr/>
        <w:t>现金股利或利润外，公司按照享有被投资单位宣告发放的现金股利或利润确认当期投资收益。 </w:t>
      </w:r>
      <w:r>
        <w:rPr>
          <w:rFonts w:ascii="宋体" w:hAnsi="宋体" w:cs="宋体" w:eastAsia="宋体" w:hint="default"/>
        </w:rPr>
        <w:t>2</w:t>
      </w:r>
      <w:r>
        <w:rPr/>
        <w:t>）权益法核算的长期股权投资 对联营企业和合营企业的长期股权投资，采用权益法核算。初始投资成本大于投资时应享有被投资单位可辨认净资产</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left="229" w:right="1133"/>
        <w:jc w:val="left"/>
      </w:pPr>
      <w:r>
        <w:rPr/>
        <w:t>公允价值份额的差额，不调整长期股权投资的初始投资成本；初始投资成本小于投资时应享有被投资单位可辨认净资产公</w:t>
      </w:r>
      <w:r>
        <w:rPr>
          <w:spacing w:val="-75"/>
        </w:rPr>
        <w:t> </w:t>
      </w:r>
      <w:r>
        <w:rPr>
          <w:spacing w:val="-75"/>
        </w:rPr>
      </w:r>
      <w:r>
        <w:rPr/>
        <w:t>允价值份额的差额，计入当期损益。</w:t>
      </w:r>
    </w:p>
    <w:p>
      <w:pPr>
        <w:pStyle w:val="BodyText"/>
        <w:spacing w:line="316" w:lineRule="auto" w:before="17"/>
        <w:ind w:left="229" w:right="1134" w:firstLine="362"/>
        <w:jc w:val="both"/>
      </w:pPr>
      <w:r>
        <w:rPr/>
        <w:t>公司按照应享有或应分担的被投资单位实现的净损益和其他综合收益的份额，分别确认投资收益和其他综合收益，同 时调整长期股权投资的账面价值；按照被投资单位宣告分派的利润或现金股利计算应享有的部分，相应减少长期股权投资</w:t>
      </w:r>
      <w:r>
        <w:rPr>
          <w:spacing w:val="-72"/>
        </w:rPr>
        <w:t> </w:t>
      </w:r>
      <w:r>
        <w:rPr>
          <w:spacing w:val="-72"/>
        </w:rPr>
      </w:r>
      <w:r>
        <w:rPr/>
        <w:t>的账面价值；对于被投资单位除净损益、其他综合收益和利润分配以外所有者权益的其他变动，调整长期股权投资的账面</w:t>
      </w:r>
      <w:r>
        <w:rPr>
          <w:spacing w:val="-75"/>
        </w:rPr>
        <w:t> </w:t>
      </w:r>
      <w:r>
        <w:rPr>
          <w:spacing w:val="-75"/>
        </w:rPr>
      </w:r>
      <w:r>
        <w:rPr/>
        <w:t>价值并计入所有者权益。</w:t>
      </w:r>
    </w:p>
    <w:p>
      <w:pPr>
        <w:pStyle w:val="BodyText"/>
        <w:spacing w:line="316" w:lineRule="auto" w:before="19"/>
        <w:ind w:left="229" w:right="1136" w:firstLine="362"/>
        <w:jc w:val="both"/>
      </w:pPr>
      <w:r>
        <w:rPr/>
        <w:t>在确认应享有被投资单位净损益的份额时，以取得投资时被投资单位可辨认净资产的公允价值为基础，并按照公司的 会计政策及会计期间，对被投资单位的净利润进行调整后确认。在持有投资期间，被投资单位编制合并财务报表的，以合</w:t>
      </w:r>
      <w:r>
        <w:rPr>
          <w:spacing w:val="-75"/>
        </w:rPr>
        <w:t> </w:t>
      </w:r>
      <w:r>
        <w:rPr>
          <w:spacing w:val="-75"/>
        </w:rPr>
      </w:r>
      <w:r>
        <w:rPr/>
        <w:t>并财务报表中的净利润、其他综合收益和其他所有者权益变动中归属于被投资单位的金额为基础进行核算。</w:t>
      </w:r>
    </w:p>
    <w:p>
      <w:pPr>
        <w:pStyle w:val="BodyText"/>
        <w:spacing w:line="319" w:lineRule="auto" w:before="19"/>
        <w:ind w:left="229" w:right="1134" w:firstLine="362"/>
        <w:jc w:val="both"/>
      </w:pPr>
      <w:r>
        <w:rPr/>
        <w:t>公司与联营企业、合营企业之间发生的未实现内部交易损益按照应享有的比例计算归属于公司的部分，予以抵销，在 此基础上确认投资收益。与被投资单位发生的未实现内部交易损失，属于资产减值损失的，全额确认。公司与联营企业、</w:t>
      </w:r>
      <w:r>
        <w:rPr>
          <w:spacing w:val="-75"/>
        </w:rPr>
        <w:t> </w:t>
      </w:r>
      <w:r>
        <w:rPr>
          <w:spacing w:val="-75"/>
        </w:rPr>
      </w:r>
      <w:r>
        <w:rPr/>
        <w:t>合营企业之间发生投出或出售资产的交易，该资产构成业务的，按照本附注“同一控制下和非同一控制下企业合并的会计</w:t>
      </w:r>
      <w:r>
        <w:rPr>
          <w:spacing w:val="-73"/>
        </w:rPr>
        <w:t> </w:t>
      </w:r>
      <w:r>
        <w:rPr>
          <w:spacing w:val="-73"/>
        </w:rPr>
      </w:r>
      <w:r>
        <w:rPr/>
        <w:t>处理方法”和“合并财务报表的编制方法”中披露的相关政策进行会计处理。</w:t>
      </w:r>
    </w:p>
    <w:p>
      <w:pPr>
        <w:pStyle w:val="BodyText"/>
        <w:spacing w:line="316" w:lineRule="auto" w:before="17"/>
        <w:ind w:left="229" w:right="1135" w:firstLine="362"/>
        <w:jc w:val="both"/>
      </w:pPr>
      <w:r>
        <w:rPr/>
        <w:t>在公司确认应分担被投资单位发生的亏损时，按照以下顺序进行处理：首先，冲减长期股权投资的账面价值。其次， 长期股权投资的账面价值不足以冲减的，以其他实质上构成对被投资单位净投资的长期权益（提示：应明确该等长期权益</w:t>
      </w:r>
      <w:r>
        <w:rPr>
          <w:spacing w:val="-73"/>
        </w:rPr>
        <w:t> </w:t>
      </w:r>
      <w:r>
        <w:rPr>
          <w:spacing w:val="-73"/>
        </w:rPr>
      </w:r>
      <w:r>
        <w:rPr/>
        <w:t>的具体内容和认定标准）账面价值为限继续确认投资损失，冲减长期应收项目等的账面价值。最后，经过上述处理，按照</w:t>
      </w:r>
      <w:r>
        <w:rPr>
          <w:spacing w:val="-75"/>
        </w:rPr>
        <w:t> </w:t>
      </w:r>
      <w:r>
        <w:rPr>
          <w:spacing w:val="-75"/>
        </w:rPr>
      </w:r>
      <w:r>
        <w:rPr/>
        <w:t>投资合同或协议约定企业仍承担额外义务的，按预计承担的义务确认预计负债，计入当期投资损失。</w:t>
      </w:r>
    </w:p>
    <w:p>
      <w:pPr>
        <w:pStyle w:val="BodyText"/>
        <w:spacing w:line="316" w:lineRule="auto" w:before="19"/>
        <w:ind w:left="592" w:right="4554"/>
        <w:jc w:val="left"/>
      </w:pPr>
      <w:r>
        <w:rPr>
          <w:rFonts w:ascii="宋体" w:hAnsi="宋体" w:cs="宋体" w:eastAsia="宋体" w:hint="default"/>
        </w:rPr>
        <w:t>3</w:t>
      </w:r>
      <w:r>
        <w:rPr/>
        <w:t>）长期股权投资的处置 处置长期股权投资，其账面价值与实际取得价款的差额，计入当期损益。</w:t>
      </w:r>
    </w:p>
    <w:p>
      <w:pPr>
        <w:pStyle w:val="BodyText"/>
        <w:spacing w:line="316" w:lineRule="auto" w:before="19"/>
        <w:ind w:right="1132" w:firstLine="362"/>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3"/>
        </w:rPr>
        <w:t> </w:t>
      </w:r>
      <w:r>
        <w:rPr>
          <w:spacing w:val="-63"/>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9" w:lineRule="auto" w:before="19"/>
        <w:ind w:right="1034" w:firstLine="362"/>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r>
        <w:rPr/>
        <w:t>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7"/>
        <w:ind w:right="1130" w:firstLine="362"/>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3"/>
        </w:rPr>
        <w:t> </w:t>
      </w:r>
      <w:r>
        <w:rPr>
          <w:spacing w:val="-63"/>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9"/>
        <w:ind w:right="1132" w:firstLine="362"/>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21、投资性房地产" w:id="194"/>
      <w:bookmarkEnd w:id="194"/>
      <w:r>
        <w:rPr>
          <w:b w:val="0"/>
          <w:bCs w:val="0"/>
        </w:rPr>
      </w:r>
      <w:r>
        <w:rPr>
          <w:rFonts w:ascii="Times New Roman" w:hAnsi="Times New Roman" w:cs="Times New Roman" w:eastAsia="Times New Roman" w:hint="default"/>
        </w:rPr>
        <w:t>21</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954"/>
        <w:jc w:val="left"/>
      </w:pPr>
      <w:r>
        <w:rPr/>
        <w:t>投资性房地产计量模式 成本法计量 折旧或摊销方法</w:t>
      </w:r>
    </w:p>
    <w:p>
      <w:pPr>
        <w:pStyle w:val="BodyText"/>
        <w:spacing w:line="316" w:lineRule="auto" w:before="25"/>
        <w:ind w:right="1131" w:firstLine="336"/>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33" w:firstLine="288"/>
        <w:jc w:val="left"/>
      </w:pPr>
      <w:r>
        <w:rPr>
          <w:spacing w:val="-1"/>
        </w:rPr>
        <w:t>本公司对现有投资性房地产采用成本模式计量。对按照成本模式计量的投资性房地产－出租用建筑物采用与本公司固定</w:t>
      </w:r>
      <w:r>
        <w:rPr/>
        <w:t> 资产相同的折旧政策，出租用土地使用权按与无形资产相同的摊销政策执行。</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22、固定资产" w:id="195"/>
      <w:bookmarkEnd w:id="195"/>
      <w:r>
        <w:rPr>
          <w:b w:val="0"/>
          <w:bCs w:val="0"/>
        </w:rPr>
      </w:r>
      <w:r>
        <w:rPr>
          <w:rFonts w:ascii="Times New Roman" w:hAnsi="Times New Roman" w:cs="Times New Roman" w:eastAsia="Times New Roman" w:hint="default"/>
        </w:rPr>
        <w:t>22</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确认条件" w:id="196"/>
      <w:bookmarkEnd w:id="19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0" w:firstLine="454"/>
        <w:jc w:val="left"/>
      </w:pPr>
      <w:r>
        <w:rPr/>
        <w:t>固定资产指为生产商品、提供劳务、出租或经营管理而持有，并且使用寿命超过一个会计年度的有形资产。固定资产 在同时满足下列条件时予以确认：</w:t>
      </w:r>
    </w:p>
    <w:p>
      <w:pPr>
        <w:pStyle w:val="BodyText"/>
        <w:spacing w:line="240" w:lineRule="auto" w:before="59"/>
        <w:ind w:left="604" w:right="1133"/>
        <w:jc w:val="left"/>
      </w:pPr>
      <w:r>
        <w:rPr>
          <w:rFonts w:ascii="宋体" w:hAnsi="宋体" w:cs="宋体" w:eastAsia="宋体" w:hint="default"/>
        </w:rPr>
        <w:t>1</w:t>
      </w:r>
      <w:r>
        <w:rPr/>
        <w:t>）与该固定资产有关的经济利益很可能流入企业；</w:t>
      </w:r>
    </w:p>
    <w:p>
      <w:pPr>
        <w:pStyle w:val="BodyText"/>
        <w:spacing w:line="240" w:lineRule="auto" w:before="115"/>
        <w:ind w:left="604" w:right="1133"/>
        <w:jc w:val="left"/>
      </w:pPr>
      <w:r>
        <w:rPr>
          <w:rFonts w:ascii="宋体" w:hAnsi="宋体" w:cs="宋体" w:eastAsia="宋体" w:hint="default"/>
        </w:rPr>
        <w:t>2</w:t>
      </w:r>
      <w:r>
        <w:rPr/>
        <w:t>）该固定资产的成本能够可靠地计量。</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2）折旧方法" w:id="197"/>
      <w:bookmarkEnd w:id="19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6.47%-2.77%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24.25%-12.13%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32.33%-12.13%</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3）融资租入固定资产的认定依据、计价和折旧方法" w:id="198"/>
      <w:bookmarkEnd w:id="19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5" w:right="3460" w:firstLine="91"/>
        <w:jc w:val="left"/>
      </w:pPr>
      <w:r>
        <w:rPr/>
        <w:t>公司与租赁方所签订的租赁协议条款中规定了下列条件之一的，确认为融资租入资产： </w:t>
      </w:r>
      <w:r>
        <w:rPr>
          <w:rFonts w:ascii="宋体" w:hAnsi="宋体" w:cs="宋体" w:eastAsia="宋体" w:hint="default"/>
        </w:rPr>
        <w:t>1</w:t>
      </w:r>
      <w:r>
        <w:rPr/>
        <w:t>）租赁期满后租赁资产的所有权归属于本公司；</w:t>
      </w:r>
    </w:p>
    <w:p>
      <w:pPr>
        <w:pStyle w:val="BodyText"/>
        <w:spacing w:line="240" w:lineRule="auto" w:before="29"/>
        <w:ind w:left="498" w:right="1133"/>
        <w:jc w:val="left"/>
      </w:pPr>
      <w:r>
        <w:rPr>
          <w:rFonts w:ascii="宋体" w:hAnsi="宋体" w:cs="宋体" w:eastAsia="宋体" w:hint="default"/>
        </w:rPr>
        <w:t>2</w:t>
      </w:r>
      <w:r>
        <w:rPr/>
        <w:t>）公司具有购买资产的选择权，购买价款远低于行使选择权时该资产的公允价值；</w:t>
      </w:r>
    </w:p>
    <w:p>
      <w:pPr>
        <w:pStyle w:val="BodyText"/>
        <w:spacing w:line="240" w:lineRule="auto" w:before="117"/>
        <w:ind w:left="498" w:right="1133"/>
        <w:jc w:val="left"/>
      </w:pPr>
      <w:r>
        <w:rPr>
          <w:rFonts w:ascii="宋体" w:hAnsi="宋体" w:cs="宋体" w:eastAsia="宋体" w:hint="default"/>
        </w:rPr>
        <w:t>3</w:t>
      </w:r>
      <w:r>
        <w:rPr/>
        <w:t>）租赁期占所租赁资产使用寿命的大部分；</w:t>
      </w:r>
    </w:p>
    <w:p>
      <w:pPr>
        <w:pStyle w:val="BodyText"/>
        <w:spacing w:line="360" w:lineRule="auto" w:before="115"/>
        <w:ind w:left="498" w:right="1123"/>
        <w:jc w:val="left"/>
      </w:pPr>
      <w:r>
        <w:rPr>
          <w:rFonts w:ascii="宋体" w:hAnsi="宋体" w:cs="宋体" w:eastAsia="宋体" w:hint="default"/>
        </w:rPr>
        <w:t>4</w:t>
      </w:r>
      <w:r>
        <w:rPr/>
        <w:t>）租赁开始日的最低租赁付款额现值，与该资产的公允价值不存在较大的差异。 </w:t>
      </w:r>
      <w:r>
        <w:rPr>
          <w:spacing w:val="-2"/>
        </w:rPr>
        <w:t>公司在承租开始日，将租赁资产公允价值与最低租赁付款额现值两者中较低者作为租入资产的入账价值，将最低租赁付</w:t>
      </w:r>
    </w:p>
    <w:p>
      <w:pPr>
        <w:pStyle w:val="BodyText"/>
        <w:spacing w:line="222" w:lineRule="exact"/>
        <w:ind w:right="1133"/>
        <w:jc w:val="left"/>
      </w:pPr>
      <w:r>
        <w:rPr/>
        <w:t>款额作为长期应付款的入账价值，其差额作为未确认的融资费。</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3、在建工程" w:id="199"/>
      <w:bookmarkEnd w:id="199"/>
      <w:r>
        <w:rPr>
          <w:b w:val="0"/>
          <w:bCs w:val="0"/>
        </w:rPr>
      </w:r>
      <w:r>
        <w:rPr>
          <w:rFonts w:ascii="Times New Roman" w:hAnsi="Times New Roman" w:cs="Times New Roman" w:eastAsia="Times New Roman" w:hint="default"/>
        </w:rPr>
        <w:t>23</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1" w:firstLine="336"/>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成本等，按估计的价值转入固定资产，并按本公司固定资产折旧政策计提固定资产的折旧，待办理竣工决算后，再按实际成</w:t>
      </w:r>
      <w:r>
        <w:rPr>
          <w:spacing w:val="-64"/>
        </w:rPr>
        <w:t> </w:t>
      </w:r>
      <w:r>
        <w:rPr>
          <w:spacing w:val="-64"/>
        </w:rPr>
      </w:r>
      <w:r>
        <w:rPr/>
        <w:t>本调整原来的暂估价值，但不调整原已计提的折旧额。</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24、借款费用" w:id="200"/>
      <w:bookmarkEnd w:id="200"/>
      <w:r>
        <w:rPr>
          <w:b w:val="0"/>
          <w:bCs w:val="0"/>
        </w:rPr>
      </w:r>
      <w:r>
        <w:rPr>
          <w:rFonts w:ascii="Times New Roman" w:hAnsi="Times New Roman" w:cs="Times New Roman" w:eastAsia="Times New Roman" w:hint="default"/>
        </w:rPr>
        <w:t>24</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95" w:lineRule="auto"/>
        <w:ind w:left="489" w:right="1133" w:hanging="70"/>
        <w:jc w:val="left"/>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35"/>
        <w:ind w:left="515" w:right="1133" w:hanging="363"/>
        <w:jc w:val="left"/>
      </w:pPr>
      <w:r>
        <w:rPr/>
        <w:t>借款费用，在发生时根据其发生额确认为费用，计入当期损益。 符合资本化条件的资产，是指需要经过相当长时间的购建或者生产活动才能达到预定可使用或者可销售状态的固定资</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left="515" w:right="6971" w:hanging="363"/>
        <w:jc w:val="left"/>
      </w:pPr>
      <w:r>
        <w:rPr/>
        <w:t>产、投资性房地产和存货等资产。 借款费用同时满足下列条件时开始资本化：</w:t>
      </w:r>
    </w:p>
    <w:p>
      <w:pPr>
        <w:pStyle w:val="BodyText"/>
        <w:spacing w:line="316" w:lineRule="auto" w:before="17"/>
        <w:ind w:right="1122" w:firstLine="362"/>
        <w:jc w:val="left"/>
      </w:pPr>
      <w:r>
        <w:rPr>
          <w:rFonts w:ascii="宋体" w:hAnsi="宋体" w:cs="宋体" w:eastAsia="宋体" w:hint="default"/>
        </w:rPr>
        <w:t>1</w:t>
      </w:r>
      <w:r>
        <w:rPr/>
        <w:t>）资产支出已经发生，资产支出包括为购建或者生产符合资本化条件的资产而以支付现金、转移非现金资产或者承担 带息债务形式发生的支出；</w:t>
      </w:r>
    </w:p>
    <w:p>
      <w:pPr>
        <w:pStyle w:val="BodyText"/>
        <w:spacing w:line="240" w:lineRule="auto" w:before="19"/>
        <w:ind w:left="515" w:right="1133"/>
        <w:jc w:val="left"/>
      </w:pPr>
      <w:r>
        <w:rPr>
          <w:rFonts w:ascii="宋体" w:hAnsi="宋体" w:cs="宋体" w:eastAsia="宋体" w:hint="default"/>
        </w:rPr>
        <w:t>2</w:t>
      </w:r>
      <w:r>
        <w:rPr/>
        <w:t>）借款费用已经发生；</w:t>
      </w:r>
    </w:p>
    <w:p>
      <w:pPr>
        <w:pStyle w:val="BodyText"/>
        <w:spacing w:line="240" w:lineRule="auto" w:before="76"/>
        <w:ind w:left="515" w:right="1133"/>
        <w:jc w:val="left"/>
      </w:pPr>
      <w:r>
        <w:rPr>
          <w:rFonts w:ascii="宋体" w:hAnsi="宋体" w:cs="宋体" w:eastAsia="宋体"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295" w:lineRule="auto" w:before="132"/>
        <w:ind w:left="441" w:right="1133" w:hanging="82"/>
        <w:jc w:val="left"/>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BodyText"/>
        <w:spacing w:line="316" w:lineRule="auto" w:before="35"/>
        <w:ind w:left="441" w:right="1133"/>
        <w:jc w:val="left"/>
      </w:pPr>
      <w:r>
        <w:rPr/>
        <w:t>当购建或者生产符合资本化条件的资产中部分项目分别完工且可单独使用时，该部分资产借款费用停止资本化。 </w:t>
      </w:r>
      <w:r>
        <w:rPr>
          <w:spacing w:val="-1"/>
        </w:rPr>
        <w:t>购建或者生产的资产的各部分分别完工，但必须等到整体完工后才可使用或可对外销售的，在该资产整体完工时停止借</w:t>
      </w:r>
    </w:p>
    <w:p>
      <w:pPr>
        <w:pStyle w:val="BodyText"/>
        <w:spacing w:line="240" w:lineRule="auto" w:before="19"/>
        <w:ind w:right="1133"/>
        <w:jc w:val="left"/>
      </w:pPr>
      <w:r>
        <w:rPr/>
        <w:t>款费用资本化。</w:t>
      </w:r>
    </w:p>
    <w:p>
      <w:pPr>
        <w:spacing w:line="240" w:lineRule="auto" w:before="0"/>
        <w:rPr>
          <w:rFonts w:ascii="宋体" w:hAnsi="宋体" w:cs="宋体" w:eastAsia="宋体" w:hint="default"/>
          <w:sz w:val="18"/>
          <w:szCs w:val="18"/>
        </w:rPr>
      </w:pPr>
    </w:p>
    <w:p>
      <w:pPr>
        <w:pStyle w:val="Heading3"/>
        <w:spacing w:line="240" w:lineRule="auto" w:before="132"/>
        <w:ind w:left="419" w:right="1133"/>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pStyle w:val="BodyText"/>
        <w:spacing w:line="316" w:lineRule="auto" w:before="42"/>
        <w:ind w:right="0" w:firstLine="336"/>
        <w:jc w:val="left"/>
      </w:pP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9"/>
        <w:rPr>
          <w:rFonts w:ascii="宋体" w:hAnsi="宋体" w:cs="宋体" w:eastAsia="宋体" w:hint="default"/>
          <w:sz w:val="23"/>
          <w:szCs w:val="23"/>
        </w:rPr>
      </w:pPr>
    </w:p>
    <w:p>
      <w:pPr>
        <w:pStyle w:val="Heading3"/>
        <w:spacing w:line="240" w:lineRule="auto"/>
        <w:ind w:left="419" w:right="1133"/>
        <w:jc w:val="left"/>
        <w:rPr>
          <w:b w:val="0"/>
          <w:bCs w:val="0"/>
        </w:rPr>
      </w:pPr>
      <w:r>
        <w:rPr/>
        <w:t>（</w:t>
      </w:r>
      <w:r>
        <w:rPr>
          <w:rFonts w:ascii="Times New Roman" w:hAnsi="Times New Roman" w:cs="Times New Roman" w:eastAsia="Times New Roman" w:hint="default"/>
        </w:rPr>
        <w:t>4</w:t>
      </w:r>
      <w:r>
        <w:rPr/>
        <w:t>）借款费用资本化率、资本化金额的计算方法</w:t>
      </w:r>
      <w:r>
        <w:rPr>
          <w:b w:val="0"/>
          <w:bCs w:val="0"/>
        </w:rPr>
      </w:r>
    </w:p>
    <w:p>
      <w:pPr>
        <w:pStyle w:val="BodyText"/>
        <w:spacing w:line="316" w:lineRule="auto" w:before="42"/>
        <w:ind w:left="229" w:right="1133" w:firstLine="336"/>
        <w:jc w:val="left"/>
      </w:pPr>
      <w:r>
        <w:rPr/>
        <w:t>对于为购建或者生产符合资本化条件的资产而借入的专门借款，以专门借款当期实际发生的借款费用，减去尚未动用 的借款资金存入银行取得的利息收入或进行暂时性投资取得的投资收益后的金额，来确定借款费用的资本化金额。</w:t>
      </w:r>
    </w:p>
    <w:p>
      <w:pPr>
        <w:pStyle w:val="BodyText"/>
        <w:spacing w:line="319" w:lineRule="auto" w:before="19"/>
        <w:ind w:left="229" w:right="1132" w:firstLine="288"/>
        <w:jc w:val="both"/>
      </w:pPr>
      <w:r>
        <w:rPr>
          <w:spacing w:val="-2"/>
        </w:rPr>
        <w:t>对于为购建或者生产符合资本化条件的资产而占用的一般借款，根据累计资产支出超过专门借款部分的资产支出加权平</w:t>
      </w:r>
      <w:r>
        <w:rPr/>
        <w:t> 均数乘以所占用一般借款的资本化率，计算确定一般借款应予资本化的借款费用金额。资本化率根据一般借款加权平均利</w:t>
      </w:r>
      <w:r>
        <w:rPr>
          <w:spacing w:val="-75"/>
        </w:rPr>
        <w:t> </w:t>
      </w:r>
      <w:r>
        <w:rPr>
          <w:spacing w:val="-75"/>
        </w:rPr>
      </w:r>
      <w:r>
        <w:rPr/>
        <w:t>率计算确定。</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25、无形资产" w:id="201"/>
      <w:bookmarkEnd w:id="201"/>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计价方法、使用寿命、减值测试" w:id="202"/>
      <w:bookmarkEnd w:id="20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92" w:right="1133" w:hanging="20"/>
        <w:jc w:val="left"/>
      </w:pPr>
      <w:r>
        <w:rPr>
          <w:rFonts w:ascii="宋体" w:hAnsi="宋体" w:cs="宋体" w:eastAsia="宋体" w:hint="default"/>
        </w:rPr>
        <w:t>1</w:t>
      </w:r>
      <w:r>
        <w:rPr/>
        <w:t>）公司取得无形资产时按成本进行初始计量； 外购无形资产的成本，包括购买价款、相关税费以及直接归属于使该项资产达到预定用途所发生的其他支出。购买无</w:t>
      </w:r>
    </w:p>
    <w:p>
      <w:pPr>
        <w:pStyle w:val="BodyText"/>
        <w:spacing w:line="316" w:lineRule="auto" w:before="19"/>
        <w:ind w:left="592" w:right="1134" w:hanging="363"/>
        <w:jc w:val="left"/>
      </w:pPr>
      <w:r>
        <w:rPr/>
        <w:t>形资产的价款超过正常信用条件延期支付，实质上具有融资性质的，无形资产的成本以购买价款的现值为基础确定。 债务重组取得债务人用以抵债的无形资产，以所放弃债权的公允价值和可直接归属于使该资产达到预定用途所发生的</w:t>
      </w:r>
    </w:p>
    <w:p>
      <w:pPr>
        <w:pStyle w:val="BodyText"/>
        <w:spacing w:line="319" w:lineRule="auto" w:before="19"/>
        <w:ind w:left="592" w:right="1134" w:hanging="363"/>
        <w:jc w:val="left"/>
      </w:pPr>
      <w:r>
        <w:rPr/>
        <w:t>税金等其他成本确定其入账价值，并将所放弃债权的公允价值与账面价值之间的差额，计入当期损益。 在非货币性资产交换具有商业实质，且换入资产或换出资产的公允价值能够可靠计量时，以公允价值为基础计量。如</w:t>
      </w:r>
    </w:p>
    <w:p>
      <w:pPr>
        <w:pStyle w:val="BodyText"/>
        <w:spacing w:line="316" w:lineRule="auto" w:before="17"/>
        <w:ind w:left="229" w:right="0"/>
        <w:jc w:val="left"/>
      </w:pPr>
      <w:r>
        <w:rPr/>
        <w:t>换入资产和换出资产的公允价值均能可靠计量的，对于换入的无形资产，以换出资产的公允价值和应支付的相关税费作为</w:t>
      </w:r>
      <w:r>
        <w:rPr>
          <w:spacing w:val="-73"/>
        </w:rPr>
        <w:t> </w:t>
      </w:r>
      <w:r>
        <w:rPr>
          <w:spacing w:val="-73"/>
        </w:rPr>
      </w:r>
      <w:r>
        <w:rPr>
          <w:spacing w:val="-2"/>
        </w:rPr>
        <w:t>换入的无形资产的初始投资成本，除非有确凿证据表明换入资产的公允价值更加可靠。非货币性资产交换不具有商业实质，</w:t>
      </w:r>
      <w:r>
        <w:rPr>
          <w:spacing w:val="-50"/>
        </w:rPr>
        <w:t> </w:t>
      </w:r>
      <w:r>
        <w:rPr>
          <w:spacing w:val="-50"/>
        </w:rPr>
      </w:r>
      <w:r>
        <w:rPr/>
        <w:t>或换入资产和换出资产的公允价值均不能可靠计量的，对于换入的无形资产，以换出资产的账面价值和应支付的相关税费</w:t>
      </w:r>
      <w:r>
        <w:rPr>
          <w:spacing w:val="-75"/>
        </w:rPr>
        <w:t> </w:t>
      </w:r>
      <w:r>
        <w:rPr>
          <w:spacing w:val="-75"/>
        </w:rPr>
      </w:r>
      <w:r>
        <w:rPr/>
        <w:t>作为换入无形资产的初始投资成本。</w:t>
      </w:r>
    </w:p>
    <w:p>
      <w:pPr>
        <w:pStyle w:val="BodyText"/>
        <w:spacing w:line="316" w:lineRule="auto" w:before="19"/>
        <w:ind w:left="503" w:right="7163" w:hanging="3"/>
        <w:jc w:val="left"/>
      </w:pPr>
      <w:r>
        <w:rPr>
          <w:rFonts w:ascii="宋体" w:hAnsi="宋体" w:cs="宋体" w:eastAsia="宋体" w:hint="default"/>
        </w:rPr>
        <w:t>2</w:t>
      </w:r>
      <w:r>
        <w:rPr/>
        <w:t>）后续计量 在取得无形资产时分析判断其使用寿命。</w:t>
      </w:r>
    </w:p>
    <w:p>
      <w:pPr>
        <w:pStyle w:val="BodyText"/>
        <w:spacing w:line="316" w:lineRule="auto" w:before="19"/>
        <w:ind w:right="1123" w:firstLine="362"/>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left="515" w:right="4451"/>
        <w:jc w:val="left"/>
      </w:pPr>
      <w:r>
        <w:rPr>
          <w:rFonts w:ascii="宋体" w:hAnsi="宋体" w:cs="宋体" w:eastAsia="宋体" w:hint="default"/>
        </w:rPr>
        <w:t>3</w:t>
      </w:r>
      <w:r>
        <w:rPr/>
        <w:t>）使用寿命有限的无形资产的使用寿命估计情况 每年度终了，对使用寿命有限的无形资产的使用寿命及摊销方法进行复核。 经复核，本年期末无形资产的使用寿命及摊销方法与以前估计未有不同。</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2）内部研究开发支出会计政策" w:id="203"/>
      <w:bookmarkEnd w:id="20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spacing w:line="295" w:lineRule="auto" w:before="0"/>
        <w:ind w:left="441" w:right="2725" w:firstLine="67"/>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）划分研究阶段和开发阶段的具体标准</w:t>
      </w:r>
      <w:r>
        <w:rPr>
          <w:rFonts w:ascii="宋体" w:hAnsi="宋体" w:cs="宋体" w:eastAsia="宋体" w:hint="default"/>
          <w:b/>
          <w:bCs/>
          <w:w w:val="100"/>
          <w:sz w:val="21"/>
          <w:szCs w:val="21"/>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35"/>
        <w:ind w:right="1133" w:firstLine="288"/>
        <w:jc w:val="left"/>
      </w:pPr>
      <w:r>
        <w:rPr>
          <w:spacing w:val="-1"/>
        </w:rPr>
        <w:t>开发阶段：在进行商业性生产或使用前，将研究成果或其他知识应用于某项计划或设计，以生产出新的或具有实质性改</w:t>
      </w:r>
      <w:r>
        <w:rPr/>
        <w:t> 进的材料、装置、产品等活动的阶段。</w:t>
      </w:r>
    </w:p>
    <w:p>
      <w:pPr>
        <w:spacing w:line="240" w:lineRule="auto" w:before="10"/>
        <w:rPr>
          <w:rFonts w:ascii="宋体" w:hAnsi="宋体" w:cs="宋体" w:eastAsia="宋体" w:hint="default"/>
          <w:sz w:val="23"/>
          <w:szCs w:val="23"/>
        </w:rPr>
      </w:pPr>
    </w:p>
    <w:p>
      <w:pPr>
        <w:pStyle w:val="Heading3"/>
        <w:spacing w:line="240" w:lineRule="auto"/>
        <w:ind w:left="508" w:right="1133"/>
        <w:jc w:val="left"/>
        <w:rPr>
          <w:b w:val="0"/>
          <w:bCs w:val="0"/>
        </w:rPr>
      </w:pPr>
      <w:r>
        <w:rPr>
          <w:rFonts w:ascii="Times New Roman" w:hAnsi="Times New Roman" w:cs="Times New Roman" w:eastAsia="Times New Roman" w:hint="default"/>
        </w:rPr>
        <w:t>2</w:t>
      </w:r>
      <w:r>
        <w:rPr/>
        <w:t>）开发阶段支出资本化的具体条件</w:t>
      </w:r>
      <w:r>
        <w:rPr>
          <w:b w:val="0"/>
          <w:bCs w:val="0"/>
        </w:rPr>
      </w:r>
    </w:p>
    <w:p>
      <w:pPr>
        <w:pStyle w:val="BodyText"/>
        <w:spacing w:line="240" w:lineRule="auto" w:before="42"/>
        <w:ind w:left="489" w:right="1133"/>
        <w:jc w:val="left"/>
      </w:pPr>
      <w:r>
        <w:rPr/>
        <w:t>开发阶段的支出同时满足下列条件的，确认为无形资产，不能满足下述条件的开发阶段的支出计入当期损益：</w:t>
      </w:r>
    </w:p>
    <w:p>
      <w:pPr>
        <w:pStyle w:val="BodyText"/>
        <w:spacing w:line="240" w:lineRule="auto" w:before="76"/>
        <w:ind w:left="441" w:right="1133"/>
        <w:jc w:val="left"/>
      </w:pPr>
      <w:r>
        <w:rPr/>
        <w:t>①完成该无形资产以使其能够使用或出售在技术上具有可行性；</w:t>
      </w:r>
    </w:p>
    <w:p>
      <w:pPr>
        <w:pStyle w:val="BodyText"/>
        <w:spacing w:line="240" w:lineRule="auto" w:before="76"/>
        <w:ind w:left="441" w:right="1133"/>
        <w:jc w:val="left"/>
      </w:pPr>
      <w:r>
        <w:rPr/>
        <w:t>②具有完成该无形资产并使用或出售的意图</w:t>
      </w:r>
    </w:p>
    <w:p>
      <w:pPr>
        <w:pStyle w:val="BodyText"/>
        <w:spacing w:line="316" w:lineRule="auto" w:before="76"/>
        <w:ind w:right="1133" w:firstLine="288"/>
        <w:jc w:val="left"/>
      </w:pPr>
      <w:r>
        <w:rPr>
          <w:spacing w:val="-1"/>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441" w:right="1133"/>
        <w:jc w:val="left"/>
      </w:pPr>
      <w:r>
        <w:rPr/>
        <w:t>④有足够的技术、财务资源和其他资源支持，以完成该无形资产的开发，并有能力使用或出售该无形资产；</w:t>
      </w:r>
    </w:p>
    <w:p>
      <w:pPr>
        <w:pStyle w:val="BodyText"/>
        <w:spacing w:line="316" w:lineRule="auto" w:before="76"/>
        <w:ind w:left="441" w:right="1133"/>
        <w:jc w:val="left"/>
      </w:pPr>
      <w:r>
        <w:rPr/>
        <w:t>⑤归属于该无形资产开发阶段的支出能够可靠地计量。 </w:t>
      </w:r>
      <w:r>
        <w:rPr>
          <w:spacing w:val="-1"/>
        </w:rPr>
        <w:t>无法区分研究阶段支出和开发阶段支出的，将发生的研发支出全部计入当期损益。研究开发项目在满足上述条件，通过</w:t>
      </w:r>
    </w:p>
    <w:p>
      <w:pPr>
        <w:pStyle w:val="BodyText"/>
        <w:spacing w:line="240" w:lineRule="auto" w:before="19"/>
        <w:ind w:right="1133"/>
        <w:jc w:val="left"/>
      </w:pPr>
      <w:r>
        <w:rPr/>
        <w:t>技术可行性及经济可行性研究，形成项目立项后，且预计带来稳定的经济利益流入，进入开发阶段。</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6、长期资产减值" w:id="204"/>
      <w:bookmarkEnd w:id="204"/>
      <w:r>
        <w:rPr>
          <w:b w:val="0"/>
          <w:bCs w:val="0"/>
        </w:rPr>
      </w:r>
      <w:r>
        <w:rPr>
          <w:rFonts w:ascii="Times New Roman" w:hAnsi="Times New Roman" w:cs="Times New Roman" w:eastAsia="Times New Roman" w:hint="default"/>
        </w:rPr>
        <w:t>26</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36"/>
        <w:jc w:val="both"/>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3"/>
        </w:rPr>
        <w:t> </w:t>
      </w:r>
      <w:r>
        <w:rPr>
          <w:spacing w:val="-63"/>
        </w:rPr>
      </w:r>
      <w:r>
        <w:rPr/>
        <w:t>备并计入减值损失。可收回金额为资产的公允价值减去处置费用后的净额与资产预计未来现金流量的现值两者之间的较高</w:t>
      </w:r>
      <w:r>
        <w:rPr>
          <w:spacing w:val="-11"/>
        </w:rPr>
        <w:t> </w:t>
      </w:r>
      <w:r>
        <w:rPr>
          <w:spacing w:val="-11"/>
        </w:rPr>
      </w:r>
      <w:r>
        <w:rPr>
          <w:spacing w:val="-2"/>
        </w:rPr>
        <w:t>者。资产减值准备按单项资产为基础计算并确认，如果难以对单项资产的可收回金额进行估计的，以该资产所属的资产组确</w:t>
      </w:r>
      <w:r>
        <w:rPr>
          <w:spacing w:val="-63"/>
        </w:rPr>
        <w:t> </w:t>
      </w:r>
      <w:r>
        <w:rPr>
          <w:spacing w:val="-63"/>
        </w:rPr>
      </w:r>
      <w:r>
        <w:rPr/>
        <w:t>定资产组的可收回金额。资产组是能够独立产生现金流入的最小资产组合。</w:t>
      </w:r>
    </w:p>
    <w:p>
      <w:pPr>
        <w:pStyle w:val="BodyText"/>
        <w:spacing w:line="316" w:lineRule="auto" w:before="19"/>
        <w:ind w:left="441" w:right="1105"/>
        <w:jc w:val="left"/>
      </w:pPr>
      <w:r>
        <w:rPr/>
        <w:t>商誉、使用寿命不确定的无形资产、尚未达到可使用状态的无形资产至少在每年年度终了进行减值测试。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1123"/>
        <w:jc w:val="left"/>
      </w:pPr>
      <w:r>
        <w:rPr>
          <w:spacing w:val="-2"/>
        </w:rPr>
        <w:t>难以分摊至相关的资产组的，将其分摊至相关的资产组组合。本公司在分摊商誉的账面价值时，根据相关资产组或资产组组</w:t>
      </w:r>
      <w:r>
        <w:rPr>
          <w:spacing w:val="-63"/>
        </w:rPr>
        <w:t> </w:t>
      </w:r>
      <w:r>
        <w:rPr>
          <w:spacing w:val="-63"/>
        </w:rPr>
      </w:r>
      <w:r>
        <w:rPr/>
        <w:t>合能够从企业合并的协同效应中获得的相对受益情况进行分摊，在此基础上进行商誉减值测试。</w:t>
      </w:r>
    </w:p>
    <w:p>
      <w:pPr>
        <w:pStyle w:val="BodyText"/>
        <w:spacing w:line="319" w:lineRule="auto" w:before="19"/>
        <w:ind w:right="1034" w:firstLine="288"/>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27、长期待摊费用" w:id="205"/>
      <w:bookmarkEnd w:id="205"/>
      <w:r>
        <w:rPr>
          <w:b w:val="0"/>
          <w:bCs w:val="0"/>
        </w:rPr>
      </w:r>
      <w:r>
        <w:rPr>
          <w:rFonts w:ascii="Times New Roman" w:hAnsi="Times New Roman" w:cs="Times New Roman" w:eastAsia="Times New Roman" w:hint="default"/>
        </w:rPr>
        <w:t>27</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41" w:right="3409" w:firstLine="36"/>
        <w:jc w:val="left"/>
      </w:pPr>
      <w:r>
        <w:rPr/>
        <w:t>长期待摊费用为已经发生但应由本期和以后各期负担的分摊期限在一年以上的各项费用。 本公司长期待摊费用包括装修费等，其在受益期内平均摊销。</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28、职工薪酬" w:id="206"/>
      <w:bookmarkEnd w:id="206"/>
      <w:r>
        <w:rPr>
          <w:b w:val="0"/>
          <w:bCs w:val="0"/>
        </w:rPr>
      </w:r>
      <w:r>
        <w:rPr>
          <w:rFonts w:ascii="Times New Roman" w:hAnsi="Times New Roman" w:cs="Times New Roman" w:eastAsia="Times New Roman" w:hint="default"/>
        </w:rPr>
        <w:t>28</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短期薪酬的会计处理方法" w:id="207"/>
      <w:bookmarkEnd w:id="20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441" w:right="1133" w:firstLine="48"/>
        <w:jc w:val="left"/>
      </w:pPr>
      <w:r>
        <w:rPr/>
        <w:t>本公司在职工为本公司提供服务的会计期间，将实际发生的短期薪酬确认为负债，并计入当期损益或相关资产成本。 </w:t>
      </w:r>
      <w:r>
        <w:rPr>
          <w:spacing w:val="-1"/>
        </w:rPr>
        <w:t>本公司为职工缴纳的社会保险费和住房公积金，以及按规定提取的工会经费和职工教育经费，在职工为本公司提供服务</w:t>
      </w:r>
    </w:p>
    <w:p>
      <w:pPr>
        <w:pStyle w:val="BodyText"/>
        <w:spacing w:line="316" w:lineRule="auto" w:before="19"/>
        <w:ind w:left="441" w:right="4634" w:hanging="289"/>
        <w:jc w:val="left"/>
      </w:pPr>
      <w:r>
        <w:rPr/>
        <w:t>的会计期间，根据规定的计提基础和计提比例计算确定相应的职工薪酬金额。 职工福利费为非货币性福利的，如能够可靠计量的，按照公允价值计量。</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离职后福利的会计处理方法" w:id="208"/>
      <w:bookmarkEnd w:id="20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5" w:right="1123" w:hanging="27"/>
        <w:jc w:val="left"/>
      </w:pPr>
      <w:r>
        <w:rPr>
          <w:rFonts w:ascii="宋体" w:hAnsi="宋体" w:cs="宋体" w:eastAsia="宋体" w:hint="default"/>
        </w:rPr>
        <w:t>1</w:t>
      </w:r>
      <w:r>
        <w:rPr/>
        <w:t>）设定提存计划 </w:t>
      </w:r>
      <w:r>
        <w:rPr>
          <w:spacing w:val="-2"/>
        </w:rPr>
        <w:t>本公司按当地政府的相关规定为职工缴纳基本养老保险和失业保险，在职工为本公司提供服务的会计期间，按以当地规</w:t>
      </w:r>
    </w:p>
    <w:p>
      <w:pPr>
        <w:pStyle w:val="BodyText"/>
        <w:spacing w:line="316" w:lineRule="auto" w:before="17"/>
        <w:ind w:left="515" w:right="1123" w:hanging="363"/>
        <w:jc w:val="left"/>
      </w:pPr>
      <w:r>
        <w:rPr/>
        <w:t>定的缴纳基数和比例计算应缴纳金额，确认为负债，并计入当期损益或相关资产成本。 </w:t>
      </w:r>
      <w:r>
        <w:rPr>
          <w:spacing w:val="-2"/>
        </w:rPr>
        <w:t>除基本养老保险外，本公司还依据国家企业年金制度的相关政策建立了企业年金计划。本公司按职工工资总额的一定比</w:t>
      </w:r>
    </w:p>
    <w:p>
      <w:pPr>
        <w:pStyle w:val="BodyText"/>
        <w:spacing w:line="316" w:lineRule="auto" w:before="19"/>
        <w:ind w:left="530" w:right="4004" w:hanging="378"/>
        <w:jc w:val="left"/>
      </w:pPr>
      <w:r>
        <w:rPr/>
        <w:t>例向当地社会保险机构缴费</w:t>
      </w:r>
      <w:r>
        <w:rPr>
          <w:rFonts w:ascii="宋体" w:hAnsi="宋体" w:cs="宋体" w:eastAsia="宋体" w:hint="default"/>
        </w:rPr>
        <w:t>/</w:t>
      </w:r>
      <w:r>
        <w:rPr/>
        <w:t>年金计划缴费，相应支出计入当期损益或相关资产成本。 </w:t>
      </w:r>
      <w:r>
        <w:rPr>
          <w:rFonts w:ascii="宋体" w:hAnsi="宋体" w:cs="宋体" w:eastAsia="宋体" w:hint="default"/>
        </w:rPr>
        <w:t>2</w:t>
      </w:r>
      <w:r>
        <w:rPr/>
        <w:t>）设定受益计划</w:t>
      </w:r>
    </w:p>
    <w:p>
      <w:pPr>
        <w:pStyle w:val="BodyText"/>
        <w:spacing w:line="316" w:lineRule="auto" w:before="19"/>
        <w:ind w:right="1132" w:firstLine="362"/>
        <w:jc w:val="both"/>
      </w:pPr>
      <w:r>
        <w:rPr>
          <w:spacing w:val="-2"/>
        </w:rPr>
        <w:t>本公司根据预期累计福利单位法确定的公式将设定受益计划产生的福利义务归属于职工提供服务的期间，并计入当期损</w:t>
      </w:r>
      <w:r>
        <w:rPr/>
        <w:t> 益或相关资产成本。</w:t>
      </w:r>
    </w:p>
    <w:p>
      <w:pPr>
        <w:pStyle w:val="BodyText"/>
        <w:spacing w:line="316" w:lineRule="auto" w:before="19"/>
        <w:ind w:right="1051" w:firstLine="362"/>
        <w:jc w:val="both"/>
      </w:pPr>
      <w:r>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BodyText"/>
        <w:spacing w:line="316" w:lineRule="auto" w:before="19"/>
        <w:ind w:right="1132" w:firstLine="362"/>
        <w:jc w:val="both"/>
      </w:pPr>
      <w:r>
        <w:rPr>
          <w:spacing w:val="-2"/>
        </w:rPr>
        <w:t>所有设定受益计划义务，包括预期在职工提供服务的年度报告期间结束后的十二个月内支付的义务，根据资产负债表日</w:t>
      </w:r>
      <w:r>
        <w:rPr/>
        <w:t> 与设定受益计划义务期限和币种相匹配的国债或活跃市场上的高质量公司债券的市场收益率予以折现。</w:t>
      </w:r>
    </w:p>
    <w:p>
      <w:pPr>
        <w:pStyle w:val="BodyText"/>
        <w:spacing w:line="319" w:lineRule="auto" w:before="19"/>
        <w:ind w:right="1131" w:firstLine="362"/>
        <w:jc w:val="both"/>
      </w:pPr>
      <w:r>
        <w:rPr>
          <w:spacing w:val="-2"/>
        </w:rPr>
        <w:t>设定受益计划产生的服务成本和设定受益计划净负债或净资产的利息净额计入当期损益或相关资产成本；重新计量设定</w:t>
      </w:r>
      <w:r>
        <w:rPr/>
        <w:t> </w:t>
      </w:r>
      <w:r>
        <w:rPr>
          <w:spacing w:val="-2"/>
        </w:rPr>
        <w:t>受益计划净负债或净资产所产生的变动计入其他综合收益，并且在后续会计期间不转回至损益，在原设定受益计划终止时在</w:t>
      </w:r>
      <w:r>
        <w:rPr>
          <w:spacing w:val="-62"/>
        </w:rPr>
        <w:t> </w:t>
      </w:r>
      <w:r>
        <w:rPr>
          <w:spacing w:val="-62"/>
        </w:rPr>
      </w:r>
      <w:r>
        <w:rPr/>
        <w:t>权益范围内将原计入其他综合收益的部分全部结转至未分配利润。</w:t>
      </w:r>
    </w:p>
    <w:p>
      <w:pPr>
        <w:pStyle w:val="BodyText"/>
        <w:spacing w:line="240" w:lineRule="auto" w:before="17"/>
        <w:ind w:left="515" w:right="1133"/>
        <w:jc w:val="left"/>
      </w:pPr>
      <w:r>
        <w:rPr/>
        <w:t>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辞退福利的会计处理方法" w:id="209"/>
      <w:bookmarkEnd w:id="20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36"/>
        <w:jc w:val="both"/>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其他长期职工福利的会计处理方法" w:id="210"/>
      <w:bookmarkEnd w:id="21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3" w:firstLine="420"/>
        <w:jc w:val="both"/>
      </w:pPr>
      <w:r>
        <w:rPr/>
        <w:t>本公司向职工提供的其他长期职工福利，符合设定提存计划的，按照设定提存计划进行会计处理，除此之外按照设定 受益计划进行会计处理。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9、预计负债" w:id="211"/>
      <w:bookmarkEnd w:id="211"/>
      <w:r>
        <w:rPr>
          <w:b w:val="0"/>
          <w:bCs w:val="0"/>
        </w:rPr>
      </w:r>
      <w:r>
        <w:rPr>
          <w:rFonts w:ascii="Times New Roman" w:hAnsi="Times New Roman" w:cs="Times New Roman" w:eastAsia="Times New Roman" w:hint="default"/>
        </w:rPr>
        <w:t>29</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419" w:right="1133"/>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pStyle w:val="BodyText"/>
        <w:spacing w:line="316" w:lineRule="auto" w:before="42"/>
        <w:ind w:left="784" w:right="1566" w:hanging="264"/>
        <w:jc w:val="left"/>
      </w:pPr>
      <w:r>
        <w:rPr/>
        <w:t>与诉讼、债务担保、亏损合同、重组事项等或有事项相关的义务同时满足下列条件时，本公司确认为预计负债： </w:t>
      </w:r>
      <w:r>
        <w:rPr>
          <w:rFonts w:ascii="宋体" w:hAnsi="宋体" w:cs="宋体" w:eastAsia="宋体" w:hint="default"/>
        </w:rPr>
        <w:t>1</w:t>
      </w:r>
      <w:r>
        <w:rPr/>
        <w:t>）该义务是本公司承担的现时义务；</w:t>
      </w:r>
    </w:p>
    <w:p>
      <w:pPr>
        <w:pStyle w:val="BodyText"/>
        <w:spacing w:line="240" w:lineRule="auto" w:before="18"/>
        <w:ind w:left="784" w:right="1133"/>
        <w:jc w:val="left"/>
      </w:pPr>
      <w:r>
        <w:rPr>
          <w:rFonts w:ascii="宋体" w:hAnsi="宋体" w:cs="宋体" w:eastAsia="宋体" w:hint="default"/>
        </w:rPr>
        <w:t>2</w:t>
      </w:r>
      <w:r>
        <w:rPr/>
        <w:t>）履行该义务很可能导致经济利益流出本公司；</w:t>
      </w:r>
    </w:p>
    <w:p>
      <w:pPr>
        <w:pStyle w:val="BodyText"/>
        <w:spacing w:line="240" w:lineRule="auto" w:before="76"/>
        <w:ind w:left="784" w:right="1133"/>
        <w:jc w:val="left"/>
      </w:pPr>
      <w:r>
        <w:rPr>
          <w:rFonts w:ascii="宋体" w:hAnsi="宋体" w:cs="宋体" w:eastAsia="宋体" w:hint="default"/>
        </w:rPr>
        <w:t>3</w:t>
      </w:r>
      <w:r>
        <w:rPr/>
        <w:t>）该义务的金额能够可靠地计量。</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3"/>
        <w:spacing w:line="240" w:lineRule="auto" w:before="36"/>
        <w:ind w:left="419" w:right="1133"/>
        <w:jc w:val="left"/>
        <w:rPr>
          <w:b w:val="0"/>
          <w:bCs w:val="0"/>
        </w:rPr>
      </w:pPr>
      <w:r>
        <w:rPr/>
        <w:t>（</w:t>
      </w:r>
      <w:r>
        <w:rPr>
          <w:rFonts w:ascii="Times New Roman" w:hAnsi="Times New Roman" w:cs="Times New Roman" w:eastAsia="Times New Roman" w:hint="default"/>
        </w:rPr>
        <w:t>2</w:t>
      </w:r>
      <w:r>
        <w:rPr/>
        <w:t>）各类预计负债的计量方法</w:t>
      </w:r>
      <w:r>
        <w:rPr>
          <w:b w:val="0"/>
          <w:bCs w:val="0"/>
        </w:rPr>
      </w:r>
    </w:p>
    <w:p>
      <w:pPr>
        <w:pStyle w:val="BodyText"/>
        <w:spacing w:line="316" w:lineRule="auto" w:before="42"/>
        <w:ind w:left="441" w:right="1133" w:firstLine="48"/>
        <w:jc w:val="left"/>
      </w:pPr>
      <w:r>
        <w:rPr/>
        <w:t>本公司预计负债按履行相关现时义务所需的支出的最佳估计数进行初始计量。 </w:t>
      </w:r>
      <w:r>
        <w:rPr>
          <w:spacing w:val="-1"/>
        </w:rPr>
        <w:t>本公司在确定最佳估计数时，综合考虑与或有事项有关的风险、不确定性和货币时间价值等因素。对于货币时间价值影</w:t>
      </w:r>
    </w:p>
    <w:p>
      <w:pPr>
        <w:pStyle w:val="BodyText"/>
        <w:spacing w:line="316" w:lineRule="auto" w:before="19"/>
        <w:ind w:left="602" w:right="5534" w:hanging="450"/>
        <w:jc w:val="left"/>
      </w:pPr>
      <w:r>
        <w:rPr/>
        <w:t>响重大的，通过对相关未来现金流出进行折现后确定最佳估计数。 最佳估计数分别以下情况处理：</w:t>
      </w:r>
    </w:p>
    <w:p>
      <w:pPr>
        <w:pStyle w:val="BodyText"/>
        <w:spacing w:line="316" w:lineRule="auto" w:before="19"/>
        <w:ind w:right="1132" w:firstLine="288"/>
        <w:jc w:val="both"/>
      </w:pPr>
      <w:r>
        <w:rPr>
          <w:spacing w:val="-1"/>
        </w:rPr>
        <w:t>所需支出存在一个连续范围（或区间），且该范围内各种结果发生的可能性相同的，则最佳估计数按照该范围的中间值</w:t>
      </w:r>
      <w:r>
        <w:rPr/>
        <w:t> 即上下限金额的平均数确定。</w:t>
      </w:r>
    </w:p>
    <w:p>
      <w:pPr>
        <w:pStyle w:val="BodyText"/>
        <w:spacing w:line="316" w:lineRule="auto" w:before="19"/>
        <w:ind w:right="1128" w:firstLine="288"/>
        <w:jc w:val="both"/>
      </w:pPr>
      <w:r>
        <w:rPr>
          <w:spacing w:val="-1"/>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1"/>
        </w:rPr>
        <w:t> </w:t>
      </w:r>
      <w:r>
        <w:rPr>
          <w:spacing w:val="-61"/>
        </w:rPr>
      </w:r>
      <w:r>
        <w:rPr/>
        <w:t>果及相关概率计算确定。</w:t>
      </w:r>
    </w:p>
    <w:p>
      <w:pPr>
        <w:pStyle w:val="BodyText"/>
        <w:spacing w:line="319" w:lineRule="auto" w:before="19"/>
        <w:ind w:right="1123" w:firstLine="288"/>
        <w:jc w:val="both"/>
      </w:pPr>
      <w:r>
        <w:rPr/>
        <w:t>本公司清偿预计负债所需支出全部或部分预期由第三方补偿的，补偿金额在基本确定能够收到时，作为资产单独确认， 确认的补偿金额不超过预计负债的账面价值。</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30、股份支付" w:id="212"/>
      <w:bookmarkEnd w:id="212"/>
      <w:r>
        <w:rPr>
          <w:b w:val="0"/>
          <w:bCs w:val="0"/>
        </w:rPr>
      </w:r>
      <w:r>
        <w:rPr>
          <w:rFonts w:ascii="Times New Roman" w:hAnsi="Times New Roman" w:cs="Times New Roman" w:eastAsia="Times New Roman" w:hint="default"/>
        </w:rPr>
        <w:t>30</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36"/>
        <w:jc w:val="both"/>
      </w:pPr>
      <w:r>
        <w:rPr>
          <w:spacing w:val="-2"/>
        </w:rPr>
        <w:t>本公司的股份支付是为了获取职工或其他方提供服务而授予权益工具或者承担以权益工具为基础确定的负债的交易。本</w:t>
      </w:r>
      <w:r>
        <w:rPr/>
        <w:t> 公司的股份支付分为以权益结算的股份支付和以现金结算的股份支付。</w:t>
      </w:r>
    </w:p>
    <w:p>
      <w:pPr>
        <w:spacing w:line="240" w:lineRule="auto" w:before="9"/>
        <w:rPr>
          <w:rFonts w:ascii="宋体" w:hAnsi="宋体" w:cs="宋体" w:eastAsia="宋体" w:hint="default"/>
          <w:sz w:val="23"/>
          <w:szCs w:val="23"/>
        </w:rPr>
      </w:pPr>
    </w:p>
    <w:p>
      <w:pPr>
        <w:pStyle w:val="Heading3"/>
        <w:spacing w:line="240" w:lineRule="auto"/>
        <w:ind w:left="419" w:right="1133"/>
        <w:jc w:val="left"/>
        <w:rPr>
          <w:b w:val="0"/>
          <w:bCs w:val="0"/>
        </w:rPr>
      </w:pPr>
      <w:r>
        <w:rPr/>
        <w:t>（</w:t>
      </w:r>
      <w:r>
        <w:rPr>
          <w:rFonts w:ascii="Times New Roman" w:hAnsi="Times New Roman" w:cs="Times New Roman" w:eastAsia="Times New Roman" w:hint="default"/>
        </w:rPr>
        <w:t>1</w:t>
      </w:r>
      <w:r>
        <w:rPr/>
        <w:t>）以权益结算的股份支付及权益工具</w:t>
      </w:r>
      <w:r>
        <w:rPr>
          <w:b w:val="0"/>
          <w:bCs w:val="0"/>
        </w:rPr>
      </w:r>
    </w:p>
    <w:p>
      <w:pPr>
        <w:pStyle w:val="BodyText"/>
        <w:spacing w:line="316" w:lineRule="auto" w:before="42"/>
        <w:ind w:right="1044" w:firstLine="336"/>
        <w:jc w:val="both"/>
      </w:pPr>
      <w:r>
        <w:rPr/>
        <w:t>以权益结算的股份支付换取职工提供服务的，以授予职工权益工具的公允价值计量。本公司以限制性股票进行股份支付 </w:t>
      </w: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3"/>
        </w:rPr>
        <w:t> </w:t>
      </w:r>
      <w:r>
        <w:rPr>
          <w:spacing w:val="-63"/>
        </w:rPr>
      </w:r>
      <w:r>
        <w:rPr>
          <w:spacing w:val="-2"/>
        </w:rPr>
        <w:t>资本公积（股本溢价），同时就回购义务全额确认一项负债并确认库存股。在等待期内每个资产负债表日，本公司根据最新</w:t>
      </w:r>
      <w:r>
        <w:rPr>
          <w:spacing w:val="-65"/>
        </w:rPr>
        <w:t> </w:t>
      </w:r>
      <w:r>
        <w:rPr>
          <w:spacing w:val="-65"/>
        </w:rPr>
      </w:r>
      <w:r>
        <w:rPr>
          <w:spacing w:val="-2"/>
        </w:rPr>
        <w:t>取得的可行权职工人数变动、是否达到规定业绩条件等后续信息对可行权权益工具数量作出最佳估计，以此为基础，按照授</w:t>
      </w:r>
      <w:r>
        <w:rPr>
          <w:spacing w:val="-66"/>
        </w:rPr>
        <w:t> </w:t>
      </w:r>
      <w:r>
        <w:rPr>
          <w:spacing w:val="-66"/>
        </w:rPr>
      </w:r>
      <w:r>
        <w:rPr>
          <w:spacing w:val="-2"/>
        </w:rPr>
        <w:t>予日的公允价值，将当期取得的服务计入相关成本或费用，相应增加资本公积。在可行权日之后不再对已确认的相关成本或</w:t>
      </w:r>
      <w:r>
        <w:rPr>
          <w:spacing w:val="-62"/>
        </w:rPr>
        <w:t> </w:t>
      </w:r>
      <w:r>
        <w:rPr>
          <w:spacing w:val="-62"/>
        </w:rPr>
      </w:r>
      <w:r>
        <w:rPr>
          <w:spacing w:val="-4"/>
        </w:rPr>
        <w:t>费用和所有者权益总额进行调整。但授予后立即可行权的，在授予日按照公允价值计入相关成本或费用，相应增加资本公积。</w:t>
      </w:r>
    </w:p>
    <w:p>
      <w:pPr>
        <w:pStyle w:val="BodyText"/>
        <w:spacing w:line="316" w:lineRule="auto" w:before="19"/>
        <w:ind w:right="1132" w:firstLine="288"/>
        <w:jc w:val="both"/>
      </w:pPr>
      <w:r>
        <w:rPr>
          <w:spacing w:val="-1"/>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right="1132" w:firstLine="288"/>
        <w:jc w:val="both"/>
      </w:pPr>
      <w:r>
        <w:rPr>
          <w:spacing w:val="-1"/>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6" w:lineRule="auto" w:before="19"/>
        <w:ind w:right="1130" w:firstLine="288"/>
        <w:jc w:val="both"/>
      </w:pPr>
      <w:r>
        <w:rPr>
          <w:spacing w:val="-1"/>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4"/>
        </w:rPr>
        <w:t> </w:t>
      </w:r>
      <w:r>
        <w:rPr>
          <w:spacing w:val="-64"/>
        </w:rPr>
      </w:r>
      <w:r>
        <w:rPr/>
        <w:t>益工具授予日认定所授予的新权益工具是用于替代被取消的权益工具的，则以与处理原权益工具条款和条件修改相同的方</w:t>
      </w:r>
      <w:r>
        <w:rPr>
          <w:spacing w:val="-11"/>
        </w:rPr>
        <w:t> </w:t>
      </w:r>
      <w:r>
        <w:rPr>
          <w:spacing w:val="-11"/>
        </w:rPr>
      </w:r>
      <w:r>
        <w:rPr/>
        <w:t>式，对所授予的替代权益工具进行处理。</w:t>
      </w:r>
    </w:p>
    <w:p>
      <w:pPr>
        <w:spacing w:line="240" w:lineRule="auto" w:before="7"/>
        <w:rPr>
          <w:rFonts w:ascii="宋体" w:hAnsi="宋体" w:cs="宋体" w:eastAsia="宋体" w:hint="default"/>
          <w:sz w:val="23"/>
          <w:szCs w:val="23"/>
        </w:rPr>
      </w:pPr>
    </w:p>
    <w:p>
      <w:pPr>
        <w:pStyle w:val="Heading3"/>
        <w:spacing w:line="240" w:lineRule="auto"/>
        <w:ind w:left="419" w:right="1133"/>
        <w:jc w:val="left"/>
        <w:rPr>
          <w:b w:val="0"/>
          <w:bCs w:val="0"/>
        </w:rPr>
      </w:pPr>
      <w:r>
        <w:rPr/>
        <w:t>（</w:t>
      </w:r>
      <w:r>
        <w:rPr>
          <w:rFonts w:ascii="Times New Roman" w:hAnsi="Times New Roman" w:cs="Times New Roman" w:eastAsia="Times New Roman" w:hint="default"/>
        </w:rPr>
        <w:t>2</w:t>
      </w:r>
      <w:r>
        <w:rPr/>
        <w:t>）以现金结算的股份支付及权益工具</w:t>
      </w:r>
      <w:r>
        <w:rPr>
          <w:b w:val="0"/>
          <w:bCs w:val="0"/>
        </w:rPr>
      </w:r>
    </w:p>
    <w:p>
      <w:pPr>
        <w:pStyle w:val="BodyText"/>
        <w:spacing w:line="316" w:lineRule="auto" w:before="42"/>
        <w:ind w:right="0" w:firstLine="336"/>
        <w:jc w:val="left"/>
      </w:pPr>
      <w:r>
        <w:rPr/>
        <w:t>以现金结算的股份支付，按照本公司承担的以股份或其他权益工具为基础计算确定的负债的公允价值计量。授予后立即 </w:t>
      </w:r>
      <w:r>
        <w:rPr>
          <w:spacing w:val="-2"/>
        </w:rPr>
        <w:t>可行权的，在授予日以承担负债的公允价值计入成本或费用，相应增加负债；完成等待期内的服务或达到规定业绩条件才可</w:t>
      </w:r>
      <w:r>
        <w:rPr>
          <w:spacing w:val="-66"/>
        </w:rPr>
        <w:t> </w:t>
      </w:r>
      <w:r>
        <w:rPr>
          <w:spacing w:val="-66"/>
        </w:rPr>
      </w:r>
      <w:r>
        <w:rPr>
          <w:spacing w:val="-4"/>
        </w:rPr>
        <w:t>行权的，在等待期内以对可行权情况的最佳估计为基础，按照承担负债的公允价值，将当期取得的服务计入相关成本或费用，</w:t>
      </w:r>
      <w:r>
        <w:rPr>
          <w:spacing w:val="-44"/>
        </w:rPr>
        <w:t> </w:t>
      </w:r>
      <w:r>
        <w:rPr>
          <w:spacing w:val="-44"/>
        </w:rPr>
      </w:r>
      <w:r>
        <w:rPr/>
        <w:t>增加相应负债。在相关负债结算前的每个资产负债表日以及结算日，对负债的公允价值重新计量，其变动计入当期损益。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1、优先股、永续债等其他金融工具" w:id="213"/>
      <w:bookmarkEnd w:id="213"/>
      <w:r>
        <w:rPr>
          <w:b w:val="0"/>
          <w:bCs w:val="0"/>
        </w:rPr>
      </w:r>
      <w:r>
        <w:rPr>
          <w:rFonts w:ascii="Times New Roman" w:hAnsi="Times New Roman" w:cs="Times New Roman" w:eastAsia="Times New Roman" w:hint="default"/>
        </w:rPr>
        <w:t>31</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36" w:right="1133"/>
        <w:jc w:val="left"/>
      </w:pP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both"/>
        <w:rPr>
          <w:b w:val="0"/>
          <w:bCs w:val="0"/>
        </w:rPr>
      </w:pPr>
      <w:bookmarkStart w:name="32、收入" w:id="214"/>
      <w:bookmarkEnd w:id="214"/>
      <w:r>
        <w:rPr>
          <w:b w:val="0"/>
          <w:bCs w:val="0"/>
        </w:rPr>
      </w:r>
      <w:r>
        <w:rPr>
          <w:rFonts w:ascii="Times New Roman" w:hAnsi="Times New Roman" w:cs="Times New Roman" w:eastAsia="Times New Roman" w:hint="default"/>
        </w:rPr>
        <w:t>32</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是否已执行新收入准则</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0" w:lineRule="auto" w:before="103"/>
        <w:ind w:left="441" w:right="8647" w:hanging="72"/>
        <w:jc w:val="left"/>
      </w:pPr>
      <w:r>
        <w:rPr/>
        <w:t>（</w:t>
      </w:r>
      <w:r>
        <w:rPr>
          <w:rFonts w:ascii="Times New Roman" w:hAnsi="Times New Roman" w:cs="Times New Roman" w:eastAsia="Times New Roman" w:hint="default"/>
        </w:rPr>
        <w:t>1</w:t>
      </w:r>
      <w:r>
        <w:rPr/>
        <w:t>）收入确认具体原则 商品销售收入</w:t>
      </w:r>
    </w:p>
    <w:p>
      <w:pPr>
        <w:pStyle w:val="BodyText"/>
        <w:spacing w:line="316" w:lineRule="auto" w:before="31"/>
        <w:ind w:right="1130" w:firstLine="288"/>
        <w:jc w:val="both"/>
      </w:pPr>
      <w:r>
        <w:rPr>
          <w:spacing w:val="-1"/>
        </w:rPr>
        <w:t>在已将商品所有权上的主要风险和报酬转移给买方，既没有保留通常与所有权相联系的继续管理权，也没有对已售商品</w:t>
      </w:r>
      <w:r>
        <w:rPr/>
        <w:t> </w:t>
      </w:r>
      <w:r>
        <w:rPr>
          <w:spacing w:val="-2"/>
        </w:rPr>
        <w:t>实施有效控制，收入的金额能够可靠地计量，相关的经济利益很可能流入企业，相关的已发生或将发生的成本能够可靠地计</w:t>
      </w:r>
      <w:r>
        <w:rPr>
          <w:spacing w:val="-63"/>
        </w:rPr>
        <w:t> </w:t>
      </w:r>
      <w:r>
        <w:rPr>
          <w:spacing w:val="-63"/>
        </w:rPr>
      </w:r>
      <w:r>
        <w:rPr/>
        <w:t>量时，确认商品销售收入的实现。</w:t>
      </w:r>
    </w:p>
    <w:p>
      <w:pPr>
        <w:pStyle w:val="BodyText"/>
        <w:spacing w:line="316" w:lineRule="auto" w:before="19"/>
        <w:ind w:left="441" w:right="1133" w:firstLine="48"/>
        <w:jc w:val="left"/>
      </w:pPr>
      <w:r>
        <w:rPr/>
        <w:t>提供劳务收入 </w:t>
      </w:r>
      <w:r>
        <w:rPr>
          <w:spacing w:val="-1"/>
        </w:rPr>
        <w:t>在提供劳务交易的结果能够可靠估计的情况下，于资产负债表日按照完工百分比法确认提供的劳务收入。劳务交易的完</w:t>
      </w:r>
    </w:p>
    <w:p>
      <w:pPr>
        <w:pStyle w:val="BodyText"/>
        <w:spacing w:line="319" w:lineRule="auto" w:before="19"/>
        <w:ind w:right="1128"/>
        <w:jc w:val="both"/>
      </w:pPr>
      <w:r>
        <w:rPr>
          <w:spacing w:val="-2"/>
        </w:rPr>
        <w:t>工进度按已经提供的劳务占应提供劳务总量的比例确定。提供劳务交易的结果能够可靠估计是指同时满足：①收入的金额能</w:t>
      </w:r>
      <w:r>
        <w:rPr>
          <w:spacing w:val="-64"/>
        </w:rPr>
        <w:t> </w:t>
      </w:r>
      <w:r>
        <w:rPr>
          <w:spacing w:val="-64"/>
        </w:rPr>
      </w:r>
      <w:r>
        <w:rPr>
          <w:spacing w:val="-2"/>
        </w:rPr>
        <w:t>够可靠地计量；②相关的经济利益很可能流入企业；③交易的完工程度能够可靠地确定；④交易中已发生和将发生的成本能</w:t>
      </w:r>
      <w:r>
        <w:rPr>
          <w:spacing w:val="-63"/>
        </w:rPr>
        <w:t> </w:t>
      </w:r>
      <w:r>
        <w:rPr>
          <w:spacing w:val="-63"/>
        </w:rPr>
      </w:r>
      <w:r>
        <w:rPr>
          <w:spacing w:val="-2"/>
        </w:rPr>
        <w:t>够可靠地计量。如果提供劳务交易的结果不能够可靠估计，则按已经发生并预计能够得到补偿的劳务成本金额确认提供的劳</w:t>
      </w:r>
      <w:r>
        <w:rPr>
          <w:spacing w:val="-64"/>
        </w:rPr>
        <w:t> </w:t>
      </w:r>
      <w:r>
        <w:rPr>
          <w:spacing w:val="-64"/>
        </w:rPr>
      </w:r>
      <w:r>
        <w:rPr>
          <w:spacing w:val="-2"/>
        </w:rPr>
        <w:t>务收入，并将已发生的劳务成本作为当期费用。已经发生的劳务成本如预计不能得到补偿的，则不确认收入。本公司与其他</w:t>
      </w:r>
      <w:r>
        <w:rPr>
          <w:spacing w:val="-64"/>
        </w:rPr>
        <w:t> </w:t>
      </w:r>
      <w:r>
        <w:rPr>
          <w:spacing w:val="-64"/>
        </w:rPr>
      </w:r>
      <w:r>
        <w:rPr>
          <w:spacing w:val="-2"/>
        </w:rPr>
        <w:t>企业签订的合同或协议包括销售商品和提供劳务时，如销售商品部分和提供劳务部分能够区分并单独计量的，将销售商品部</w:t>
      </w:r>
      <w:r>
        <w:rPr>
          <w:spacing w:val="-64"/>
        </w:rPr>
        <w:t> </w:t>
      </w:r>
      <w:r>
        <w:rPr>
          <w:spacing w:val="-64"/>
        </w:rPr>
      </w:r>
      <w:r>
        <w:rPr>
          <w:spacing w:val="-2"/>
        </w:rPr>
        <w:t>分和提供劳务部分分别处理；如销售商品部分和提供劳务部分不能够区分，或虽能区分但不能够单独计量的，将该合同全部</w:t>
      </w:r>
      <w:r>
        <w:rPr>
          <w:spacing w:val="-61"/>
        </w:rPr>
        <w:t> </w:t>
      </w:r>
      <w:r>
        <w:rPr>
          <w:spacing w:val="-61"/>
        </w:rPr>
      </w:r>
      <w:r>
        <w:rPr/>
        <w:t>作为销售商品处理。</w:t>
      </w:r>
    </w:p>
    <w:p>
      <w:pPr>
        <w:pStyle w:val="BodyText"/>
        <w:spacing w:line="316" w:lineRule="auto" w:before="17"/>
        <w:ind w:left="441" w:right="5065"/>
        <w:jc w:val="left"/>
      </w:pPr>
      <w:r>
        <w:rPr/>
        <w:t>使用费收入，根据有关合同或协议，按权责发生制确认收入。 利息收入，照他人使用本公司货币资金的时间和实际利率计算确定。</w:t>
      </w:r>
    </w:p>
    <w:p>
      <w:pPr>
        <w:spacing w:line="240" w:lineRule="auto" w:before="9"/>
        <w:rPr>
          <w:rFonts w:ascii="宋体" w:hAnsi="宋体" w:cs="宋体" w:eastAsia="宋体" w:hint="default"/>
          <w:sz w:val="23"/>
          <w:szCs w:val="23"/>
        </w:rPr>
      </w:pPr>
    </w:p>
    <w:p>
      <w:pPr>
        <w:pStyle w:val="Heading3"/>
        <w:spacing w:line="240" w:lineRule="auto"/>
        <w:ind w:left="508" w:right="1133"/>
        <w:jc w:val="left"/>
        <w:rPr>
          <w:b w:val="0"/>
          <w:bCs w:val="0"/>
        </w:rPr>
      </w:pPr>
      <w:r>
        <w:rPr/>
        <w:t>（</w:t>
      </w:r>
      <w:r>
        <w:rPr>
          <w:rFonts w:ascii="Times New Roman" w:hAnsi="Times New Roman" w:cs="Times New Roman" w:eastAsia="Times New Roman" w:hint="default"/>
        </w:rPr>
        <w:t>2</w:t>
      </w:r>
      <w:r>
        <w:rPr/>
        <w:t>）本公司对企业服务的收入确认如下：</w:t>
      </w:r>
      <w:r>
        <w:rPr>
          <w:b w:val="0"/>
          <w:bCs w:val="0"/>
        </w:rPr>
      </w:r>
    </w:p>
    <w:p>
      <w:pPr>
        <w:pStyle w:val="BodyText"/>
        <w:spacing w:line="316" w:lineRule="auto" w:before="42"/>
        <w:ind w:left="518" w:right="1123"/>
        <w:jc w:val="left"/>
      </w:pPr>
      <w:r>
        <w:rPr/>
        <w:t>人力资本服务收入 </w:t>
      </w:r>
      <w:r>
        <w:rPr>
          <w:spacing w:val="-2"/>
        </w:rPr>
        <w:t>公司根据客户的多种用工需求，为其提供相关岗位、业务流程等服务并签订服务协议。公司根据协议提供约定的工作或</w:t>
      </w:r>
    </w:p>
    <w:p>
      <w:pPr>
        <w:pStyle w:val="BodyText"/>
        <w:spacing w:line="316" w:lineRule="auto" w:before="19"/>
        <w:ind w:right="1123"/>
        <w:jc w:val="left"/>
      </w:pPr>
      <w:r>
        <w:rPr>
          <w:spacing w:val="-2"/>
        </w:rPr>
        <w:t>服务内容，并按照所提供服务的内容、期限、派出人数、完成工作量以及结算价格等定期与客户确认；在相关的经济利益很</w:t>
      </w:r>
      <w:r>
        <w:rPr>
          <w:spacing w:val="-65"/>
        </w:rPr>
        <w:t> </w:t>
      </w:r>
      <w:r>
        <w:rPr>
          <w:spacing w:val="-65"/>
        </w:rPr>
      </w:r>
      <w:r>
        <w:rPr/>
        <w:t>可能流入企业，服务的完成结果能够可靠地确定时确认收入。</w:t>
      </w:r>
    </w:p>
    <w:p>
      <w:pPr>
        <w:pStyle w:val="BodyText"/>
        <w:spacing w:line="316" w:lineRule="auto" w:before="19"/>
        <w:ind w:left="518" w:right="1123"/>
        <w:jc w:val="left"/>
      </w:pPr>
      <w:r>
        <w:rPr/>
        <w:t>顾问咨询服务收入 </w:t>
      </w:r>
      <w:r>
        <w:rPr>
          <w:spacing w:val="-2"/>
        </w:rPr>
        <w:t>公司根据客户需要为其提供股权筹划咨询、架构设计、交易设计等全案服务并签订服务协议，按照协议约定的内容完成</w:t>
      </w:r>
    </w:p>
    <w:p>
      <w:pPr>
        <w:pStyle w:val="BodyText"/>
        <w:spacing w:line="316" w:lineRule="auto" w:before="19"/>
        <w:ind w:right="1123"/>
        <w:jc w:val="left"/>
      </w:pPr>
      <w:r>
        <w:rPr>
          <w:spacing w:val="-2"/>
        </w:rPr>
        <w:t>相关服务或咨询并收取约定的服务费；公司在上述服务的成果已完成，并取得双方认可的收款依据，在相关的经济利益很可</w:t>
      </w:r>
      <w:r>
        <w:rPr>
          <w:spacing w:val="-63"/>
        </w:rPr>
        <w:t> </w:t>
      </w:r>
      <w:r>
        <w:rPr>
          <w:spacing w:val="-63"/>
        </w:rPr>
      </w:r>
      <w:r>
        <w:rPr/>
        <w:t>能流入企业，服务的完成结果能够可靠确定时确认收入。</w:t>
      </w:r>
    </w:p>
    <w:p>
      <w:pPr>
        <w:pStyle w:val="BodyText"/>
        <w:spacing w:line="316" w:lineRule="auto" w:before="19"/>
        <w:ind w:left="518" w:right="6068"/>
        <w:jc w:val="left"/>
      </w:pPr>
      <w:r>
        <w:rPr/>
        <w:t>企业综合服务收入 此项业务收入分为一次性服务收入和周期性服务收入：</w:t>
      </w:r>
    </w:p>
    <w:p>
      <w:pPr>
        <w:pStyle w:val="BodyText"/>
        <w:spacing w:line="316" w:lineRule="auto" w:before="19"/>
        <w:ind w:right="1132" w:firstLine="365"/>
        <w:jc w:val="both"/>
      </w:pPr>
      <w:r>
        <w:rPr>
          <w:spacing w:val="-2"/>
        </w:rPr>
        <w:t>①一次性服务收入：双方签署服务协议，本公司依据服务协议提供服务，并依据服务协议提交或形成工作成果，对方已</w:t>
      </w:r>
      <w:r>
        <w:rPr/>
        <w:t> 付款或按服务协议约定付款，或预计相关的经济利益很可能流入本公司时，本公司在服务完成时一次性确认收入。</w:t>
      </w:r>
    </w:p>
    <w:p>
      <w:pPr>
        <w:pStyle w:val="BodyText"/>
        <w:spacing w:line="319" w:lineRule="auto" w:before="19"/>
        <w:ind w:right="1130" w:firstLine="365"/>
        <w:jc w:val="both"/>
      </w:pPr>
      <w:r>
        <w:rPr>
          <w:spacing w:val="-2"/>
        </w:rPr>
        <w:t>②周期性服务收入：双方签署周期性服务协议，本公司依据服务协议提供周期性服务，并依据服务协议提交或形成周期</w:t>
      </w:r>
      <w:r>
        <w:rPr/>
        <w:t> </w:t>
      </w:r>
      <w:r>
        <w:rPr>
          <w:spacing w:val="-2"/>
        </w:rPr>
        <w:t>性的工作成果，对方已付款或按服务协议约定付款，或预计相关的经济利益很可能流入本公司时，本公司根据服务期限分期</w:t>
      </w:r>
      <w:r>
        <w:rPr>
          <w:spacing w:val="-63"/>
        </w:rPr>
        <w:t> </w:t>
      </w:r>
      <w:r>
        <w:rPr>
          <w:spacing w:val="-63"/>
        </w:rPr>
      </w:r>
      <w:r>
        <w:rPr/>
        <w:t>确认收入。</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33、政府补助" w:id="215"/>
      <w:bookmarkEnd w:id="215"/>
      <w:r>
        <w:rPr>
          <w:b w:val="0"/>
          <w:bCs w:val="0"/>
        </w:rPr>
      </w:r>
      <w:r>
        <w:rPr>
          <w:rFonts w:ascii="Times New Roman" w:hAnsi="Times New Roman" w:cs="Times New Roman" w:eastAsia="Times New Roman" w:hint="default"/>
        </w:rPr>
        <w:t>33</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419" w:right="1133"/>
        <w:jc w:val="left"/>
        <w:rPr>
          <w:b w:val="0"/>
          <w:bCs w:val="0"/>
        </w:rPr>
      </w:pPr>
      <w:r>
        <w:rPr/>
        <w:t>（</w:t>
      </w:r>
      <w:r>
        <w:rPr>
          <w:rFonts w:ascii="Times New Roman" w:hAnsi="Times New Roman" w:cs="Times New Roman" w:eastAsia="Times New Roman" w:hint="default"/>
        </w:rPr>
        <w:t>1</w:t>
      </w:r>
      <w:r>
        <w:rPr/>
        <w:t>）类型</w:t>
      </w:r>
      <w:r>
        <w:rPr>
          <w:b w:val="0"/>
          <w:bCs w:val="0"/>
        </w:rPr>
      </w:r>
    </w:p>
    <w:p>
      <w:pPr>
        <w:pStyle w:val="BodyText"/>
        <w:spacing w:line="316" w:lineRule="auto" w:before="42"/>
        <w:ind w:right="1132" w:firstLine="336"/>
        <w:jc w:val="both"/>
      </w:pPr>
      <w:r>
        <w:rPr>
          <w:spacing w:val="-2"/>
        </w:rPr>
        <w:t>政府补助，是本公司从政府无偿取得的货币性资产与非货币性资产。分为与资产相关的政府补助和与收益相关的政府补</w:t>
      </w:r>
      <w:r>
        <w:rPr/>
        <w:t> 助。</w:t>
      </w:r>
    </w:p>
    <w:p>
      <w:pPr>
        <w:pStyle w:val="BodyText"/>
        <w:spacing w:line="240" w:lineRule="auto" w:before="18"/>
        <w:ind w:left="441" w:right="0"/>
        <w:jc w:val="left"/>
      </w:pPr>
      <w:r>
        <w:rPr/>
        <w:t>与资产相关的政府补助，是指本公司取得的、用于购建或以其他方式形成长期资产的政府补助。与收益相关的政府补助，</w:t>
      </w:r>
    </w:p>
    <w:p>
      <w:pPr>
        <w:spacing w:after="0" w:line="240" w:lineRule="auto"/>
        <w:jc w:val="left"/>
        <w:sectPr>
          <w:footerReference w:type="default" r:id="rId29"/>
          <w:pgSz w:w="11910" w:h="16840"/>
          <w:pgMar w:footer="980" w:header="877" w:top="1100" w:bottom="1160" w:left="980" w:right="0"/>
          <w:pgNumType w:start="110"/>
        </w:sectPr>
      </w:pPr>
    </w:p>
    <w:p>
      <w:pPr>
        <w:spacing w:line="240" w:lineRule="auto" w:before="11"/>
        <w:rPr>
          <w:rFonts w:ascii="宋体" w:hAnsi="宋体" w:cs="宋体" w:eastAsia="宋体" w:hint="default"/>
          <w:sz w:val="21"/>
          <w:szCs w:val="21"/>
        </w:rPr>
      </w:pPr>
    </w:p>
    <w:p>
      <w:pPr>
        <w:pStyle w:val="BodyText"/>
        <w:spacing w:line="319" w:lineRule="auto" w:before="44"/>
        <w:ind w:left="441" w:right="1133" w:hanging="289"/>
        <w:jc w:val="left"/>
      </w:pPr>
      <w:r>
        <w:rPr/>
        <w:t>是指除与资产相关的政府补助之外的政府补助。 公司将政府补助划分为与资产相关的具体标准为：与购建固定资产或无形资产等长期资产相关的政府补助。 公司将政府补助划分为与收益相关的具体标准为：除与资产相关政府补助之外的其他政府补助。 </w:t>
      </w:r>
      <w:r>
        <w:rPr>
          <w:spacing w:val="-1"/>
        </w:rPr>
        <w:t>对于政府文件未明确规定补助对象的，公司将该政府补助划分为与资产相关或与收益相关的判断依据为：是否用于购建</w:t>
      </w:r>
    </w:p>
    <w:p>
      <w:pPr>
        <w:pStyle w:val="BodyText"/>
        <w:spacing w:line="240" w:lineRule="auto" w:before="17"/>
        <w:ind w:right="1133"/>
        <w:jc w:val="left"/>
      </w:pPr>
      <w:r>
        <w:rPr/>
        <w:t>或以其他方式形成长期资产。</w:t>
      </w:r>
    </w:p>
    <w:p>
      <w:pPr>
        <w:pStyle w:val="BodyText"/>
        <w:spacing w:line="295" w:lineRule="auto" w:before="56"/>
        <w:ind w:left="520" w:right="6786" w:hanging="101"/>
        <w:jc w:val="left"/>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）确认时点</w:t>
      </w:r>
      <w:r>
        <w:rPr>
          <w:rFonts w:ascii="宋体" w:hAnsi="宋体" w:cs="宋体" w:eastAsia="宋体" w:hint="default"/>
          <w:b/>
          <w:bCs/>
          <w:w w:val="100"/>
          <w:sz w:val="21"/>
          <w:szCs w:val="21"/>
        </w:rPr>
        <w:t> </w:t>
      </w:r>
      <w:r>
        <w:rPr/>
        <w:t>公司在同时满足下列条件时确认相关政府补助 </w:t>
      </w:r>
      <w:r>
        <w:rPr>
          <w:rFonts w:ascii="宋体" w:hAnsi="宋体" w:cs="宋体" w:eastAsia="宋体" w:hint="default"/>
        </w:rPr>
        <w:t>1</w:t>
      </w:r>
      <w:r>
        <w:rPr/>
        <w:t>）公司能够满足政府补助所附条件；</w:t>
      </w:r>
    </w:p>
    <w:p>
      <w:pPr>
        <w:pStyle w:val="BodyText"/>
        <w:spacing w:line="240" w:lineRule="auto" w:before="35"/>
        <w:ind w:left="618" w:right="1133"/>
        <w:jc w:val="left"/>
      </w:pPr>
      <w:r>
        <w:rPr>
          <w:rFonts w:ascii="宋体" w:hAnsi="宋体" w:cs="宋体" w:eastAsia="宋体" w:hint="default"/>
        </w:rPr>
        <w:t>2</w:t>
      </w:r>
      <w:r>
        <w:rPr/>
        <w:t>）公司能够收到政府补助。</w:t>
      </w:r>
    </w:p>
    <w:p>
      <w:pPr>
        <w:pStyle w:val="Heading3"/>
        <w:spacing w:line="240" w:lineRule="auto" w:before="56"/>
        <w:ind w:left="508" w:right="1133"/>
        <w:jc w:val="left"/>
        <w:rPr>
          <w:b w:val="0"/>
          <w:bCs w:val="0"/>
        </w:rPr>
      </w:pPr>
      <w:r>
        <w:rPr/>
        <w:t>（</w:t>
      </w:r>
      <w:r>
        <w:rPr>
          <w:rFonts w:ascii="Times New Roman" w:hAnsi="Times New Roman" w:cs="Times New Roman" w:eastAsia="Times New Roman" w:hint="default"/>
        </w:rPr>
        <w:t>3</w:t>
      </w:r>
      <w:r>
        <w:rPr/>
        <w:t>）会计处理</w:t>
      </w:r>
      <w:r>
        <w:rPr>
          <w:b w:val="0"/>
          <w:bCs w:val="0"/>
        </w:rPr>
      </w:r>
    </w:p>
    <w:p>
      <w:pPr>
        <w:pStyle w:val="BodyText"/>
        <w:spacing w:line="319" w:lineRule="auto" w:before="42"/>
        <w:ind w:left="229" w:right="1137" w:firstLine="343"/>
        <w:jc w:val="both"/>
      </w:pPr>
      <w:r>
        <w:rPr/>
        <w:t>与资产相关的政府补助，冲减相关资产账面价值或确认为递延收益。确认为递延收益的，在相关资产使用寿命内按照 合理、系统的方法分期计入当期损益（与本公司日常活动相关的，计入其他收益；与本公司日常活动无关的，计入营业外</w:t>
      </w:r>
      <w:r>
        <w:rPr>
          <w:spacing w:val="-75"/>
        </w:rPr>
        <w:t> </w:t>
      </w:r>
      <w:r>
        <w:rPr>
          <w:spacing w:val="-75"/>
        </w:rPr>
      </w:r>
      <w:r>
        <w:rPr/>
        <w:t>收入）；</w:t>
      </w:r>
    </w:p>
    <w:p>
      <w:pPr>
        <w:pStyle w:val="BodyText"/>
        <w:spacing w:line="316" w:lineRule="auto" w:before="17"/>
        <w:ind w:right="0" w:firstLine="362"/>
        <w:jc w:val="left"/>
      </w:pPr>
      <w:r>
        <w:rPr>
          <w:spacing w:val="-2"/>
        </w:rPr>
        <w:t>与收益相关的政府补助，用于补偿本公司以后期间的相关成本费用或损失的，确认为递延收益，并在确认相关成本费用</w:t>
      </w:r>
      <w:r>
        <w:rPr/>
        <w:t> </w:t>
      </w:r>
      <w:r>
        <w:rPr>
          <w:spacing w:val="-2"/>
        </w:rPr>
        <w:t>或损失的期间，计入当期损益（与本公司日常活动相关的，计入其他收益；与本公司日常活动无关的，计入营业外收入）或</w:t>
      </w:r>
      <w:r>
        <w:rPr>
          <w:spacing w:val="-70"/>
        </w:rPr>
        <w:t> </w:t>
      </w:r>
      <w:r>
        <w:rPr>
          <w:spacing w:val="-70"/>
        </w:rPr>
      </w:r>
      <w:r>
        <w:rPr>
          <w:spacing w:val="-4"/>
        </w:rPr>
        <w:t>冲减相关成本费用或损失；用于补偿本公司已发生的相关成本费用或损失的，直接计入当期损益（与本公司日常活动相关的，</w:t>
      </w:r>
      <w:r>
        <w:rPr>
          <w:spacing w:val="-44"/>
        </w:rPr>
        <w:t> </w:t>
      </w:r>
      <w:r>
        <w:rPr>
          <w:spacing w:val="-44"/>
        </w:rPr>
      </w:r>
      <w:r>
        <w:rPr/>
        <w:t>计入其他收益；与本公司日常活动无关的，计入营业外收入）或冲减相关成本费用或损失。</w:t>
      </w:r>
    </w:p>
    <w:p>
      <w:pPr>
        <w:pStyle w:val="BodyText"/>
        <w:spacing w:line="316" w:lineRule="auto" w:before="19"/>
        <w:ind w:left="515" w:right="1121"/>
        <w:jc w:val="left"/>
      </w:pPr>
      <w:r>
        <w:rPr/>
        <w:t>本公司取得的政策性优惠贷款贴息，区分以下两种情况，分别进行会计处理： </w:t>
      </w:r>
      <w:r>
        <w:rPr>
          <w:rFonts w:ascii="宋体" w:hAnsi="宋体" w:cs="宋体" w:eastAsia="宋体" w:hint="default"/>
        </w:rPr>
        <w:t>1</w:t>
      </w:r>
      <w:r>
        <w:rPr/>
        <w:t>）财政将贴息资金拨付给贷款银行，由贷款银行以政策性优惠利率向本公司提供贷款的，本公司以实际收到的借款金</w:t>
      </w:r>
    </w:p>
    <w:p>
      <w:pPr>
        <w:pStyle w:val="BodyText"/>
        <w:spacing w:line="316" w:lineRule="auto" w:before="19"/>
        <w:ind w:left="515" w:right="3821" w:hanging="363"/>
        <w:jc w:val="left"/>
      </w:pPr>
      <w:r>
        <w:rPr/>
        <w:t>额作为借款的入账价值，按照借款本金和该政策性优惠利率计算相关借款费用。 </w:t>
      </w:r>
      <w:r>
        <w:rPr>
          <w:rFonts w:ascii="宋体" w:hAnsi="宋体" w:cs="宋体" w:eastAsia="宋体" w:hint="default"/>
        </w:rPr>
        <w:t>2</w:t>
      </w:r>
      <w:r>
        <w:rPr/>
        <w:t>）财政将贴息资金直接拨付给本公司的，本公司将对应的贴息冲减相关借款费用。</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4、递延所得税资产/递延所得税负债" w:id="216"/>
      <w:bookmarkEnd w:id="216"/>
      <w:r>
        <w:rPr>
          <w:b w:val="0"/>
          <w:bCs w:val="0"/>
        </w:rPr>
      </w:r>
      <w:r>
        <w:rPr>
          <w:rFonts w:ascii="Times New Roman" w:hAnsi="Times New Roman" w:cs="Times New Roman" w:eastAsia="Times New Roman" w:hint="default"/>
        </w:rPr>
        <w:t>34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336"/>
        <w:jc w:val="both"/>
      </w:pPr>
      <w:r>
        <w:rPr>
          <w:spacing w:val="2"/>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9"/>
        <w:ind w:left="441" w:right="1133"/>
        <w:jc w:val="left"/>
      </w:pPr>
      <w:r>
        <w:rPr/>
        <w:t>对于应纳税暂时性差异，除特殊情况外，确认递延所得税负债。 </w:t>
      </w:r>
      <w:r>
        <w:rPr>
          <w:spacing w:val="-1"/>
        </w:rPr>
        <w:t>不确认递延所得税资产或递延所得税负债的特殊情况包括：商誉的初始确认；除企业合并以外的发生时既不影响会计利</w:t>
      </w:r>
    </w:p>
    <w:p>
      <w:pPr>
        <w:pStyle w:val="BodyText"/>
        <w:spacing w:line="316" w:lineRule="auto" w:before="19"/>
        <w:ind w:left="441" w:right="1133" w:hanging="289"/>
        <w:jc w:val="left"/>
      </w:pPr>
      <w:r>
        <w:rPr/>
        <w:t>润也不影响应纳税所得额（或可抵扣亏损）的其他交易或事项。 </w:t>
      </w:r>
      <w:r>
        <w:rPr>
          <w:spacing w:val="-1"/>
        </w:rPr>
        <w:t>当拥有以净额结算的法定权利，且意图以净额结算或取得资产、清偿负债同时进行时，当期所得税资产及当期所得税负</w:t>
      </w:r>
    </w:p>
    <w:p>
      <w:pPr>
        <w:pStyle w:val="BodyText"/>
        <w:spacing w:line="316" w:lineRule="auto" w:before="19"/>
        <w:ind w:left="441" w:right="1133" w:hanging="289"/>
        <w:jc w:val="left"/>
      </w:pPr>
      <w:r>
        <w:rPr/>
        <w:t>债以抵销后的净额列报。 </w:t>
      </w:r>
      <w:r>
        <w:rPr>
          <w:spacing w:val="-1"/>
        </w:rPr>
        <w:t>当拥有以净额结算当期所得税资产及当期所得税负债的法定权利，且递延所得税资产及递延所得税负债是与同一税收征</w:t>
      </w:r>
    </w:p>
    <w:p>
      <w:pPr>
        <w:pStyle w:val="BodyText"/>
        <w:spacing w:line="319" w:lineRule="auto" w:before="19"/>
        <w:ind w:right="1133"/>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bookmarkStart w:name="35、租赁" w:id="217"/>
      <w:bookmarkEnd w:id="217"/>
      <w:r>
        <w:rPr>
          <w:b w:val="0"/>
          <w:bCs w:val="0"/>
        </w:rPr>
      </w:r>
      <w:r>
        <w:rPr>
          <w:rFonts w:ascii="Times New Roman" w:hAnsi="Times New Roman" w:cs="Times New Roman" w:eastAsia="Times New Roman" w:hint="default"/>
        </w:rPr>
        <w:t>35</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经营租赁的会计处理方法" w:id="218"/>
      <w:bookmarkEnd w:id="21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420"/>
        <w:jc w:val="both"/>
      </w:pPr>
      <w:r>
        <w:rPr>
          <w:rFonts w:ascii="宋体" w:hAnsi="宋体" w:cs="宋体" w:eastAsia="宋体" w:hint="default"/>
          <w:spacing w:val="-1"/>
        </w:rPr>
        <w:t>1</w:t>
      </w:r>
      <w:r>
        <w:rPr>
          <w:spacing w:val="-1"/>
        </w:rPr>
        <w:t>）公司租入资产所支付的租赁费，在不扣除免租期的整个租赁期内，按直线法进行分摊，计入当期费用。公司支付的</w:t>
      </w:r>
      <w:r>
        <w:rPr/>
        <w:t> 与租赁交易相关的初始直接费用，计入当期费用。</w:t>
      </w:r>
    </w:p>
    <w:p>
      <w:pPr>
        <w:pStyle w:val="BodyText"/>
        <w:spacing w:line="316" w:lineRule="auto" w:before="18"/>
        <w:ind w:right="1132" w:firstLine="362"/>
        <w:jc w:val="both"/>
      </w:pPr>
      <w:r>
        <w:rPr>
          <w:spacing w:val="-2"/>
        </w:rPr>
        <w:t>资产出租方承担了应由公司承担的与租赁相关的费用时，公司将该部分费用从租金总额中扣除，按扣除后的租金费用在</w:t>
      </w:r>
      <w:r>
        <w:rPr/>
        <w:t> 租赁期内分摊，计入当期费用。</w:t>
      </w:r>
    </w:p>
    <w:p>
      <w:pPr>
        <w:spacing w:after="0" w:line="316"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32" w:firstLine="451"/>
        <w:jc w:val="both"/>
      </w:pPr>
      <w:r>
        <w:rPr>
          <w:rFonts w:ascii="宋体" w:hAnsi="宋体" w:cs="宋体" w:eastAsia="宋体" w:hint="default"/>
          <w:spacing w:val="-2"/>
        </w:rPr>
        <w:t>2</w:t>
      </w:r>
      <w:r>
        <w:rPr>
          <w:spacing w:val="-2"/>
        </w:rPr>
        <w:t>）公司出租资产所收取的租赁费，在不扣除免租期的整个租赁期内，按直线法进行分摊，确认为租赁相关收入。公司</w:t>
      </w:r>
      <w:r>
        <w:rPr/>
        <w:t> </w:t>
      </w:r>
      <w:r>
        <w:rPr>
          <w:spacing w:val="-2"/>
        </w:rPr>
        <w:t>支付的与租赁交易相关的初始直接费用，计入当期费用；如金额较大的，则予以资本化，在整个租赁期间内按照与租赁相关</w:t>
      </w:r>
      <w:r>
        <w:rPr>
          <w:spacing w:val="-65"/>
        </w:rPr>
        <w:t> </w:t>
      </w:r>
      <w:r>
        <w:rPr>
          <w:spacing w:val="-65"/>
        </w:rPr>
      </w:r>
      <w:r>
        <w:rPr/>
        <w:t>收入确认相同的基础分期计入当期收益。</w:t>
      </w:r>
    </w:p>
    <w:p>
      <w:pPr>
        <w:pStyle w:val="BodyText"/>
        <w:spacing w:line="316" w:lineRule="auto" w:before="17"/>
        <w:ind w:right="1132" w:firstLine="362"/>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融资租赁的会计处理方法" w:id="219"/>
      <w:bookmarkEnd w:id="21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420"/>
        <w:jc w:val="both"/>
      </w:pPr>
      <w:r>
        <w:rPr>
          <w:rFonts w:ascii="宋体" w:hAnsi="宋体" w:cs="宋体" w:eastAsia="宋体" w:hint="default"/>
          <w:spacing w:val="-1"/>
        </w:rPr>
        <w:t>1</w:t>
      </w:r>
      <w:r>
        <w:rPr>
          <w:spacing w:val="-1"/>
        </w:rPr>
        <w:t>）融资租入资产：公司在承租开始日，将租赁资产公允价值与最低租赁付款额现值两者中较低者作为租入资产的入账</w:t>
      </w:r>
      <w:r>
        <w:rPr/>
        <w:t> </w:t>
      </w:r>
      <w:r>
        <w:rPr>
          <w:spacing w:val="-2"/>
        </w:rPr>
        <w:t>价值，将最低租赁付款额作为长期应付款的入账价值，其差额作为未确认的融资费用。公司采用实际利率法对未确认的融资</w:t>
      </w:r>
      <w:r>
        <w:rPr>
          <w:spacing w:val="-63"/>
        </w:rPr>
        <w:t> </w:t>
      </w:r>
      <w:r>
        <w:rPr>
          <w:spacing w:val="-63"/>
        </w:rPr>
      </w:r>
      <w:r>
        <w:rPr/>
        <w:t>费用，在资产租赁期间内摊销，计入财务费用。公司发生的初始直接费用，计入租入资产价值。</w:t>
      </w:r>
    </w:p>
    <w:p>
      <w:pPr>
        <w:pStyle w:val="BodyText"/>
        <w:spacing w:line="319" w:lineRule="auto" w:before="19"/>
        <w:ind w:right="1033" w:firstLine="451"/>
        <w:jc w:val="left"/>
      </w:pPr>
      <w:r>
        <w:rPr>
          <w:rFonts w:ascii="宋体" w:hAnsi="宋体" w:cs="宋体" w:eastAsia="宋体" w:hint="default"/>
        </w:rPr>
        <w:t>2</w:t>
      </w:r>
      <w:r>
        <w:rPr/>
        <w:t>）融资租出资产：公司在租赁开始日，将应收融资租赁款，未担保余值之和与其现值的差额确认为未实现融资收益，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36、其他重要的会计政策和会计估计" w:id="220"/>
      <w:bookmarkEnd w:id="220"/>
      <w:r>
        <w:rPr>
          <w:b w:val="0"/>
          <w:bCs w:val="0"/>
        </w:rPr>
      </w:r>
      <w:r>
        <w:rPr>
          <w:rFonts w:ascii="Times New Roman" w:hAnsi="Times New Roman" w:cs="Times New Roman" w:eastAsia="Times New Roman" w:hint="default"/>
        </w:rPr>
        <w:t>36</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36"/>
        <w:jc w:val="both"/>
      </w:pPr>
      <w:r>
        <w:rPr>
          <w:spacing w:val="-2"/>
        </w:rPr>
        <w:t>终止经营是满足下列条件之一的、能够单独区分的组成部分，且该组成部分已被本公司处置或被本公司划归为持有待售</w:t>
      </w:r>
      <w:r>
        <w:rPr/>
        <w:t> 类别：</w:t>
      </w:r>
    </w:p>
    <w:p>
      <w:pPr>
        <w:pStyle w:val="BodyText"/>
        <w:spacing w:line="240" w:lineRule="auto" w:before="19"/>
        <w:ind w:left="515" w:right="1133"/>
        <w:jc w:val="left"/>
      </w:pPr>
      <w:r>
        <w:rPr>
          <w:rFonts w:ascii="宋体" w:hAnsi="宋体" w:cs="宋体" w:eastAsia="宋体" w:hint="default"/>
        </w:rPr>
        <w:t>1</w:t>
      </w:r>
      <w:r>
        <w:rPr/>
        <w:t>）该组成部分代表一项独立的主要业务或一个单独的主要经营地区；</w:t>
      </w:r>
    </w:p>
    <w:p>
      <w:pPr>
        <w:pStyle w:val="BodyText"/>
        <w:spacing w:line="240" w:lineRule="auto" w:before="76"/>
        <w:ind w:left="515" w:right="1133"/>
        <w:jc w:val="left"/>
      </w:pPr>
      <w:r>
        <w:rPr>
          <w:rFonts w:ascii="宋体" w:hAnsi="宋体" w:cs="宋体" w:eastAsia="宋体" w:hint="default"/>
        </w:rPr>
        <w:t>2</w:t>
      </w:r>
      <w:r>
        <w:rPr/>
        <w:t>）该组成部分是拟对一项独立的主要业务或一个单独的主要经营地区进行处置的一项相关联计划的一部分；</w:t>
      </w:r>
    </w:p>
    <w:p>
      <w:pPr>
        <w:pStyle w:val="BodyText"/>
        <w:spacing w:line="240" w:lineRule="auto" w:before="76"/>
        <w:ind w:left="515" w:right="1133"/>
        <w:jc w:val="left"/>
      </w:pPr>
      <w:r>
        <w:rPr>
          <w:rFonts w:ascii="宋体" w:hAnsi="宋体" w:cs="宋体" w:eastAsia="宋体" w:hint="default"/>
        </w:rPr>
        <w:t>3</w:t>
      </w:r>
      <w:r>
        <w:rPr/>
        <w:t>）该组成部分是专为转售而取得的子公司。</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7、重要会计政策和会计估计变更" w:id="221"/>
      <w:bookmarkEnd w:id="221"/>
      <w:r>
        <w:rPr>
          <w:b w:val="0"/>
          <w:bCs w:val="0"/>
        </w:rPr>
      </w:r>
      <w:r>
        <w:rPr>
          <w:rFonts w:ascii="Times New Roman" w:hAnsi="Times New Roman" w:cs="Times New Roman" w:eastAsia="Times New Roman" w:hint="default"/>
        </w:rPr>
        <w:t>37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会计政策变更" w:id="222"/>
      <w:bookmarkEnd w:id="22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pict>
          <v:group style="position:absolute;margin-left:336.910004pt;margin-top:63.191723pt;width:75.25pt;height:25.35pt;mso-position-horizontal-relative:page;mso-position-vertical-relative:paragraph;z-index:-1013056" coordorigin="6738,1264" coordsize="1505,507">
            <v:group style="position:absolute;left:6738;top:1264;width:1505;height:233" coordorigin="6738,1264" coordsize="1505,233">
              <v:shape style="position:absolute;left:6738;top:1264;width:1505;height:233" coordorigin="6738,1264" coordsize="1505,233" path="m6738,1497l8243,1497,8243,1264,6738,1264,6738,1497xe" filled="true" fillcolor="#ffffff" stroked="false">
                <v:path arrowok="t"/>
                <v:fill type="solid"/>
              </v:shape>
            </v:group>
            <v:group style="position:absolute;left:6738;top:1497;width:1505;height:274" coordorigin="6738,1497" coordsize="1505,274">
              <v:shape style="position:absolute;left:6738;top:1497;width:1505;height:274" coordorigin="6738,1497" coordsize="1505,274" path="m6738,1770l8243,1770,8243,1497,6738,1497,6738,1770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5625"/>
        <w:gridCol w:w="1560"/>
        <w:gridCol w:w="2552"/>
      </w:tblGrid>
      <w:tr>
        <w:trPr>
          <w:trHeight w:val="401" w:hRule="exact"/>
        </w:trPr>
        <w:tc>
          <w:tcPr>
            <w:tcW w:w="5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258" w:hRule="exact"/>
        </w:trPr>
        <w:tc>
          <w:tcPr>
            <w:tcW w:w="5625"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年修订印发了《企业会计准则第</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金融工具确认和 </w:t>
            </w:r>
            <w:r>
              <w:rPr>
                <w:rFonts w:ascii="宋体" w:hAnsi="宋体" w:cs="宋体" w:eastAsia="宋体" w:hint="default"/>
                <w:spacing w:val="-7"/>
                <w:sz w:val="18"/>
                <w:szCs w:val="18"/>
              </w:rPr>
              <w:t>计量》（财会〔</w:t>
            </w:r>
            <w:r>
              <w:rPr>
                <w:rFonts w:ascii="宋体" w:hAnsi="宋体" w:cs="宋体" w:eastAsia="宋体" w:hint="default"/>
                <w:spacing w:val="-7"/>
                <w:sz w:val="18"/>
                <w:szCs w:val="18"/>
              </w:rPr>
              <w:t>2017</w:t>
            </w:r>
            <w:r>
              <w:rPr>
                <w:rFonts w:ascii="宋体" w:hAnsi="宋体" w:cs="宋体" w:eastAsia="宋体" w:hint="default"/>
                <w:spacing w:val="-7"/>
                <w:sz w:val="18"/>
                <w:szCs w:val="18"/>
              </w:rPr>
              <w:t>〕</w:t>
            </w:r>
            <w:r>
              <w:rPr>
                <w:rFonts w:ascii="宋体" w:hAnsi="宋体" w:cs="宋体" w:eastAsia="宋体" w:hint="default"/>
                <w:spacing w:val="-7"/>
                <w:sz w:val="18"/>
                <w:szCs w:val="18"/>
              </w:rPr>
              <w:t>7</w:t>
            </w:r>
            <w:r>
              <w:rPr>
                <w:rFonts w:ascii="宋体" w:hAnsi="宋体" w:cs="宋体" w:eastAsia="宋体" w:hint="default"/>
                <w:spacing w:val="-42"/>
                <w:sz w:val="18"/>
                <w:szCs w:val="18"/>
              </w:rPr>
              <w:t> </w:t>
            </w:r>
            <w:r>
              <w:rPr>
                <w:rFonts w:ascii="宋体" w:hAnsi="宋体" w:cs="宋体" w:eastAsia="宋体" w:hint="default"/>
                <w:spacing w:val="-17"/>
                <w:sz w:val="18"/>
                <w:szCs w:val="18"/>
              </w:rPr>
              <w:t>号）、《企业会计准则第</w:t>
            </w:r>
            <w:r>
              <w:rPr>
                <w:rFonts w:ascii="宋体" w:hAnsi="宋体" w:cs="宋体" w:eastAsia="宋体" w:hint="default"/>
                <w:spacing w:val="5"/>
                <w:sz w:val="18"/>
                <w:szCs w:val="18"/>
              </w:rPr>
              <w:t> </w:t>
            </w:r>
            <w:r>
              <w:rPr>
                <w:rFonts w:ascii="宋体" w:hAnsi="宋体" w:cs="宋体" w:eastAsia="宋体" w:hint="default"/>
                <w:spacing w:val="-1"/>
                <w:sz w:val="18"/>
                <w:szCs w:val="18"/>
              </w:rPr>
              <w:t>23</w:t>
            </w:r>
            <w:r>
              <w:rPr>
                <w:rFonts w:ascii="宋体" w:hAnsi="宋体" w:cs="宋体" w:eastAsia="宋体" w:hint="default"/>
                <w:spacing w:val="-42"/>
                <w:sz w:val="18"/>
                <w:szCs w:val="18"/>
              </w:rPr>
              <w:t> </w:t>
            </w:r>
            <w:r>
              <w:rPr>
                <w:rFonts w:ascii="宋体" w:hAnsi="宋体" w:cs="宋体" w:eastAsia="宋体" w:hint="default"/>
                <w:spacing w:val="-1"/>
                <w:sz w:val="18"/>
                <w:szCs w:val="18"/>
              </w:rPr>
              <w:t>号</w:t>
            </w:r>
            <w:r>
              <w:rPr>
                <w:rFonts w:ascii="宋体" w:hAnsi="宋体" w:cs="宋体" w:eastAsia="宋体" w:hint="default"/>
                <w:spacing w:val="-1"/>
                <w:sz w:val="18"/>
                <w:szCs w:val="18"/>
              </w:rPr>
              <w:t>--</w:t>
            </w:r>
            <w:r>
              <w:rPr>
                <w:rFonts w:ascii="宋体" w:hAnsi="宋体" w:cs="宋体" w:eastAsia="宋体" w:hint="default"/>
                <w:spacing w:val="-1"/>
                <w:sz w:val="18"/>
                <w:szCs w:val="18"/>
              </w:rPr>
              <w:t>金融资产转移》</w:t>
            </w:r>
          </w:p>
          <w:p>
            <w:pPr>
              <w:pStyle w:val="TableParagraph"/>
              <w:spacing w:line="232" w:lineRule="exact" w:before="24"/>
              <w:ind w:left="24" w:right="-4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9"/>
                <w:sz w:val="18"/>
                <w:szCs w:val="18"/>
              </w:rPr>
              <w:t>会</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7</w:t>
            </w:r>
            <w:r>
              <w:rPr>
                <w:rFonts w:ascii="宋体" w:hAnsi="宋体" w:cs="宋体" w:eastAsia="宋体" w:hint="default"/>
                <w:spacing w:val="-48"/>
                <w:sz w:val="18"/>
                <w:szCs w:val="18"/>
              </w:rPr>
              <w:t>〕</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40"/>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号</w:t>
            </w:r>
            <w:r>
              <w:rPr>
                <w:rFonts w:ascii="宋体" w:hAnsi="宋体" w:cs="宋体" w:eastAsia="宋体" w:hint="default"/>
                <w:spacing w:val="1"/>
                <w:sz w:val="18"/>
                <w:szCs w:val="18"/>
              </w:rPr>
              <w:t>--</w:t>
            </w:r>
            <w:r>
              <w:rPr>
                <w:rFonts w:ascii="宋体" w:hAnsi="宋体" w:cs="宋体" w:eastAsia="宋体" w:hint="default"/>
                <w:sz w:val="18"/>
                <w:szCs w:val="18"/>
              </w:rPr>
              <w:t>套期会计</w:t>
            </w:r>
            <w:r>
              <w:rPr>
                <w:rFonts w:ascii="宋体" w:hAnsi="宋体" w:cs="宋体" w:eastAsia="宋体" w:hint="default"/>
                <w:spacing w:val="-14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财</w:t>
            </w:r>
            <w:r>
              <w:rPr>
                <w:rFonts w:ascii="宋体" w:hAnsi="宋体" w:cs="宋体" w:eastAsia="宋体" w:hint="default"/>
                <w:spacing w:val="-49"/>
                <w:sz w:val="18"/>
                <w:szCs w:val="18"/>
              </w:rPr>
              <w:t>会</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7</w:t>
            </w:r>
            <w:r>
              <w:rPr>
                <w:rFonts w:ascii="宋体" w:hAnsi="宋体" w:cs="宋体" w:eastAsia="宋体" w:hint="default"/>
                <w:spacing w:val="-36"/>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pacing w:val="-39"/>
                <w:sz w:val="18"/>
                <w:szCs w:val="18"/>
              </w:rPr>
              <w:t>）和</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w:t>
            </w:r>
            <w:r>
              <w:rPr>
                <w:rFonts w:ascii="宋体" w:hAnsi="宋体" w:cs="宋体" w:eastAsia="宋体" w:hint="default"/>
                <w:sz w:val="18"/>
                <w:szCs w:val="18"/>
              </w:rPr>
              <w:t>金融工具列报</w:t>
            </w:r>
            <w:r>
              <w:rPr>
                <w:rFonts w:ascii="宋体" w:hAnsi="宋体" w:cs="宋体" w:eastAsia="宋体" w:hint="default"/>
                <w:spacing w:val="-130"/>
                <w:sz w:val="18"/>
                <w:szCs w:val="18"/>
              </w:rPr>
              <w:t>》</w:t>
            </w:r>
            <w:r>
              <w:rPr>
                <w:rFonts w:ascii="宋体" w:hAnsi="宋体" w:cs="宋体" w:eastAsia="宋体" w:hint="default"/>
                <w:sz w:val="18"/>
                <w:szCs w:val="18"/>
              </w:rPr>
              <w:t>（财</w:t>
            </w:r>
            <w:r>
              <w:rPr>
                <w:rFonts w:ascii="宋体" w:hAnsi="宋体" w:cs="宋体" w:eastAsia="宋体" w:hint="default"/>
                <w:spacing w:val="-39"/>
                <w:sz w:val="18"/>
                <w:szCs w:val="18"/>
              </w:rPr>
              <w:t>会</w:t>
            </w: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pacing w:val="1"/>
                <w:sz w:val="18"/>
                <w:szCs w:val="18"/>
              </w:rPr>
              <w:t>7</w:t>
            </w:r>
            <w:r>
              <w:rPr>
                <w:rFonts w:ascii="宋体" w:hAnsi="宋体" w:cs="宋体" w:eastAsia="宋体" w:hint="default"/>
                <w:spacing w:val="-39"/>
                <w:sz w:val="18"/>
                <w:szCs w:val="18"/>
              </w:rPr>
              <w:t>〕</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r>
          </w:p>
          <w:p>
            <w:pPr>
              <w:pStyle w:val="TableParagraph"/>
              <w:spacing w:line="209" w:lineRule="exact"/>
              <w:ind w:left="24" w:right="0"/>
              <w:jc w:val="left"/>
              <w:rPr>
                <w:rFonts w:ascii="宋体" w:hAnsi="宋体" w:cs="宋体" w:eastAsia="宋体" w:hint="default"/>
                <w:sz w:val="18"/>
                <w:szCs w:val="18"/>
              </w:rPr>
            </w:pPr>
            <w:r>
              <w:rPr>
                <w:rFonts w:ascii="宋体" w:hAnsi="宋体" w:cs="宋体" w:eastAsia="宋体" w:hint="default"/>
                <w:sz w:val="18"/>
                <w:szCs w:val="18"/>
              </w:rPr>
              <w:t>要求在境内上市的企业，自</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日起施行。</w:t>
            </w:r>
          </w:p>
        </w:tc>
        <w:tc>
          <w:tcPr>
            <w:tcW w:w="156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5" w:lineRule="exact"/>
              <w:ind w:left="16"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4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宋体" w:hAnsi="宋体" w:cs="宋体" w:eastAsia="宋体" w:hint="default"/>
                <w:sz w:val="18"/>
                <w:szCs w:val="18"/>
              </w:rPr>
              <w:t>29</w:t>
            </w:r>
          </w:p>
          <w:p>
            <w:pPr>
              <w:pStyle w:val="TableParagraph"/>
              <w:spacing w:line="230" w:lineRule="exact" w:before="26"/>
              <w:ind w:left="16" w:right="84"/>
              <w:jc w:val="left"/>
              <w:rPr>
                <w:rFonts w:ascii="宋体" w:hAnsi="宋体" w:cs="宋体" w:eastAsia="宋体" w:hint="default"/>
                <w:sz w:val="18"/>
                <w:szCs w:val="18"/>
              </w:rPr>
            </w:pPr>
            <w:r>
              <w:rPr>
                <w:rFonts w:ascii="宋体" w:hAnsi="宋体" w:cs="宋体" w:eastAsia="宋体" w:hint="default"/>
                <w:sz w:val="18"/>
                <w:szCs w:val="18"/>
              </w:rPr>
              <w:t>日第八届董事会第 二次会议批准</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3" w:right="20"/>
              <w:jc w:val="both"/>
              <w:rPr>
                <w:rFonts w:ascii="宋体" w:hAnsi="宋体" w:cs="宋体" w:eastAsia="宋体" w:hint="default"/>
                <w:sz w:val="18"/>
                <w:szCs w:val="18"/>
              </w:rPr>
            </w:pPr>
            <w:r>
              <w:rPr>
                <w:rFonts w:ascii="宋体" w:hAnsi="宋体" w:cs="宋体" w:eastAsia="宋体" w:hint="default"/>
                <w:spacing w:val="-2"/>
                <w:sz w:val="18"/>
                <w:szCs w:val="18"/>
              </w:rPr>
              <w:t>本次会计政策变更，对公司财务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状况、经营成果和现金流量不产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生重大影响。</w:t>
            </w:r>
          </w:p>
        </w:tc>
      </w:tr>
      <w:tr>
        <w:trPr>
          <w:trHeight w:val="1724" w:hRule="exact"/>
        </w:trPr>
        <w:tc>
          <w:tcPr>
            <w:tcW w:w="56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9"/>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pacing w:val="-5"/>
                <w:sz w:val="18"/>
                <w:szCs w:val="18"/>
              </w:rPr>
              <w:t>日，财政部发布了《关于修订印发</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年度一般企业财 </w:t>
            </w:r>
            <w:r>
              <w:rPr>
                <w:rFonts w:ascii="宋体" w:hAnsi="宋体" w:cs="宋体" w:eastAsia="宋体" w:hint="default"/>
                <w:spacing w:val="-5"/>
                <w:sz w:val="18"/>
                <w:szCs w:val="18"/>
              </w:rPr>
              <w:t>务报表格式的通知》（财会〔</w:t>
            </w:r>
            <w:r>
              <w:rPr>
                <w:rFonts w:ascii="宋体" w:hAnsi="宋体" w:cs="宋体" w:eastAsia="宋体" w:hint="default"/>
                <w:spacing w:val="-5"/>
                <w:sz w:val="18"/>
                <w:szCs w:val="18"/>
              </w:rPr>
              <w:t>2019</w:t>
            </w:r>
            <w:r>
              <w:rPr>
                <w:rFonts w:ascii="宋体" w:hAnsi="宋体" w:cs="宋体" w:eastAsia="宋体" w:hint="default"/>
                <w:spacing w:val="-5"/>
                <w:sz w:val="18"/>
                <w:szCs w:val="18"/>
              </w:rPr>
              <w:t>〕</w:t>
            </w:r>
            <w:r>
              <w:rPr>
                <w:rFonts w:ascii="宋体" w:hAnsi="宋体" w:cs="宋体" w:eastAsia="宋体" w:hint="default"/>
                <w:spacing w:val="-5"/>
                <w:sz w:val="18"/>
                <w:szCs w:val="18"/>
              </w:rPr>
              <w:t>6</w:t>
            </w:r>
            <w:r>
              <w:rPr>
                <w:rFonts w:ascii="宋体" w:hAnsi="宋体" w:cs="宋体" w:eastAsia="宋体" w:hint="default"/>
                <w:spacing w:val="-36"/>
                <w:sz w:val="18"/>
                <w:szCs w:val="18"/>
              </w:rPr>
              <w:t> </w:t>
            </w:r>
            <w:r>
              <w:rPr>
                <w:rFonts w:ascii="宋体" w:hAnsi="宋体" w:cs="宋体" w:eastAsia="宋体" w:hint="default"/>
                <w:spacing w:val="-7"/>
                <w:sz w:val="18"/>
                <w:szCs w:val="18"/>
              </w:rPr>
              <w:t>号），对一般企业财务报表格式进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行了修订，适用于执行企业会计准则的非金融企业</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年度中期财务</w:t>
            </w:r>
          </w:p>
          <w:p>
            <w:pPr>
              <w:pStyle w:val="TableParagraph"/>
              <w:spacing w:line="234" w:lineRule="exact"/>
              <w:ind w:left="24" w:right="0"/>
              <w:jc w:val="both"/>
              <w:rPr>
                <w:rFonts w:ascii="宋体" w:hAnsi="宋体" w:cs="宋体" w:eastAsia="宋体" w:hint="default"/>
                <w:sz w:val="18"/>
                <w:szCs w:val="18"/>
              </w:rPr>
            </w:pPr>
            <w:r>
              <w:rPr>
                <w:rFonts w:ascii="宋体" w:hAnsi="宋体" w:cs="宋体" w:eastAsia="宋体" w:hint="default"/>
                <w:sz w:val="18"/>
                <w:szCs w:val="18"/>
              </w:rPr>
              <w:t>报表和年度财务报表及以后期间的财务报表。</w:t>
            </w: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9</w:t>
            </w:r>
            <w:r>
              <w:rPr>
                <w:rFonts w:ascii="宋体" w:hAnsi="宋体" w:cs="宋体" w:eastAsia="宋体" w:hint="default"/>
                <w:spacing w:val="-52"/>
                <w:sz w:val="18"/>
                <w:szCs w:val="18"/>
              </w:rPr>
              <w:t> </w:t>
            </w:r>
            <w:r>
              <w:rPr>
                <w:rFonts w:ascii="宋体" w:hAnsi="宋体" w:cs="宋体" w:eastAsia="宋体" w:hint="default"/>
                <w:spacing w:val="-6"/>
                <w:sz w:val="18"/>
                <w:szCs w:val="18"/>
              </w:rPr>
              <w:t>日印发《企</w:t>
            </w:r>
          </w:p>
          <w:p>
            <w:pPr>
              <w:pStyle w:val="TableParagraph"/>
              <w:spacing w:line="233" w:lineRule="exact"/>
              <w:ind w:left="24" w:right="0"/>
              <w:jc w:val="both"/>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pacing w:val="-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非货币</w:t>
            </w:r>
            <w:r>
              <w:rPr>
                <w:rFonts w:ascii="宋体" w:hAnsi="宋体" w:cs="宋体" w:eastAsia="宋体" w:hint="default"/>
                <w:spacing w:val="-3"/>
                <w:sz w:val="18"/>
                <w:szCs w:val="18"/>
              </w:rPr>
              <w:t>性</w:t>
            </w:r>
            <w:r>
              <w:rPr>
                <w:rFonts w:ascii="宋体" w:hAnsi="宋体" w:cs="宋体" w:eastAsia="宋体" w:hint="default"/>
                <w:sz w:val="18"/>
                <w:szCs w:val="18"/>
              </w:rPr>
              <w:t>资产交换</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宋体" w:hAnsi="宋体" w:cs="宋体" w:eastAsia="宋体" w:hint="default"/>
                <w:spacing w:val="1"/>
                <w:sz w:val="18"/>
                <w:szCs w:val="18"/>
              </w:rPr>
              <w:t>2019</w:t>
            </w:r>
            <w:r>
              <w:rPr>
                <w:rFonts w:ascii="宋体" w:hAnsi="宋体" w:cs="宋体" w:eastAsia="宋体" w:hint="default"/>
                <w:spacing w:val="-3"/>
                <w:sz w:val="18"/>
                <w:szCs w:val="18"/>
              </w:rPr>
              <w:t>〕</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w:t>
            </w:r>
          </w:p>
          <w:p>
            <w:pPr>
              <w:pStyle w:val="TableParagraph"/>
              <w:spacing w:line="233" w:lineRule="exact"/>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日起施行；</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日印发《企业会计准则第</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z w:val="18"/>
                <w:szCs w:val="18"/>
              </w:rPr>
              <w:t>--</w:t>
            </w:r>
          </w:p>
          <w:p>
            <w:pPr>
              <w:pStyle w:val="TableParagraph"/>
              <w:spacing w:line="234" w:lineRule="exact"/>
              <w:ind w:left="24" w:right="0"/>
              <w:jc w:val="both"/>
              <w:rPr>
                <w:rFonts w:ascii="宋体" w:hAnsi="宋体" w:cs="宋体" w:eastAsia="宋体" w:hint="default"/>
                <w:sz w:val="18"/>
                <w:szCs w:val="18"/>
              </w:rPr>
            </w:pPr>
            <w:r>
              <w:rPr>
                <w:rFonts w:ascii="宋体" w:hAnsi="宋体" w:cs="宋体" w:eastAsia="宋体" w:hint="default"/>
                <w:sz w:val="18"/>
                <w:szCs w:val="18"/>
              </w:rPr>
              <w:t>债务重组</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宋体" w:hAnsi="宋体" w:cs="宋体" w:eastAsia="宋体" w:hint="default"/>
                <w:spacing w:val="1"/>
                <w:sz w:val="18"/>
                <w:szCs w:val="18"/>
              </w:rPr>
              <w:t>2019</w:t>
            </w:r>
            <w:r>
              <w:rPr>
                <w:rFonts w:ascii="宋体" w:hAnsi="宋体" w:cs="宋体" w:eastAsia="宋体" w:hint="default"/>
                <w:spacing w:val="-3"/>
                <w:sz w:val="18"/>
                <w:szCs w:val="18"/>
              </w:rPr>
              <w:t>〕</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日起施</w:t>
            </w:r>
            <w:r>
              <w:rPr>
                <w:rFonts w:ascii="宋体" w:hAnsi="宋体" w:cs="宋体" w:eastAsia="宋体" w:hint="default"/>
                <w:spacing w:val="-3"/>
                <w:sz w:val="18"/>
                <w:szCs w:val="18"/>
              </w:rPr>
              <w:t>行</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8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宋体" w:hAnsi="宋体" w:cs="宋体" w:eastAsia="宋体" w:hint="default"/>
                <w:sz w:val="18"/>
                <w:szCs w:val="18"/>
              </w:rPr>
              <w:t>29</w:t>
            </w:r>
          </w:p>
          <w:p>
            <w:pPr>
              <w:pStyle w:val="TableParagraph"/>
              <w:spacing w:line="230" w:lineRule="exact" w:before="26"/>
              <w:ind w:left="23" w:right="84"/>
              <w:jc w:val="left"/>
              <w:rPr>
                <w:rFonts w:ascii="宋体" w:hAnsi="宋体" w:cs="宋体" w:eastAsia="宋体" w:hint="default"/>
                <w:sz w:val="18"/>
                <w:szCs w:val="18"/>
              </w:rPr>
            </w:pPr>
            <w:r>
              <w:rPr>
                <w:rFonts w:ascii="宋体" w:hAnsi="宋体" w:cs="宋体" w:eastAsia="宋体" w:hint="default"/>
                <w:sz w:val="18"/>
                <w:szCs w:val="18"/>
              </w:rPr>
              <w:t>日第八届董事会第 三次会议批准</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3" w:right="-2"/>
              <w:jc w:val="left"/>
              <w:rPr>
                <w:rFonts w:ascii="宋体" w:hAnsi="宋体" w:cs="宋体" w:eastAsia="宋体" w:hint="default"/>
                <w:sz w:val="18"/>
                <w:szCs w:val="18"/>
              </w:rPr>
            </w:pPr>
            <w:r>
              <w:rPr>
                <w:rFonts w:ascii="宋体" w:hAnsi="宋体" w:cs="宋体" w:eastAsia="宋体" w:hint="default"/>
                <w:sz w:val="18"/>
                <w:szCs w:val="18"/>
              </w:rPr>
              <w:t>本次会计政策变更仅对公司财 务报表格式和部分项目填列口 径产生影响，不影响公司损益、 净资产和净利润等财务指标。</w:t>
            </w:r>
          </w:p>
        </w:tc>
      </w:tr>
      <w:tr>
        <w:trPr>
          <w:trHeight w:val="1025" w:hRule="exact"/>
        </w:trPr>
        <w:tc>
          <w:tcPr>
            <w:tcW w:w="5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5"/>
              <w:ind w:left="24"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17"/>
                <w:sz w:val="18"/>
                <w:szCs w:val="18"/>
              </w:rPr>
              <w:t> </w:t>
            </w:r>
            <w:r>
              <w:rPr>
                <w:rFonts w:ascii="宋体" w:hAnsi="宋体" w:cs="宋体" w:eastAsia="宋体" w:hint="default"/>
                <w:sz w:val="18"/>
                <w:szCs w:val="18"/>
              </w:rPr>
              <w:t>月，财政部发布了《关于修订印发合并财务报表格式（</w:t>
            </w:r>
            <w:r>
              <w:rPr>
                <w:rFonts w:ascii="宋体" w:hAnsi="宋体" w:cs="宋体" w:eastAsia="宋体" w:hint="default"/>
                <w:sz w:val="18"/>
                <w:szCs w:val="18"/>
              </w:rPr>
              <w:t>2019</w:t>
            </w:r>
          </w:p>
          <w:p>
            <w:pPr>
              <w:pStyle w:val="TableParagraph"/>
              <w:spacing w:line="230" w:lineRule="exact" w:before="26"/>
              <w:ind w:left="24" w:right="96"/>
              <w:jc w:val="left"/>
              <w:rPr>
                <w:rFonts w:ascii="宋体" w:hAnsi="宋体" w:cs="宋体" w:eastAsia="宋体" w:hint="default"/>
                <w:sz w:val="18"/>
                <w:szCs w:val="18"/>
              </w:rPr>
            </w:pPr>
            <w:r>
              <w:rPr>
                <w:rFonts w:ascii="宋体" w:hAnsi="宋体" w:cs="宋体" w:eastAsia="宋体" w:hint="default"/>
                <w:spacing w:val="-6"/>
                <w:sz w:val="18"/>
                <w:szCs w:val="18"/>
              </w:rPr>
              <w:t>版），适用于执行企业会计准则的企业</w:t>
            </w:r>
            <w:r>
              <w:rPr>
                <w:rFonts w:ascii="宋体" w:hAnsi="宋体" w:cs="宋体" w:eastAsia="宋体" w:hint="default"/>
                <w:sz w:val="18"/>
                <w:szCs w:val="18"/>
              </w:rPr>
              <w:t> </w:t>
            </w:r>
            <w:r>
              <w:rPr>
                <w:rFonts w:ascii="宋体" w:hAnsi="宋体" w:cs="宋体" w:eastAsia="宋体" w:hint="default"/>
                <w:sz w:val="18"/>
                <w:szCs w:val="18"/>
              </w:rPr>
              <w:t>2019</w:t>
            </w:r>
            <w:r>
              <w:rPr>
                <w:rFonts w:ascii="宋体" w:hAnsi="宋体" w:cs="宋体" w:eastAsia="宋体" w:hint="default"/>
                <w:spacing w:val="20"/>
                <w:sz w:val="18"/>
                <w:szCs w:val="18"/>
              </w:rPr>
              <w:t> </w:t>
            </w:r>
            <w:r>
              <w:rPr>
                <w:rFonts w:ascii="宋体" w:hAnsi="宋体" w:cs="宋体" w:eastAsia="宋体" w:hint="default"/>
                <w:spacing w:val="-1"/>
                <w:sz w:val="18"/>
                <w:szCs w:val="18"/>
              </w:rPr>
              <w:t>年度合并财务报表及以后</w:t>
            </w:r>
            <w:r>
              <w:rPr>
                <w:rFonts w:ascii="宋体" w:hAnsi="宋体" w:cs="宋体" w:eastAsia="宋体" w:hint="default"/>
                <w:sz w:val="18"/>
                <w:szCs w:val="18"/>
              </w:rPr>
              <w:t> 期间。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5"/>
              <w:ind w:left="23"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 </w:t>
            </w:r>
            <w:r>
              <w:rPr>
                <w:rFonts w:ascii="宋体" w:hAnsi="宋体" w:cs="宋体" w:eastAsia="宋体" w:hint="default"/>
                <w:sz w:val="18"/>
                <w:szCs w:val="18"/>
              </w:rPr>
              <w:t>10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宋体" w:hAnsi="宋体" w:cs="宋体" w:eastAsia="宋体" w:hint="default"/>
                <w:sz w:val="18"/>
                <w:szCs w:val="18"/>
              </w:rPr>
              <w:t>30</w:t>
            </w:r>
          </w:p>
          <w:p>
            <w:pPr>
              <w:pStyle w:val="TableParagraph"/>
              <w:spacing w:line="230" w:lineRule="exact" w:before="26"/>
              <w:ind w:left="23" w:right="84"/>
              <w:jc w:val="left"/>
              <w:rPr>
                <w:rFonts w:ascii="宋体" w:hAnsi="宋体" w:cs="宋体" w:eastAsia="宋体" w:hint="default"/>
                <w:sz w:val="18"/>
                <w:szCs w:val="18"/>
              </w:rPr>
            </w:pPr>
            <w:r>
              <w:rPr>
                <w:rFonts w:ascii="宋体" w:hAnsi="宋体" w:cs="宋体" w:eastAsia="宋体" w:hint="default"/>
                <w:sz w:val="18"/>
                <w:szCs w:val="18"/>
              </w:rPr>
              <w:t>日第八届董事会第 四次会议批准。</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2"/>
              <w:jc w:val="left"/>
              <w:rPr>
                <w:rFonts w:ascii="宋体" w:hAnsi="宋体" w:cs="宋体" w:eastAsia="宋体" w:hint="default"/>
                <w:sz w:val="18"/>
                <w:szCs w:val="18"/>
              </w:rPr>
            </w:pPr>
            <w:r>
              <w:rPr>
                <w:rFonts w:ascii="宋体" w:hAnsi="宋体" w:cs="宋体" w:eastAsia="宋体" w:hint="default"/>
                <w:sz w:val="18"/>
                <w:szCs w:val="18"/>
              </w:rPr>
              <w:t>本次会计政策变更仅对公司财 务报表格式和部分项目填列口 径产生影响，不影响公司损益、 净资产和净利润等财务指标。</w:t>
            </w:r>
          </w:p>
        </w:tc>
      </w:tr>
    </w:tbl>
    <w:p>
      <w:pPr>
        <w:pStyle w:val="BodyText"/>
        <w:spacing w:line="240" w:lineRule="auto" w:before="8"/>
        <w:ind w:right="1133"/>
        <w:jc w:val="left"/>
      </w:pPr>
      <w:r>
        <w:rPr/>
        <w:t>公司按准则要求将年初列报在可供出售金融资产调整至其他权益工具投资项目金额为</w:t>
      </w:r>
      <w:r>
        <w:rPr>
          <w:rFonts w:ascii="Times New Roman" w:hAnsi="Times New Roman" w:cs="Times New Roman" w:eastAsia="Times New Roman" w:hint="default"/>
        </w:rPr>
        <w:t>40,263,140.39</w:t>
      </w:r>
      <w:r>
        <w:rPr/>
        <w:t>元。</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2）重要会计估计变更" w:id="223"/>
      <w:bookmarkEnd w:id="22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2019年起执行新金融工具准则、新收入准则或新租赁准则调整执行当年年初财务" w:id="224"/>
      <w:bookmarkEnd w:id="224"/>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2464"/>
        <w:gridCol w:w="2456"/>
        <w:gridCol w:w="2180"/>
      </w:tblGrid>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348,732,469.00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348,732,469.00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102,484,792.97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102,484,792.97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38,826,854.22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38,826,854.22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128,121,695.49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128,121,695.49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21,295,208.04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21,295,208.04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105,354.13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105,354.13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51,974,617.36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51,974,617.36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670,245,783.17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670,245,783.17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529"/>
        <w:gridCol w:w="2464"/>
        <w:gridCol w:w="2456"/>
        <w:gridCol w:w="2180"/>
      </w:tblGrid>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40,263,140.39</w:t>
            </w: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-40,263,140.39</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354,905,679.69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354,905,679.69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40,263,140.39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40,263,140.39</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52,582,320.80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52,582,320.80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40,458,413.53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40,458,413.53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102,308,918.75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102,308,918.75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51,512,949.75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51,512,949.75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2,849,493,500.83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2,849,493,500.83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3,397,170.97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3,397,170.97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1,207,412.32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1,207,412.32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3,496,129,507.03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3,496,129,507.03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4,166,375,290.20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4,166,375,290.20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14,792,638.52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14,792,638.52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109,439,413.67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109,439,413.67</w:t>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529"/>
        <w:gridCol w:w="2464"/>
        <w:gridCol w:w="2456"/>
        <w:gridCol w:w="2180"/>
      </w:tblGrid>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18,672,497.77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18,672,497.77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34,449,946.95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34,449,946.95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91,483,182.66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91,483,182.66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378,900.11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378,900.11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393,172,893.64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393,172,893.64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662,010,573.21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662,010,573.21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28,980,225.14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28,980,225.14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3,363,518.75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3,363,518.75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633,948,498.62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633,948,498.62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666,292,242.51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666,292,242.51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1,328,302,815.72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1,328,302,815.72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765,799,353.00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765,799,353.00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540"/>
        <w:gridCol w:w="2464"/>
        <w:gridCol w:w="2456"/>
        <w:gridCol w:w="2180"/>
      </w:tblGrid>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2,040,431,333.05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2,040,431,333.05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28,016,004.53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28,016,004.53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-50,318,173.32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-50,318,173.32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2,783,928,517.26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2,783,928,517.26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54,143,957.22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54,143,957.22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2,838,072,474.48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2,838,072,474.48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4,166,375,290.20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4,166,375,290.20</w:t>
            </w:r>
          </w:p>
        </w:tc>
        <w:tc>
          <w:tcPr>
            <w:tcW w:w="21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pStyle w:val="BodyText"/>
        <w:spacing w:line="240" w:lineRule="auto" w:before="115"/>
        <w:ind w:left="441" w:right="0"/>
        <w:jc w:val="left"/>
      </w:pPr>
      <w:r>
        <w:rPr/>
        <w:t>财政部于 </w:t>
      </w:r>
      <w:r>
        <w:rPr>
          <w:rFonts w:ascii="Times New Roman" w:hAnsi="Times New Roman" w:cs="Times New Roman" w:eastAsia="Times New Roman" w:hint="default"/>
        </w:rPr>
        <w:t>2017 </w:t>
      </w:r>
      <w:r>
        <w:rPr/>
        <w:t>年颁布了修订后的《企业会计准则第 </w:t>
      </w:r>
      <w:r>
        <w:rPr>
          <w:rFonts w:ascii="Times New Roman" w:hAnsi="Times New Roman" w:cs="Times New Roman" w:eastAsia="Times New Roman" w:hint="default"/>
        </w:rPr>
        <w:t>22 </w:t>
      </w:r>
      <w:r>
        <w:rPr>
          <w:spacing w:val="-3"/>
        </w:rPr>
        <w:t>号</w:t>
      </w:r>
      <w:r>
        <w:rPr>
          <w:rFonts w:ascii="Times New Roman" w:hAnsi="Times New Roman" w:cs="Times New Roman" w:eastAsia="Times New Roman" w:hint="default"/>
          <w:spacing w:val="-3"/>
        </w:rPr>
        <w:t>——</w:t>
      </w:r>
      <w:r>
        <w:rPr>
          <w:spacing w:val="-3"/>
        </w:rPr>
        <w:t>金融工具确认和计量》、《企业会计准则第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金</w:t>
      </w:r>
    </w:p>
    <w:p>
      <w:pPr>
        <w:pStyle w:val="BodyText"/>
        <w:spacing w:line="300" w:lineRule="auto" w:before="63"/>
        <w:ind w:right="1144"/>
        <w:jc w:val="left"/>
      </w:pPr>
      <w:r>
        <w:rPr/>
        <w:t>融工具列报》，根据相关规定，本公司于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日首次执行新金融准则。根据新金融工具准则的相关规定，公司 按准则要求将年初列报在可供出售金融资产调整至其他权益工具投资项目。</w:t>
      </w:r>
    </w:p>
    <w:p>
      <w:pPr>
        <w:spacing w:line="240" w:lineRule="auto" w:before="13"/>
        <w:rPr>
          <w:rFonts w:ascii="宋体" w:hAnsi="宋体" w:cs="宋体" w:eastAsia="宋体" w:hint="default"/>
          <w:sz w:val="25"/>
          <w:szCs w:val="25"/>
        </w:rPr>
      </w:pPr>
    </w:p>
    <w:p>
      <w:pPr>
        <w:pStyle w:val="BodyText"/>
        <w:spacing w:line="240" w:lineRule="auto" w:before="44"/>
        <w:ind w:right="1133"/>
        <w:jc w:val="left"/>
      </w:pPr>
      <w:r>
        <w:rPr/>
        <w:t>母公司资产负债表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2465"/>
        <w:gridCol w:w="2453"/>
        <w:gridCol w:w="2038"/>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117,553,238.71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117,553,238.71</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165,614.67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165,614.67</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39,466,902.96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39,466,902.96</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8"/>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8"/>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672"/>
        <w:gridCol w:w="2465"/>
        <w:gridCol w:w="2453"/>
        <w:gridCol w:w="2038"/>
      </w:tblGrid>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886,296.82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886,296.82</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158,072,053.16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158,072,053.16</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2,964,078,464.24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2,964,078,464.24</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52,582,320.80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52,582,320.80</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27,250,287.76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27,250,287.76</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2,039,760.18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2,039,760.18</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3,045,950,832.98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3,045,950,832.98</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3,204,022,886.14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3,204,022,886.14</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2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入当期损益的金融负债</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672"/>
        <w:gridCol w:w="2465"/>
        <w:gridCol w:w="2453"/>
        <w:gridCol w:w="2038"/>
      </w:tblGrid>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4,356,747.95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4,356,747.95</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1,196,112.27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1,196,112.27</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674,065.71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674,065.71</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181,564.81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181,564.81</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432,704,700.79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432,704,700.79</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378,900.11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378,900.11</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31,133,289.83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31,133,289.83</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470,246,481.36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470,246,481.36</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28,980,225.14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28,980,225.14</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32,836.93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32,836.93</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31,937,251.54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31,937,251.54</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60,950,313.61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60,950,313.61</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531,196,794.97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531,196,794.97</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765,799,353.00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765,799,353.00</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2,099,233,168.43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2,099,233,168.43</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695"/>
        <w:gridCol w:w="2453"/>
        <w:gridCol w:w="2453"/>
        <w:gridCol w:w="2038"/>
      </w:tblGrid>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28,016,004.53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28,016,004.53</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-220,222,434.79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-220,222,434.79</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2,672,826,091.17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2,672,826,091.17</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3,204,022,886.14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3,204,022,886.14</w:t>
            </w:r>
          </w:p>
        </w:tc>
        <w:tc>
          <w:tcPr>
            <w:tcW w:w="203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2019年起执行新金融工具准则或新租赁准则追溯调整前期比较数据说明" w:id="225"/>
      <w:bookmarkEnd w:id="225"/>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bookmarkStart w:name="38、其他" w:id="226"/>
      <w:bookmarkEnd w:id="226"/>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27"/>
      <w:bookmarkEnd w:id="227"/>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28"/>
      <w:bookmarkEnd w:id="22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2268"/>
        <w:gridCol w:w="4254"/>
        <w:gridCol w:w="3118"/>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9"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4" w:type="dxa"/>
            <w:vMerge w:val="restart"/>
            <w:tcBorders>
              <w:top w:val="single" w:sz="4" w:space="0" w:color="000000"/>
              <w:left w:val="single" w:sz="9" w:space="0" w:color="D2D2D2"/>
              <w:right w:val="single" w:sz="4" w:space="0" w:color="000000"/>
            </w:tcBorders>
          </w:tcPr>
          <w:p>
            <w:pPr>
              <w:pStyle w:val="TableParagraph"/>
              <w:spacing w:line="316" w:lineRule="auto" w:before="51"/>
              <w:ind w:left="17" w:right="78"/>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 算销项税额，在扣除当期允许抵扣的进项税额后，差 额部分为应交增值税</w:t>
            </w:r>
          </w:p>
        </w:tc>
        <w:tc>
          <w:tcPr>
            <w:tcW w:w="31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z w:val="18"/>
                <w:szCs w:val="18"/>
              </w:rPr>
              <w:t>、</w:t>
            </w:r>
            <w:r>
              <w:rPr>
                <w:rFonts w:ascii="宋体" w:hAnsi="宋体" w:cs="宋体" w:eastAsia="宋体" w:hint="default"/>
                <w:sz w:val="18"/>
                <w:szCs w:val="18"/>
              </w:rPr>
              <w:t>6.00</w:t>
            </w:r>
            <w:r>
              <w:rPr>
                <w:rFonts w:ascii="宋体" w:hAnsi="宋体" w:cs="宋体" w:eastAsia="宋体" w:hint="default"/>
                <w:sz w:val="18"/>
                <w:szCs w:val="18"/>
              </w:rPr>
              <w:t>、</w:t>
            </w:r>
            <w:r>
              <w:rPr>
                <w:rFonts w:ascii="宋体" w:hAnsi="宋体" w:cs="宋体" w:eastAsia="宋体" w:hint="default"/>
                <w:sz w:val="18"/>
                <w:szCs w:val="18"/>
              </w:rPr>
              <w:t>16.00</w:t>
            </w:r>
          </w:p>
        </w:tc>
      </w:tr>
      <w:tr>
        <w:trPr>
          <w:trHeight w:val="391"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254" w:type="dxa"/>
            <w:vMerge/>
            <w:tcBorders>
              <w:left w:val="single" w:sz="9" w:space="0" w:color="D2D2D2"/>
              <w:right w:val="single" w:sz="4" w:space="0" w:color="000000"/>
            </w:tcBorders>
          </w:tcPr>
          <w:p>
            <w:pPr/>
          </w:p>
        </w:tc>
        <w:tc>
          <w:tcPr>
            <w:tcW w:w="3118" w:type="dxa"/>
            <w:vMerge/>
            <w:tcBorders>
              <w:left w:val="single" w:sz="4" w:space="0" w:color="000000"/>
              <w:right w:val="single" w:sz="4" w:space="0" w:color="000000"/>
            </w:tcBorders>
          </w:tcPr>
          <w:p>
            <w:pPr/>
          </w:p>
        </w:tc>
      </w:tr>
      <w:tr>
        <w:trPr>
          <w:trHeight w:val="317"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4" w:type="dxa"/>
            <w:vMerge/>
            <w:tcBorders>
              <w:left w:val="single" w:sz="9" w:space="0" w:color="D2D2D2"/>
              <w:bottom w:val="single" w:sz="4" w:space="0" w:color="000000"/>
              <w:right w:val="single" w:sz="4" w:space="0" w:color="000000"/>
            </w:tcBorders>
          </w:tcPr>
          <w:p>
            <w:pPr/>
          </w:p>
        </w:tc>
        <w:tc>
          <w:tcPr>
            <w:tcW w:w="3118" w:type="dxa"/>
            <w:vMerge/>
            <w:tcBorders>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2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2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25.00</w:t>
            </w:r>
            <w:r>
              <w:rPr>
                <w:rFonts w:ascii="宋体" w:hAnsi="宋体" w:cs="宋体" w:eastAsia="宋体" w:hint="default"/>
                <w:sz w:val="18"/>
                <w:szCs w:val="18"/>
              </w:rPr>
              <w:t>、</w:t>
            </w:r>
            <w:r>
              <w:rPr>
                <w:rFonts w:ascii="宋体" w:hAnsi="宋体" w:cs="宋体" w:eastAsia="宋体" w:hint="default"/>
                <w:sz w:val="18"/>
                <w:szCs w:val="18"/>
              </w:rPr>
              <w:t>20.00</w:t>
            </w:r>
            <w:r>
              <w:rPr>
                <w:rFonts w:ascii="宋体" w:hAnsi="宋体" w:cs="宋体" w:eastAsia="宋体" w:hint="default"/>
                <w:sz w:val="18"/>
                <w:szCs w:val="18"/>
              </w:rPr>
              <w:t>、</w:t>
            </w:r>
            <w:r>
              <w:rPr>
                <w:rFonts w:ascii="宋体" w:hAnsi="宋体" w:cs="宋体" w:eastAsia="宋体" w:hint="default"/>
                <w:sz w:val="18"/>
                <w:szCs w:val="18"/>
              </w:rPr>
              <w:t>15.00</w:t>
            </w:r>
            <w:r>
              <w:rPr>
                <w:rFonts w:ascii="宋体" w:hAnsi="宋体" w:cs="宋体" w:eastAsia="宋体" w:hint="default"/>
                <w:sz w:val="18"/>
                <w:szCs w:val="18"/>
              </w:rPr>
              <w:t>、</w:t>
            </w:r>
            <w:r>
              <w:rPr>
                <w:rFonts w:ascii="宋体" w:hAnsi="宋体" w:cs="宋体" w:eastAsia="宋体" w:hint="default"/>
                <w:sz w:val="18"/>
                <w:szCs w:val="18"/>
              </w:rPr>
              <w:t>12.50</w:t>
            </w:r>
            <w:r>
              <w:rPr>
                <w:rFonts w:ascii="宋体" w:hAnsi="宋体" w:cs="宋体" w:eastAsia="宋体" w:hint="default"/>
                <w:sz w:val="18"/>
                <w:szCs w:val="18"/>
              </w:rPr>
              <w:t>、</w:t>
            </w:r>
            <w:r>
              <w:rPr>
                <w:rFonts w:ascii="宋体" w:hAnsi="宋体" w:cs="宋体" w:eastAsia="宋体" w:hint="default"/>
                <w:sz w:val="18"/>
                <w:szCs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2.00</w:t>
            </w:r>
          </w:p>
        </w:tc>
      </w:tr>
    </w:tbl>
    <w:p>
      <w:pPr>
        <w:pStyle w:val="BodyText"/>
        <w:spacing w:line="240" w:lineRule="auto" w:before="49"/>
        <w:ind w:right="1133"/>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霍尔果斯快马财税管理服务有限公司及部分分公司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12.50%</w:t>
            </w:r>
            <w:r>
              <w:rPr>
                <w:rFonts w:ascii="宋体" w:hAnsi="宋体" w:cs="宋体" w:eastAsia="宋体" w:hint="default"/>
                <w:sz w:val="18"/>
                <w:szCs w:val="18"/>
              </w:rPr>
              <w:t>计缴</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神州优才人力资源服务有限公司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15.00%</w:t>
            </w:r>
            <w:r>
              <w:rPr>
                <w:rFonts w:ascii="宋体" w:hAnsi="宋体" w:cs="宋体" w:eastAsia="宋体" w:hint="default"/>
                <w:sz w:val="18"/>
                <w:szCs w:val="18"/>
              </w:rPr>
              <w:t>计缴</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易桥（上海）信息科技有限公司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计缴</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无锡易真企业管理有限公司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计缴</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无锡易广企业管理有限公司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计缴</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顺利办（舟山）信息技术有限公司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计缴</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霍尔果斯快马财税管理服务有限公司下属子公司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计缴</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霍尔果斯易桥快马企业管理咨询有限公司下属部分子公司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计缴</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易桥信息服务有限公司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00.00%</w:t>
            </w:r>
            <w:r>
              <w:rPr>
                <w:rFonts w:ascii="宋体" w:hAnsi="宋体" w:cs="宋体" w:eastAsia="宋体" w:hint="default"/>
                <w:sz w:val="18"/>
                <w:szCs w:val="18"/>
              </w:rPr>
              <w:t>计缴</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霍尔果斯易桥快马企业管理咨询有限公司及部分分公司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12.50%</w:t>
            </w:r>
            <w:r>
              <w:rPr>
                <w:rFonts w:ascii="宋体" w:hAnsi="宋体" w:cs="宋体" w:eastAsia="宋体" w:hint="default"/>
                <w:sz w:val="18"/>
                <w:szCs w:val="18"/>
              </w:rPr>
              <w:t>计缴</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霍尔果斯易桥快马企业管理咨询有限公司宁夏分公司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宋体" w:hAnsi="宋体" w:cs="宋体" w:eastAsia="宋体" w:hint="default"/>
                <w:sz w:val="18"/>
                <w:szCs w:val="18"/>
              </w:rPr>
              <w:t>计缴，额外免征地方留存部分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陕西神州易桥企业管理有限公司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15.00%</w:t>
            </w:r>
            <w:r>
              <w:rPr>
                <w:rFonts w:ascii="宋体" w:hAnsi="宋体" w:cs="宋体" w:eastAsia="宋体" w:hint="default"/>
                <w:sz w:val="18"/>
                <w:szCs w:val="18"/>
              </w:rPr>
              <w:t>计缴</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bookmarkStart w:name="2、税收优惠" w:id="229"/>
      <w:bookmarkEnd w:id="22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1" w:firstLine="425"/>
        <w:jc w:val="both"/>
      </w:pPr>
      <w:r>
        <w:rPr/>
        <w:t>⑴本公司之子公司霍尔果斯快马财税管理服务有限公司根据霍尔果斯经济技术开发区国家税务局《税务事项通知书》 </w:t>
      </w:r>
      <w:r>
        <w:rPr>
          <w:spacing w:val="-2"/>
        </w:rPr>
        <w:t>霍经国税通（</w:t>
      </w:r>
      <w:r>
        <w:rPr>
          <w:rFonts w:ascii="宋体" w:hAnsi="宋体" w:cs="宋体" w:eastAsia="宋体" w:hint="default"/>
          <w:spacing w:val="-2"/>
        </w:rPr>
        <w:t>2017</w:t>
      </w:r>
      <w:r>
        <w:rPr>
          <w:spacing w:val="-2"/>
        </w:rPr>
        <w:t>）</w:t>
      </w:r>
      <w:r>
        <w:rPr>
          <w:rFonts w:ascii="宋体" w:hAnsi="宋体" w:cs="宋体" w:eastAsia="宋体" w:hint="default"/>
          <w:spacing w:val="-2"/>
        </w:rPr>
        <w:t>7241</w:t>
      </w:r>
      <w:r>
        <w:rPr>
          <w:spacing w:val="-2"/>
        </w:rPr>
        <w:t>号，“自取得第一笔生产经营收入所属纳税年度起，五年内免征企业所得税”本年度享受企业所得</w:t>
      </w:r>
      <w:r>
        <w:rPr>
          <w:spacing w:val="-58"/>
        </w:rPr>
        <w:t> </w:t>
      </w:r>
      <w:r>
        <w:rPr>
          <w:spacing w:val="-58"/>
        </w:rPr>
      </w:r>
      <w:r>
        <w:rPr/>
        <w:t>税免征优惠。</w:t>
      </w:r>
    </w:p>
    <w:p>
      <w:pPr>
        <w:pStyle w:val="BodyText"/>
        <w:spacing w:line="316" w:lineRule="auto" w:before="19"/>
        <w:ind w:right="1123" w:firstLine="425"/>
        <w:jc w:val="left"/>
      </w:pPr>
      <w:r>
        <w:rPr/>
        <w:t>⑵本公司之子公司霍尔果斯快马财税管理服务有限公司下属部分分公司根据国家税务总局</w:t>
      </w:r>
      <w:r>
        <w:rPr>
          <w:rFonts w:ascii="宋体" w:hAnsi="宋体" w:cs="宋体" w:eastAsia="宋体" w:hint="default"/>
        </w:rPr>
        <w:t>2012</w:t>
      </w:r>
      <w:r>
        <w:rPr/>
        <w:t>年第</w:t>
      </w:r>
      <w:r>
        <w:rPr>
          <w:rFonts w:ascii="宋体" w:hAnsi="宋体" w:cs="宋体" w:eastAsia="宋体" w:hint="default"/>
        </w:rPr>
        <w:t>57</w:t>
      </w:r>
      <w:r>
        <w:rPr/>
        <w:t>号《跨地区经营 汇总纳税企业所得税征收管理办法》的公告相关规定，本年度享受企业所得税减半征收优惠政策。</w:t>
      </w:r>
    </w:p>
    <w:p>
      <w:pPr>
        <w:pStyle w:val="BodyText"/>
        <w:spacing w:line="316" w:lineRule="auto" w:before="19"/>
        <w:ind w:right="1034" w:firstLine="425"/>
        <w:jc w:val="left"/>
      </w:pPr>
      <w:r>
        <w:rPr/>
        <w:t>⑶本公司之孙公司无锡易真企业管理有限公司、无锡易广企业管理有限公司、易桥（上海）信息科技有限公司及本公 </w:t>
      </w:r>
      <w:r>
        <w:rPr>
          <w:spacing w:val="-2"/>
        </w:rPr>
        <w:t>司之孙公司易桥信息服务有限公司之子公司顺利办（舟山）信息技术有限公司、本公司之孙公司霍尔果斯易桥快马企业管理</w:t>
      </w:r>
      <w:r>
        <w:rPr>
          <w:spacing w:val="-65"/>
        </w:rPr>
        <w:t> </w:t>
      </w:r>
      <w:r>
        <w:rPr>
          <w:spacing w:val="-65"/>
        </w:rPr>
      </w:r>
      <w:r>
        <w:rPr/>
        <w:t>咨询有限公司之部分子公司根据《财政部务总局关于实施小微企业普惠性税收减免政策的通知》（国家税务总局公告</w:t>
      </w:r>
      <w:r>
        <w:rPr>
          <w:rFonts w:ascii="宋体" w:hAnsi="宋体" w:cs="宋体" w:eastAsia="宋体" w:hint="default"/>
        </w:rPr>
        <w:t>2019</w:t>
      </w:r>
      <w:r>
        <w:rPr>
          <w:rFonts w:ascii="宋体" w:hAnsi="宋体" w:cs="宋体" w:eastAsia="宋体" w:hint="default"/>
          <w:spacing w:val="-3"/>
        </w:rPr>
        <w:t> </w:t>
      </w:r>
      <w:r>
        <w:rPr>
          <w:rFonts w:ascii="宋体" w:hAnsi="宋体" w:cs="宋体" w:eastAsia="宋体" w:hint="default"/>
          <w:spacing w:val="-3"/>
        </w:rPr>
      </w:r>
      <w:r>
        <w:rPr/>
        <w:t>年第</w:t>
      </w:r>
      <w:r>
        <w:rPr>
          <w:rFonts w:ascii="宋体" w:hAnsi="宋体" w:cs="宋体" w:eastAsia="宋体" w:hint="default"/>
        </w:rPr>
        <w:t>13</w:t>
      </w:r>
      <w:r>
        <w:rPr/>
        <w:t>号）规定，自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日起，对小型微利企业年应纳税所得额不超过</w:t>
      </w:r>
      <w:r>
        <w:rPr>
          <w:rFonts w:ascii="宋体" w:hAnsi="宋体" w:cs="宋体" w:eastAsia="宋体" w:hint="default"/>
        </w:rPr>
        <w:t>100</w:t>
      </w:r>
      <w:r>
        <w:rPr/>
        <w:t>万元的部分，减按</w:t>
      </w:r>
      <w:r>
        <w:rPr>
          <w:rFonts w:ascii="宋体" w:hAnsi="宋体" w:cs="宋体" w:eastAsia="宋体" w:hint="default"/>
        </w:rPr>
        <w:t>25%</w:t>
      </w:r>
      <w:r>
        <w:rPr/>
        <w:t>计入应纳税所得额， 按</w:t>
      </w:r>
      <w:r>
        <w:rPr>
          <w:rFonts w:ascii="宋体" w:hAnsi="宋体" w:cs="宋体" w:eastAsia="宋体" w:hint="default"/>
        </w:rPr>
        <w:t>20%</w:t>
      </w:r>
      <w:r>
        <w:rPr/>
        <w:t>的税率缴纳企业所得税；对年应纳税所得额超过</w:t>
      </w:r>
      <w:r>
        <w:rPr>
          <w:rFonts w:ascii="宋体" w:hAnsi="宋体" w:cs="宋体" w:eastAsia="宋体" w:hint="default"/>
        </w:rPr>
        <w:t>100</w:t>
      </w:r>
      <w:r>
        <w:rPr/>
        <w:t>万元但不超过</w:t>
      </w:r>
      <w:r>
        <w:rPr>
          <w:rFonts w:ascii="宋体" w:hAnsi="宋体" w:cs="宋体" w:eastAsia="宋体" w:hint="default"/>
        </w:rPr>
        <w:t>300</w:t>
      </w:r>
      <w:r>
        <w:rPr/>
        <w:t>万元的部分，减按</w:t>
      </w:r>
      <w:r>
        <w:rPr>
          <w:rFonts w:ascii="宋体" w:hAnsi="宋体" w:cs="宋体" w:eastAsia="宋体" w:hint="default"/>
        </w:rPr>
        <w:t>50%</w:t>
      </w:r>
      <w:r>
        <w:rPr/>
        <w:t>计入应纳税所得额，按</w:t>
      </w:r>
      <w:r>
        <w:rPr>
          <w:rFonts w:ascii="宋体" w:hAnsi="宋体" w:cs="宋体" w:eastAsia="宋体" w:hint="default"/>
        </w:rPr>
        <w:t>20% </w:t>
      </w:r>
      <w:r>
        <w:rPr/>
        <w:t>的税率缴纳企业所得税。</w:t>
      </w:r>
    </w:p>
    <w:p>
      <w:pPr>
        <w:pStyle w:val="BodyText"/>
        <w:spacing w:line="316" w:lineRule="auto" w:before="19"/>
        <w:ind w:right="1131" w:firstLine="425"/>
        <w:jc w:val="both"/>
      </w:pPr>
      <w:r>
        <w:rPr/>
        <w:t>⑷本公司之孙公司神州优才人力资源服务有限公司根据《西部地区鼓励类产业目录》有关企业所得税问题的公告国家 </w:t>
      </w:r>
      <w:r>
        <w:rPr>
          <w:spacing w:val="-2"/>
        </w:rPr>
        <w:t>税务总局公告</w:t>
      </w:r>
      <w:r>
        <w:rPr>
          <w:rFonts w:ascii="宋体" w:hAnsi="宋体" w:cs="宋体" w:eastAsia="宋体" w:hint="default"/>
          <w:spacing w:val="-2"/>
        </w:rPr>
        <w:t>2015</w:t>
      </w:r>
      <w:r>
        <w:rPr>
          <w:spacing w:val="-2"/>
        </w:rPr>
        <w:t>年第</w:t>
      </w:r>
      <w:r>
        <w:rPr>
          <w:rFonts w:ascii="宋体" w:hAnsi="宋体" w:cs="宋体" w:eastAsia="宋体" w:hint="default"/>
          <w:spacing w:val="-2"/>
        </w:rPr>
        <w:t>14</w:t>
      </w:r>
      <w:r>
        <w:rPr>
          <w:spacing w:val="-2"/>
        </w:rPr>
        <w:t>号文，对设在西部地区以《西部地区鼓励类产业目录》中新增鼓励类产业项目为主营业务，且其当</w:t>
      </w:r>
      <w:r>
        <w:rPr>
          <w:spacing w:val="-61"/>
        </w:rPr>
        <w:t> </w:t>
      </w:r>
      <w:r>
        <w:rPr>
          <w:spacing w:val="-61"/>
        </w:rPr>
      </w:r>
      <w:r>
        <w:rPr/>
        <w:t>年度主营业务收入占企业收入总额</w:t>
      </w:r>
      <w:r>
        <w:rPr>
          <w:rFonts w:ascii="宋体" w:hAnsi="宋体" w:cs="宋体" w:eastAsia="宋体" w:hint="default"/>
        </w:rPr>
        <w:t>70%</w:t>
      </w:r>
      <w:r>
        <w:rPr/>
        <w:t>以上的企业，自</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w:t>
      </w:r>
      <w:r>
        <w:rPr/>
        <w:t>日起，企业所得税减按</w:t>
      </w:r>
      <w:r>
        <w:rPr>
          <w:rFonts w:ascii="宋体" w:hAnsi="宋体" w:cs="宋体" w:eastAsia="宋体" w:hint="default"/>
        </w:rPr>
        <w:t>15%</w:t>
      </w:r>
      <w:r>
        <w:rPr/>
        <w:t>缴纳企业所得税。</w:t>
      </w:r>
    </w:p>
    <w:p>
      <w:pPr>
        <w:pStyle w:val="BodyText"/>
        <w:spacing w:line="240" w:lineRule="auto" w:before="19"/>
        <w:ind w:left="578" w:right="0"/>
        <w:jc w:val="left"/>
      </w:pPr>
      <w:r>
        <w:rPr>
          <w:spacing w:val="6"/>
        </w:rPr>
        <w:t>⑸本公司之孙公司易桥信息服务有限公司根据《国务院关于支持喀什霍尔果斯经济开发区建设的若干意见》</w:t>
      </w:r>
      <w:r>
        <w:rPr>
          <w:rFonts w:ascii="宋体" w:hAnsi="宋体" w:cs="宋体" w:eastAsia="宋体" w:hint="default"/>
          <w:spacing w:val="6"/>
        </w:rPr>
        <w:t>(</w:t>
      </w:r>
      <w:r>
        <w:rPr>
          <w:spacing w:val="6"/>
        </w:rPr>
        <w:t>国发</w:t>
      </w:r>
      <w:r>
        <w:rPr/>
      </w:r>
    </w:p>
    <w:p>
      <w:pPr>
        <w:pStyle w:val="BodyText"/>
        <w:spacing w:line="319" w:lineRule="auto" w:before="76"/>
        <w:ind w:right="1132"/>
        <w:jc w:val="both"/>
      </w:pPr>
      <w:r>
        <w:rPr/>
        <w:t>〔</w:t>
      </w:r>
      <w:r>
        <w:rPr>
          <w:rFonts w:ascii="宋体" w:hAnsi="宋体" w:cs="宋体" w:eastAsia="宋体" w:hint="default"/>
        </w:rPr>
        <w:t>2011</w:t>
      </w:r>
      <w:r>
        <w:rPr/>
        <w:t>〕</w:t>
      </w:r>
      <w:r>
        <w:rPr>
          <w:rFonts w:ascii="宋体" w:hAnsi="宋体" w:cs="宋体" w:eastAsia="宋体" w:hint="default"/>
        </w:rPr>
        <w:t>33</w:t>
      </w:r>
      <w:r>
        <w:rPr/>
        <w:t>号</w:t>
      </w:r>
      <w:r>
        <w:rPr>
          <w:rFonts w:ascii="宋体" w:hAnsi="宋体" w:cs="宋体" w:eastAsia="宋体" w:hint="default"/>
        </w:rPr>
        <w:t>)</w:t>
      </w:r>
      <w:r>
        <w:rPr/>
        <w:t>，</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日对在新疆喀什、霍尔果斯两个特殊经济开发区内新办的属于《新疆困难地 </w:t>
      </w:r>
      <w:r>
        <w:rPr>
          <w:spacing w:val="-2"/>
        </w:rPr>
        <w:t>区重点鼓励发展产业企业所得税优惠目录》（以下简称《目录》）范围内的企业，自取得第一笔生产经营收入所属纳税年度</w:t>
      </w:r>
      <w:r>
        <w:rPr>
          <w:spacing w:val="-67"/>
        </w:rPr>
        <w:t> </w:t>
      </w:r>
      <w:r>
        <w:rPr>
          <w:spacing w:val="-67"/>
        </w:rPr>
      </w:r>
      <w:r>
        <w:rPr/>
        <w:t>起，五年内免征企业所得税。</w:t>
      </w:r>
      <w:r>
        <w:rPr>
          <w:rFonts w:ascii="宋体" w:hAnsi="宋体" w:cs="宋体" w:eastAsia="宋体" w:hint="default"/>
        </w:rPr>
        <w:t>2016</w:t>
      </w:r>
      <w:r>
        <w:rPr/>
        <w:t>年至</w:t>
      </w:r>
      <w:r>
        <w:rPr>
          <w:rFonts w:ascii="宋体" w:hAnsi="宋体" w:cs="宋体" w:eastAsia="宋体" w:hint="default"/>
        </w:rPr>
        <w:t>2020</w:t>
      </w:r>
      <w:r>
        <w:rPr/>
        <w:t>年免缴企业所得税。</w:t>
      </w:r>
    </w:p>
    <w:p>
      <w:pPr>
        <w:pStyle w:val="BodyText"/>
        <w:spacing w:line="316" w:lineRule="auto" w:before="17"/>
        <w:ind w:right="1131" w:firstLine="425"/>
        <w:jc w:val="both"/>
      </w:pPr>
      <w:r>
        <w:rPr/>
        <w:t>⑹本公司之孙公司霍尔果斯易桥快马企业管理咨询有限公司根据</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19</w:t>
      </w:r>
      <w:r>
        <w:rPr/>
        <w:t>日霍尔果斯经济开发区国家税务局出具 的</w:t>
      </w:r>
      <w:r>
        <w:rPr>
          <w:rFonts w:ascii="宋体" w:hAnsi="宋体" w:cs="宋体" w:eastAsia="宋体" w:hint="default"/>
        </w:rPr>
        <w:t>&lt;</w:t>
      </w:r>
      <w:r>
        <w:rPr/>
        <w:t>税务事项通知书</w:t>
      </w:r>
      <w:r>
        <w:rPr>
          <w:rFonts w:ascii="宋体" w:hAnsi="宋体" w:cs="宋体" w:eastAsia="宋体" w:hint="default"/>
        </w:rPr>
        <w:t>&gt;</w:t>
      </w:r>
      <w:r>
        <w:rPr/>
        <w:t>霍经国税通</w:t>
      </w:r>
      <w:r>
        <w:rPr>
          <w:rFonts w:ascii="宋体" w:hAnsi="宋体" w:cs="宋体" w:eastAsia="宋体" w:hint="default"/>
        </w:rPr>
        <w:t>[2017]16363</w:t>
      </w:r>
      <w:r>
        <w:rPr/>
        <w:t>号，依据《财政部国家税务总局关于新疆喀什霍尔果斯两个特殊经济开发区企 </w:t>
      </w:r>
      <w:r>
        <w:rPr>
          <w:spacing w:val="-2"/>
        </w:rPr>
        <w:t>业所得税优惠政策的通知》财税（</w:t>
      </w:r>
      <w:r>
        <w:rPr>
          <w:rFonts w:ascii="宋体" w:hAnsi="宋体" w:cs="宋体" w:eastAsia="宋体" w:hint="default"/>
          <w:spacing w:val="-2"/>
        </w:rPr>
        <w:t>2011</w:t>
      </w:r>
      <w:r>
        <w:rPr>
          <w:spacing w:val="-2"/>
        </w:rPr>
        <w:t>）</w:t>
      </w:r>
      <w:r>
        <w:rPr>
          <w:rFonts w:ascii="宋体" w:hAnsi="宋体" w:cs="宋体" w:eastAsia="宋体" w:hint="default"/>
          <w:spacing w:val="-2"/>
        </w:rPr>
        <w:t>112</w:t>
      </w:r>
      <w:r>
        <w:rPr>
          <w:spacing w:val="-2"/>
        </w:rPr>
        <w:t>第一条，于</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19</w:t>
      </w:r>
      <w:r>
        <w:rPr>
          <w:spacing w:val="-2"/>
        </w:rPr>
        <w:t>日申请的企业所得税项，经审核，符合受理条件，准予</w:t>
      </w:r>
      <w:r>
        <w:rPr>
          <w:spacing w:val="-60"/>
        </w:rPr>
        <w:t> </w:t>
      </w:r>
      <w:r>
        <w:rPr>
          <w:spacing w:val="-60"/>
        </w:rPr>
      </w:r>
      <w:r>
        <w:rPr>
          <w:spacing w:val="-2"/>
        </w:rPr>
        <w:t>受理的通知，享受自取得第一笔生产经营收入所属纳税年度起，五年内免征企业所得税。本年度本公司之孙公司霍尔果斯易</w:t>
      </w:r>
      <w:r>
        <w:rPr>
          <w:spacing w:val="-65"/>
        </w:rPr>
        <w:t> </w:t>
      </w:r>
      <w:r>
        <w:rPr>
          <w:spacing w:val="-65"/>
        </w:rPr>
      </w:r>
      <w:r>
        <w:rPr/>
        <w:t>桥快马企业管理咨询有限公司享受该优惠政策。</w:t>
      </w:r>
    </w:p>
    <w:p>
      <w:pPr>
        <w:pStyle w:val="BodyText"/>
        <w:spacing w:line="316" w:lineRule="auto" w:before="19"/>
        <w:ind w:right="1028" w:firstLine="425"/>
        <w:jc w:val="left"/>
      </w:pPr>
      <w:r>
        <w:rPr/>
        <w:t>⑺本公司之孙公司霍尔果斯易桥快马企业管理咨询有限公司及其部分分公司根据国税总局国家税务总局公告（</w:t>
      </w:r>
      <w:r>
        <w:rPr>
          <w:rFonts w:ascii="宋体" w:hAnsi="宋体" w:cs="宋体" w:eastAsia="宋体" w:hint="default"/>
        </w:rPr>
        <w:t>2012</w:t>
      </w:r>
      <w:r>
        <w:rPr/>
        <w:t>） </w:t>
      </w:r>
      <w:r>
        <w:rPr>
          <w:rFonts w:ascii="宋体" w:hAnsi="宋体" w:cs="宋体" w:eastAsia="宋体" w:hint="default"/>
          <w:spacing w:val="-4"/>
        </w:rPr>
        <w:t>57</w:t>
      </w:r>
      <w:r>
        <w:rPr>
          <w:spacing w:val="-4"/>
        </w:rPr>
        <w:t>号之规定，汇总纳税企业按照《企业所得税法》规定汇总计算的企业所得税，包括预缴税款和汇算清缴应缴应退税款，</w:t>
      </w:r>
      <w:r>
        <w:rPr>
          <w:rFonts w:ascii="宋体" w:hAnsi="宋体" w:cs="宋体" w:eastAsia="宋体" w:hint="default"/>
          <w:spacing w:val="-4"/>
        </w:rPr>
        <w:t>50%</w:t>
      </w:r>
      <w:r>
        <w:rPr>
          <w:rFonts w:ascii="宋体" w:hAnsi="宋体" w:cs="宋体" w:eastAsia="宋体" w:hint="default"/>
          <w:spacing w:val="-35"/>
        </w:rPr>
        <w:t> </w:t>
      </w:r>
      <w:r>
        <w:rPr>
          <w:rFonts w:ascii="宋体" w:hAnsi="宋体" w:cs="宋体" w:eastAsia="宋体" w:hint="default"/>
          <w:spacing w:val="-35"/>
        </w:rPr>
      </w:r>
      <w:r>
        <w:rPr>
          <w:spacing w:val="-3"/>
        </w:rPr>
        <w:t>在各分支机构间分摊，各分支机构根据分摊税款就地办理缴库或退库；</w:t>
      </w:r>
      <w:r>
        <w:rPr>
          <w:rFonts w:ascii="宋体" w:hAnsi="宋体" w:cs="宋体" w:eastAsia="宋体" w:hint="default"/>
          <w:spacing w:val="-3"/>
        </w:rPr>
        <w:t>50%</w:t>
      </w:r>
      <w:r>
        <w:rPr>
          <w:spacing w:val="-3"/>
        </w:rPr>
        <w:t>由总机构分摊缴纳，其中</w:t>
      </w:r>
      <w:r>
        <w:rPr>
          <w:rFonts w:ascii="宋体" w:hAnsi="宋体" w:cs="宋体" w:eastAsia="宋体" w:hint="default"/>
          <w:spacing w:val="-3"/>
        </w:rPr>
        <w:t>25%</w:t>
      </w:r>
      <w:r>
        <w:rPr>
          <w:spacing w:val="-3"/>
        </w:rPr>
        <w:t>就地办理缴库或退库，</w:t>
      </w:r>
      <w:r>
        <w:rPr/>
        <w:t> </w:t>
      </w:r>
      <w:r>
        <w:rPr>
          <w:rFonts w:ascii="宋体" w:hAnsi="宋体" w:cs="宋体" w:eastAsia="宋体" w:hint="default"/>
        </w:rPr>
        <w:t>25%</w:t>
      </w:r>
      <w:r>
        <w:rPr/>
        <w:t>就地全额缴入中央国库或退库。上述公司本年度享受该优惠政策。</w:t>
      </w:r>
    </w:p>
    <w:p>
      <w:pPr>
        <w:pStyle w:val="BodyText"/>
        <w:spacing w:line="319" w:lineRule="auto" w:before="19"/>
        <w:ind w:right="1123" w:firstLine="425"/>
        <w:jc w:val="left"/>
      </w:pPr>
      <w:r>
        <w:rPr/>
        <w:t>⑻本公司之孙公司霍尔果斯易桥快马企业管理咨询有限公司及部分分公司根据国家税务总局</w:t>
      </w:r>
      <w:r>
        <w:rPr>
          <w:rFonts w:ascii="宋体" w:hAnsi="宋体" w:cs="宋体" w:eastAsia="宋体" w:hint="default"/>
        </w:rPr>
        <w:t>2012</w:t>
      </w:r>
      <w:r>
        <w:rPr/>
        <w:t>年第</w:t>
      </w:r>
      <w:r>
        <w:rPr>
          <w:rFonts w:ascii="宋体" w:hAnsi="宋体" w:cs="宋体" w:eastAsia="宋体" w:hint="default"/>
        </w:rPr>
        <w:t>57</w:t>
      </w:r>
      <w:r>
        <w:rPr/>
        <w:t>号《跨地区经 营汇总纳税企业所得税征收管理办法》的公告相关规定，本年度享受企业所得税减半征收优惠政策。</w:t>
      </w:r>
    </w:p>
    <w:p>
      <w:pPr>
        <w:pStyle w:val="BodyText"/>
        <w:spacing w:line="316" w:lineRule="auto" w:before="17"/>
        <w:ind w:right="1034" w:firstLine="425"/>
        <w:jc w:val="left"/>
      </w:pPr>
      <w:r>
        <w:rPr/>
        <w:t>⑼本公司之孙公司霍尔果斯易桥快马企业管理咨询有限公司之分公司霍尔果斯易桥快马企业管理咨询有限公司宁夏分 </w:t>
      </w:r>
      <w:r>
        <w:rPr>
          <w:spacing w:val="-2"/>
        </w:rPr>
        <w:t>公司根据《关于深入实施西部大开发战略有关税收政策问题的通知》（财税</w:t>
      </w:r>
      <w:r>
        <w:rPr>
          <w:rFonts w:ascii="宋体" w:hAnsi="宋体" w:cs="宋体" w:eastAsia="宋体" w:hint="default"/>
          <w:spacing w:val="-2"/>
        </w:rPr>
        <w:t>[2011]58</w:t>
      </w:r>
      <w:r>
        <w:rPr>
          <w:spacing w:val="-2"/>
        </w:rPr>
        <w:t>号）文的规定，西部地区目前可以享受</w:t>
      </w:r>
      <w:r>
        <w:rPr>
          <w:spacing w:val="-59"/>
        </w:rPr>
        <w:t> </w:t>
      </w:r>
      <w:r>
        <w:rPr>
          <w:spacing w:val="-59"/>
        </w:rPr>
      </w:r>
      <w:r>
        <w:rPr/>
        <w:t>以下税收优惠政策：自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日，减按</w:t>
      </w:r>
      <w:r>
        <w:rPr>
          <w:rFonts w:ascii="宋体" w:hAnsi="宋体" w:cs="宋体" w:eastAsia="宋体" w:hint="default"/>
        </w:rPr>
        <w:t>15%</w:t>
      </w:r>
      <w:r>
        <w:rPr/>
        <w:t>的税率征收企业所得税。根据《中华人民共和国主席令第 </w:t>
      </w:r>
      <w:r>
        <w:rPr>
          <w:spacing w:val="-2"/>
        </w:rPr>
        <w:t>六十三号》文第二十九条规定“民族自治地方的自治机关对本民族自治地方的企业应缴纳的企业所得税中属于地方分享的部</w:t>
      </w:r>
      <w:r>
        <w:rPr>
          <w:spacing w:val="-64"/>
        </w:rPr>
        <w:t> </w:t>
      </w:r>
      <w:r>
        <w:rPr>
          <w:spacing w:val="-64"/>
        </w:rPr>
      </w:r>
      <w:r>
        <w:rPr>
          <w:spacing w:val="-2"/>
        </w:rPr>
        <w:t>分，可以决定减征或者免征。自治州、自治县决定减征或者免征的，须报省、自治区、直辖市人民政府批准”。根据宁政办</w:t>
      </w:r>
      <w:r>
        <w:rPr>
          <w:spacing w:val="-71"/>
        </w:rPr>
        <w:t> </w:t>
      </w:r>
      <w:r>
        <w:rPr>
          <w:spacing w:val="-71"/>
        </w:rPr>
      </w:r>
      <w:r>
        <w:rPr/>
        <w:t>发宁政办发〔</w:t>
      </w:r>
      <w:r>
        <w:rPr>
          <w:rFonts w:ascii="宋体" w:hAnsi="宋体" w:cs="宋体" w:eastAsia="宋体" w:hint="default"/>
        </w:rPr>
        <w:t>2015</w:t>
      </w:r>
      <w:r>
        <w:rPr/>
        <w:t>〕</w:t>
      </w:r>
      <w:r>
        <w:rPr>
          <w:rFonts w:ascii="宋体" w:hAnsi="宋体" w:cs="宋体" w:eastAsia="宋体" w:hint="default"/>
        </w:rPr>
        <w:t>168</w:t>
      </w:r>
      <w:r>
        <w:rPr/>
        <w:t>号文自治区人民政府办公厅关于加快发展服务贸易的实施意见中的，三、优惠政策（八）税费政策</w:t>
      </w:r>
      <w:r>
        <w:rPr>
          <w:spacing w:val="-86"/>
        </w:rPr>
        <w:t> </w:t>
      </w:r>
      <w:r>
        <w:rPr>
          <w:spacing w:val="-86"/>
        </w:rPr>
      </w:r>
      <w:r>
        <w:rPr>
          <w:spacing w:val="-2"/>
        </w:rPr>
        <w:t>符合西部大开发企业税收优惠政策的企业，除减按</w:t>
      </w:r>
      <w:r>
        <w:rPr>
          <w:rFonts w:ascii="宋体" w:hAnsi="宋体" w:cs="宋体" w:eastAsia="宋体" w:hint="default"/>
          <w:spacing w:val="-2"/>
        </w:rPr>
        <w:t>15%</w:t>
      </w:r>
      <w:r>
        <w:rPr>
          <w:spacing w:val="-2"/>
        </w:rPr>
        <w:t>税率征收企业所得税外，从取得第一笔生产经营收入所属纳税年度起，</w:t>
      </w:r>
      <w:r>
        <w:rPr>
          <w:spacing w:val="-62"/>
        </w:rPr>
        <w:t> </w:t>
      </w:r>
      <w:r>
        <w:rPr>
          <w:spacing w:val="-62"/>
        </w:rPr>
      </w:r>
      <w:r>
        <w:rPr>
          <w:spacing w:val="-2"/>
        </w:rPr>
        <w:t>第</w:t>
      </w:r>
      <w:r>
        <w:rPr>
          <w:rFonts w:ascii="宋体" w:hAnsi="宋体" w:cs="宋体" w:eastAsia="宋体" w:hint="default"/>
          <w:spacing w:val="-2"/>
        </w:rPr>
        <w:t>1</w:t>
      </w:r>
      <w:r>
        <w:rPr>
          <w:spacing w:val="-2"/>
        </w:rPr>
        <w:t>年至第</w:t>
      </w:r>
      <w:r>
        <w:rPr>
          <w:rFonts w:ascii="宋体" w:hAnsi="宋体" w:cs="宋体" w:eastAsia="宋体" w:hint="default"/>
          <w:spacing w:val="-2"/>
        </w:rPr>
        <w:t>3</w:t>
      </w:r>
      <w:r>
        <w:rPr>
          <w:spacing w:val="-2"/>
        </w:rPr>
        <w:t>年免征企业所得税地方分享部分，第</w:t>
      </w:r>
      <w:r>
        <w:rPr>
          <w:rFonts w:ascii="宋体" w:hAnsi="宋体" w:cs="宋体" w:eastAsia="宋体" w:hint="default"/>
          <w:spacing w:val="-2"/>
        </w:rPr>
        <w:t>4</w:t>
      </w:r>
      <w:r>
        <w:rPr>
          <w:spacing w:val="-2"/>
        </w:rPr>
        <w:t>年至第</w:t>
      </w:r>
      <w:r>
        <w:rPr>
          <w:rFonts w:ascii="宋体" w:hAnsi="宋体" w:cs="宋体" w:eastAsia="宋体" w:hint="default"/>
          <w:spacing w:val="-2"/>
        </w:rPr>
        <w:t>6</w:t>
      </w:r>
      <w:r>
        <w:rPr>
          <w:spacing w:val="-2"/>
        </w:rPr>
        <w:t>年减半征收企业所得税地方分享部分。该公司本年度享受该优惠政</w:t>
      </w:r>
      <w:r>
        <w:rPr>
          <w:spacing w:val="-62"/>
        </w:rPr>
        <w:t> </w:t>
      </w:r>
      <w:r>
        <w:rPr>
          <w:spacing w:val="-62"/>
        </w:rPr>
      </w:r>
      <w:r>
        <w:rPr/>
        <w:t>策。</w:t>
      </w:r>
    </w:p>
    <w:p>
      <w:pPr>
        <w:spacing w:after="0" w:line="316" w:lineRule="auto"/>
        <w:jc w:val="left"/>
        <w:sectPr>
          <w:footerReference w:type="default" r:id="rId30"/>
          <w:pgSz w:w="11910" w:h="16840"/>
          <w:pgMar w:footer="980" w:header="877" w:top="1100" w:bottom="1160" w:left="980" w:right="0"/>
          <w:pgNumType w:start="120"/>
        </w:sectPr>
      </w:pPr>
    </w:p>
    <w:p>
      <w:pPr>
        <w:spacing w:line="240" w:lineRule="auto" w:before="11"/>
        <w:rPr>
          <w:rFonts w:ascii="宋体" w:hAnsi="宋体" w:cs="宋体" w:eastAsia="宋体" w:hint="default"/>
          <w:sz w:val="21"/>
          <w:szCs w:val="21"/>
        </w:rPr>
      </w:pPr>
    </w:p>
    <w:p>
      <w:pPr>
        <w:pStyle w:val="BodyText"/>
        <w:spacing w:line="319" w:lineRule="auto" w:before="44"/>
        <w:ind w:right="1130" w:firstLine="425"/>
        <w:jc w:val="both"/>
      </w:pPr>
      <w:r>
        <w:rPr/>
        <w:t>⑽霍尔果斯易桥快马企业管理咨询有限公司之子公司陕西神州易桥企业管理有限公司，根据《关于深入实施西部大开 </w:t>
      </w:r>
      <w:r>
        <w:rPr>
          <w:spacing w:val="-2"/>
        </w:rPr>
        <w:t>发战略有关税收政策问题的通知》（财税</w:t>
      </w:r>
      <w:r>
        <w:rPr>
          <w:rFonts w:ascii="宋体" w:hAnsi="宋体" w:cs="宋体" w:eastAsia="宋体" w:hint="default"/>
          <w:spacing w:val="-2"/>
        </w:rPr>
        <w:t>[2011]58</w:t>
      </w:r>
      <w:r>
        <w:rPr>
          <w:spacing w:val="-2"/>
        </w:rPr>
        <w:t>号）文的规定，西部地区目前可以享受以下税收优惠政策：自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rFonts w:ascii="宋体" w:hAnsi="宋体" w:cs="宋体" w:eastAsia="宋体" w:hint="default"/>
          <w:spacing w:val="-55"/>
        </w:rPr>
        <w:t> </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日，减按</w:t>
      </w:r>
      <w:r>
        <w:rPr>
          <w:rFonts w:ascii="宋体" w:hAnsi="宋体" w:cs="宋体" w:eastAsia="宋体" w:hint="default"/>
        </w:rPr>
        <w:t>15%</w:t>
      </w:r>
      <w:r>
        <w:rPr/>
        <w:t>的税率征收企业所得税。</w:t>
      </w:r>
    </w:p>
    <w:p>
      <w:pPr>
        <w:spacing w:line="240" w:lineRule="auto" w:before="9"/>
        <w:rPr>
          <w:rFonts w:ascii="宋体" w:hAnsi="宋体" w:cs="宋体" w:eastAsia="宋体" w:hint="default"/>
          <w:sz w:val="22"/>
          <w:szCs w:val="22"/>
        </w:rPr>
      </w:pPr>
    </w:p>
    <w:p>
      <w:pPr>
        <w:spacing w:line="487" w:lineRule="auto" w:before="0"/>
        <w:ind w:left="152" w:right="7863" w:firstLine="0"/>
        <w:jc w:val="left"/>
        <w:rPr>
          <w:rFonts w:ascii="宋体" w:hAnsi="宋体" w:cs="宋体" w:eastAsia="宋体" w:hint="default"/>
          <w:sz w:val="21"/>
          <w:szCs w:val="21"/>
        </w:rPr>
      </w:pPr>
      <w:bookmarkStart w:name="3、其他" w:id="230"/>
      <w:bookmarkEnd w:id="23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1"/>
      <w:bookmarkEnd w:id="231"/>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2"/>
      <w:bookmarkEnd w:id="23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1,265,173.28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1,445,750.31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342,938,871.60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347,286,718.69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344,204,044.88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348,732,469.00</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3"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16,210,904.21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13,549,771.57</w:t>
            </w:r>
          </w:p>
        </w:tc>
      </w:tr>
    </w:tbl>
    <w:p>
      <w:pPr>
        <w:pStyle w:val="BodyText"/>
        <w:spacing w:line="357" w:lineRule="auto" w:before="49"/>
        <w:ind w:right="5984"/>
        <w:jc w:val="left"/>
      </w:pPr>
      <w:r>
        <w:rPr/>
        <w:t>其他说明 公司因诉讼事项冻结资金</w:t>
      </w:r>
      <w:r>
        <w:rPr>
          <w:rFonts w:ascii="宋体" w:hAnsi="宋体" w:cs="宋体" w:eastAsia="宋体" w:hint="default"/>
        </w:rPr>
        <w:t>16,210,904.21</w:t>
      </w:r>
      <w:r>
        <w:rPr/>
        <w:t>元，详见或有事项。</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2、交易性金融资产" w:id="233"/>
      <w:bookmarkEnd w:id="233"/>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95,543,497.68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95,543,497.68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95,543,497.68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衍生金融资产" w:id="234"/>
      <w:bookmarkEnd w:id="23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4、应收票据" w:id="235"/>
      <w:bookmarkEnd w:id="23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票据分类列示" w:id="236"/>
      <w:bookmarkEnd w:id="23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0"/>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本期计提、收回或转回的坏账准备情况" w:id="237"/>
      <w:bookmarkEnd w:id="2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其中本期坏账准备收回或转回金额重要的：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期末公司已质押的应收票据" w:id="238"/>
      <w:bookmarkEnd w:id="238"/>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4）期末公司已背书或贴现且在资产负债表日尚未到期的应收票据" w:id="239"/>
      <w:bookmarkEnd w:id="239"/>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期末公司因出票人未履约而将其转应收账款的票据" w:id="240"/>
      <w:bookmarkEnd w:id="240"/>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本期实际核销的应收票据情况" w:id="241"/>
      <w:bookmarkEnd w:id="241"/>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其中重要的应收票据核销情况：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应收票据核销说明：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应收账款" w:id="242"/>
      <w:bookmarkEnd w:id="242"/>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分类披露" w:id="243"/>
      <w:bookmarkEnd w:id="24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4"/>
        <w:gridCol w:w="761"/>
        <w:gridCol w:w="763"/>
        <w:gridCol w:w="790"/>
        <w:gridCol w:w="775"/>
        <w:gridCol w:w="797"/>
        <w:gridCol w:w="800"/>
        <w:gridCol w:w="790"/>
        <w:gridCol w:w="931"/>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5" w:space="0" w:color="FFFFFF"/>
              <w:left w:val="single" w:sz="4" w:space="0" w:color="000000"/>
              <w:right w:val="single" w:sz="4" w:space="0" w:color="000000"/>
            </w:tcBorders>
            <w:shd w:val="clear" w:color="auto" w:fill="D2D2D2"/>
          </w:tcPr>
          <w:p>
            <w:pP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110,448,</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488.40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11,197,3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20.66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10.14%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99,251,16</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7.74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107,562,0</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98.35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5,077,305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102,484,79</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2.97</w:t>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110,448,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488.40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99.82%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11,197,3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20.66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99,251,16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7.74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107,562,0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98.35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5,077,305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102,484,79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2.97</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110,648,</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488.40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11,397,3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20.66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99,251,16</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7.74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107,762,0</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98.35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5,277,305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102,484,79</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2.97</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p>
    <w:p>
      <w:pPr>
        <w:pStyle w:val="BodyText"/>
        <w:spacing w:line="240" w:lineRule="auto" w:before="118"/>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110,448,488.40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11,197,320.66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10.14%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110,448,488.40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11,197,320.66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360"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4"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81,342,958.16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18,455,865.19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9,980,184.45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869,480.60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869,480.60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110,648,488.40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244"/>
      <w:bookmarkEnd w:id="24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本期计提坏账准备情况：</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5,077,305.38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7,097,169.40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286,909.66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690,244.46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11,197,320.66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5,277,305.38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7,097,169.40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286,909.66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690,244.46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11,397,320.66</w:t>
            </w:r>
          </w:p>
        </w:tc>
      </w:tr>
    </w:tbl>
    <w:p>
      <w:pPr>
        <w:pStyle w:val="BodyText"/>
        <w:spacing w:line="240" w:lineRule="auto" w:before="49"/>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实际核销的应收账款情况" w:id="245"/>
      <w:bookmarkEnd w:id="24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1133"/>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按欠款方归集的期末余额前五名的应收账款情况" w:id="246"/>
      <w:bookmarkEnd w:id="24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2268"/>
        <w:gridCol w:w="1982"/>
        <w:gridCol w:w="1985"/>
      </w:tblGrid>
      <w:tr>
        <w:trPr>
          <w:trHeight w:val="714"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7" w:right="84" w:hanging="452"/>
              <w:jc w:val="left"/>
              <w:rPr>
                <w:rFonts w:ascii="宋体" w:hAnsi="宋体" w:cs="宋体" w:eastAsia="宋体" w:hint="default"/>
                <w:sz w:val="18"/>
                <w:szCs w:val="18"/>
              </w:rPr>
            </w:pPr>
            <w:r>
              <w:rPr>
                <w:rFonts w:ascii="宋体" w:hAnsi="宋体" w:cs="宋体" w:eastAsia="宋体" w:hint="default"/>
                <w:sz w:val="18"/>
                <w:szCs w:val="18"/>
              </w:rPr>
              <w:t>占应收账款期末余额合 计数的比例</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21,503,000.00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8,191,500.00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3,209,957.78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2,100,223.00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2,012,000.00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1,741,500.99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30,566,681.77</w:t>
            </w:r>
          </w:p>
        </w:tc>
        <w:tc>
          <w:tcPr>
            <w:tcW w:w="1982"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4"/>
              <w:ind w:right="4"/>
              <w:jc w:val="right"/>
              <w:rPr>
                <w:rFonts w:ascii="Times New Roman" w:hAnsi="Times New Roman" w:cs="Times New Roman" w:eastAsia="Times New Roman" w:hint="default"/>
                <w:sz w:val="18"/>
                <w:szCs w:val="18"/>
              </w:rPr>
            </w:pPr>
            <w:r>
              <w:rPr>
                <w:rFonts w:ascii="Times New Roman"/>
                <w:sz w:val="18"/>
              </w:rPr>
              <w:t>27.62%</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因金融资产转移而终止确认的应收账款" w:id="247"/>
      <w:bookmarkEnd w:id="24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6）转移应收账款且继续涉入形成的资产、负债金额" w:id="248"/>
      <w:bookmarkEnd w:id="24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6、应收款项融资" w:id="249"/>
      <w:bookmarkEnd w:id="249"/>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应收款项融资本期增减变动及公允价值变动情况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38" w:lineRule="auto" w:before="41"/>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7、预付款项" w:id="250"/>
      <w:bookmarkEnd w:id="250"/>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预付款项按账龄列示" w:id="251"/>
      <w:bookmarkEnd w:id="25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20"/>
          <w:szCs w:val="20"/>
        </w:rPr>
      </w:pPr>
    </w:p>
    <w:p>
      <w:pPr>
        <w:pStyle w:val="BodyText"/>
        <w:spacing w:line="240" w:lineRule="auto" w:before="44"/>
        <w:ind w:left="928" w:right="1133"/>
        <w:jc w:val="left"/>
      </w:pPr>
      <w:r>
        <w:rPr/>
        <w:pict>
          <v:shape style="position:absolute;margin-left:56.400002pt;margin-top:-6.848289pt;width:479.4pt;height:104.2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3"/>
                    <w:gridCol w:w="1916"/>
                    <w:gridCol w:w="1913"/>
                    <w:gridCol w:w="1915"/>
                    <w:gridCol w:w="1916"/>
                  </w:tblGrid>
                  <w:tr>
                    <w:trPr>
                      <w:trHeight w:val="324"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76" w:hRule="exact"/>
                    </w:trPr>
                    <w:tc>
                      <w:tcPr>
                        <w:tcW w:w="191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22" w:space="0" w:color="D2D2D2"/>
                          <w:left w:val="single" w:sz="13" w:space="0" w:color="D2D2D2"/>
                          <w:bottom w:val="single" w:sz="4" w:space="0" w:color="FFFFFF"/>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23,131,121.28</w:t>
                        </w:r>
                      </w:p>
                    </w:tc>
                    <w:tc>
                      <w:tcPr>
                        <w:tcW w:w="1913" w:type="dxa"/>
                        <w:tcBorders>
                          <w:top w:val="single" w:sz="22" w:space="0" w:color="D2D2D2"/>
                          <w:left w:val="single" w:sz="4" w:space="0" w:color="000000"/>
                          <w:bottom w:val="single" w:sz="4" w:space="0" w:color="FFFFFF"/>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84.06%</w:t>
                        </w:r>
                      </w:p>
                    </w:tc>
                    <w:tc>
                      <w:tcPr>
                        <w:tcW w:w="1915" w:type="dxa"/>
                        <w:tcBorders>
                          <w:top w:val="single" w:sz="22" w:space="0" w:color="D2D2D2"/>
                          <w:left w:val="single" w:sz="4" w:space="0" w:color="000000"/>
                          <w:bottom w:val="single" w:sz="4" w:space="0" w:color="FFFFFF"/>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30,389,024.99</w:t>
                        </w:r>
                      </w:p>
                    </w:tc>
                    <w:tc>
                      <w:tcPr>
                        <w:tcW w:w="1916" w:type="dxa"/>
                        <w:tcBorders>
                          <w:top w:val="single" w:sz="22" w:space="0" w:color="D2D2D2"/>
                          <w:left w:val="single" w:sz="4" w:space="0" w:color="000000"/>
                          <w:bottom w:val="single" w:sz="4" w:space="0" w:color="FFFFFF"/>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78.27%</w:t>
                        </w:r>
                      </w:p>
                    </w:tc>
                  </w:tr>
                  <w:tr>
                    <w:trPr>
                      <w:trHeight w:val="350" w:hRule="exact"/>
                    </w:trPr>
                    <w:tc>
                      <w:tcPr>
                        <w:tcW w:w="191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3,389,814.13</w:t>
                        </w:r>
                      </w:p>
                    </w:tc>
                    <w:tc>
                      <w:tcPr>
                        <w:tcW w:w="191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12.32%</w:t>
                        </w:r>
                      </w:p>
                    </w:tc>
                    <w:tc>
                      <w:tcPr>
                        <w:tcW w:w="191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8,395,791.76</w:t>
                        </w:r>
                      </w:p>
                    </w:tc>
                    <w:tc>
                      <w:tcPr>
                        <w:tcW w:w="19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21.62%</w:t>
                        </w:r>
                      </w:p>
                    </w:tc>
                  </w:tr>
                  <w:tr>
                    <w:trPr>
                      <w:trHeight w:val="350"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996,943.86</w:t>
                        </w:r>
                      </w:p>
                    </w:tc>
                    <w:tc>
                      <w:tcPr>
                        <w:tcW w:w="1913" w:type="dxa"/>
                        <w:tcBorders>
                          <w:top w:val="single" w:sz="4" w:space="0" w:color="000000"/>
                          <w:left w:val="single" w:sz="4" w:space="0" w:color="000000"/>
                          <w:bottom w:val="single" w:sz="31" w:space="0" w:color="D2D2D2"/>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3.62%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42,037.47</w:t>
                        </w:r>
                      </w:p>
                    </w:tc>
                    <w:tc>
                      <w:tcPr>
                        <w:tcW w:w="1916" w:type="dxa"/>
                        <w:tcBorders>
                          <w:top w:val="single" w:sz="4" w:space="0" w:color="000000"/>
                          <w:left w:val="single" w:sz="4" w:space="0" w:color="000000"/>
                          <w:bottom w:val="single" w:sz="31" w:space="0" w:color="D2D2D2"/>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29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27,517,879.27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38,826,854.22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账龄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44"/>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按预付对象归集的期末余额前五名的预付款情况" w:id="252"/>
      <w:bookmarkEnd w:id="25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30" w:right="1133"/>
        <w:jc w:val="left"/>
      </w:pPr>
      <w:r>
        <w:rPr>
          <w:spacing w:val="10"/>
        </w:rPr>
        <w:t>按预付对象集中度归集的期末余额前五名预付款项汇总金额</w:t>
      </w:r>
      <w:r>
        <w:rPr>
          <w:spacing w:val="-67"/>
        </w:rPr>
        <w:t> </w:t>
      </w:r>
      <w:r>
        <w:rPr>
          <w:rFonts w:ascii="Times New Roman" w:hAnsi="Times New Roman" w:cs="Times New Roman" w:eastAsia="Times New Roman" w:hint="default"/>
          <w:spacing w:val="5"/>
        </w:rPr>
        <w:t>16,175,000.00</w:t>
      </w:r>
      <w:r>
        <w:rPr>
          <w:spacing w:val="5"/>
        </w:rPr>
        <w:t>元，占预付款项期末余额合计数的比例</w:t>
      </w:r>
      <w:r>
        <w:rPr>
          <w:spacing w:val="-71"/>
        </w:rPr>
        <w:t> </w:t>
      </w:r>
      <w:r>
        <w:rPr>
          <w:spacing w:val="-71"/>
        </w:rPr>
      </w:r>
      <w:r>
        <w:rPr>
          <w:rFonts w:ascii="Times New Roman" w:hAnsi="Times New Roman" w:cs="Times New Roman" w:eastAsia="Times New Roman" w:hint="default"/>
        </w:rPr>
        <w:t>58.78%</w:t>
      </w:r>
      <w:r>
        <w:rPr/>
        <w:t>。</w:t>
      </w:r>
    </w:p>
    <w:p>
      <w:pPr>
        <w:spacing w:line="240" w:lineRule="auto" w:before="0"/>
        <w:rPr>
          <w:rFonts w:ascii="宋体" w:hAnsi="宋体" w:cs="宋体" w:eastAsia="宋体" w:hint="default"/>
          <w:sz w:val="18"/>
          <w:szCs w:val="18"/>
        </w:rPr>
      </w:pPr>
    </w:p>
    <w:p>
      <w:pPr>
        <w:pStyle w:val="BodyText"/>
        <w:spacing w:line="240" w:lineRule="auto" w:before="13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其他应收款" w:id="253"/>
      <w:bookmarkEnd w:id="253"/>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21,295,208.04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191,409,797.36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106,826,487.45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192,659,797.36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128,121,695.49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1）应收利息" w:id="254"/>
      <w:bookmarkEnd w:id="25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利息分类" w:id="255"/>
      <w:bookmarkEnd w:id="255"/>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逾期利息" w:id="256"/>
      <w:bookmarkEnd w:id="256"/>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坏账准备计提情况" w:id="257"/>
      <w:bookmarkEnd w:id="25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应收股利" w:id="258"/>
      <w:bookmarkEnd w:id="25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股利分类" w:id="259"/>
      <w:bookmarkEnd w:id="259"/>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20,045,208.04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21,295,208.04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的账龄超过1年的应收股利" w:id="260"/>
      <w:bookmarkEnd w:id="260"/>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489"/>
        <w:gridCol w:w="1274"/>
        <w:gridCol w:w="2410"/>
        <w:gridCol w:w="2552"/>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存在对赌，对赌结束后支付</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坏账准备计提情况" w:id="261"/>
      <w:bookmarkEnd w:id="26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38"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3）其他应收款" w:id="262"/>
      <w:bookmarkEnd w:id="26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263"/>
      <w:bookmarkEnd w:id="263"/>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8,114,294.07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29,409,502.11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17,544,539.04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68,453,286.11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6,763,660.47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3,999,598.70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1,042,034.26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811,883.60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1,792,396.65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7,765,232.19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应收投资转让款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227,826,136.64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15,897,079.83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444,307.11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14,106.49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13,132,862.24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280,560,230.48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126,350,689.03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264"/>
      <w:bookmarkEnd w:id="26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663"/>
        <w:gridCol w:w="1894"/>
        <w:gridCol w:w="2098"/>
        <w:gridCol w:w="1586"/>
      </w:tblGrid>
      <w:tr>
        <w:trPr>
          <w:trHeight w:val="401"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5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23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3" w:right="39"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5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1894"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15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7,780,332.47</w:t>
            </w:r>
          </w:p>
        </w:tc>
        <w:tc>
          <w:tcPr>
            <w:tcW w:w="1894"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11,743,869.11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19,524,201.58</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903,760.61</w:t>
            </w:r>
          </w:p>
        </w:tc>
        <w:tc>
          <w:tcPr>
            <w:tcW w:w="1894"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70,023,256.14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70,927,016.75</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1,009,090.87</w:t>
            </w:r>
          </w:p>
        </w:tc>
        <w:tc>
          <w:tcPr>
            <w:tcW w:w="1894"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1,009,090.87</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291,694.34</w:t>
            </w:r>
          </w:p>
        </w:tc>
        <w:tc>
          <w:tcPr>
            <w:tcW w:w="1894"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291,694.34</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7,383,307.87</w:t>
            </w:r>
          </w:p>
        </w:tc>
        <w:tc>
          <w:tcPr>
            <w:tcW w:w="1894"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81,767,125.25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89,150,433.12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225,818,076.40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24,962,931.84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3,110,903.40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26,668,318.84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26,668,318.84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280,560,230.48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265"/>
      <w:bookmarkEnd w:id="26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097"/>
        <w:gridCol w:w="1195"/>
        <w:gridCol w:w="1304"/>
        <w:gridCol w:w="1092"/>
        <w:gridCol w:w="1268"/>
        <w:gridCol w:w="1841"/>
      </w:tblGrid>
      <w:tr>
        <w:trPr>
          <w:trHeight w:val="401"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8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11,743,869.11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70,023,256.14</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81,767,125.25</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7,780,332.47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903,760.61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1,009,090.87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291,694.34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7,383,307.87</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19,524,201.58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70,927,016.75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1,009,090.87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291,694.34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89,150,433.12</w:t>
            </w:r>
          </w:p>
        </w:tc>
      </w:tr>
    </w:tbl>
    <w:p>
      <w:pPr>
        <w:pStyle w:val="BodyText"/>
        <w:spacing w:line="240" w:lineRule="auto" w:before="49"/>
        <w:ind w:right="1133"/>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本期实际核销的其他应收款情况" w:id="266"/>
      <w:bookmarkEnd w:id="266"/>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按欠款方归集的期末余额前五名的其他应收款情况" w:id="267"/>
      <w:bookmarkEnd w:id="26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123,916,588.64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36,555,000.00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应收股权款</w:t>
            </w:r>
            <w:r>
              <w:rPr>
                <w:rFonts w:ascii="宋体" w:hAnsi="宋体" w:cs="宋体" w:eastAsia="宋体" w:hint="default"/>
                <w:spacing w:val="-82"/>
                <w:sz w:val="18"/>
                <w:szCs w:val="18"/>
              </w:rPr>
              <w:t>、</w:t>
            </w: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62,691,812.43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9,915,828.76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14,172,800.00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4,251,840.00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13,132,862.24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应收投资款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226,584,063.31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63,392,668.76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6）涉及政府补助的应收款项" w:id="268"/>
      <w:bookmarkEnd w:id="268"/>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因金融资产转移而终止确认的其他应收款" w:id="269"/>
      <w:bookmarkEnd w:id="26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8）转移其他应收款且继续涉入形成的资产、负债金额" w:id="270"/>
      <w:bookmarkEnd w:id="27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9、存货" w:id="271"/>
      <w:bookmarkEnd w:id="271"/>
      <w:r>
        <w:rPr>
          <w:b w:val="0"/>
          <w:bCs w:val="0"/>
        </w:rPr>
      </w:r>
      <w:r>
        <w:rPr>
          <w:rFonts w:ascii="Times New Roman" w:hAnsi="Times New Roman" w:cs="Times New Roman" w:eastAsia="Times New Roman" w:hint="default"/>
        </w:rPr>
        <w:t>9</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存货分类" w:id="272"/>
      <w:bookmarkEnd w:id="27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355,937.24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351,700.86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4,236.38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457,054.99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351,700.86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105,354.13</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355,937.24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351,700.86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4,236.38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457,054.99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351,700.86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105,354.13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存货跌价准备" w:id="273"/>
      <w:bookmarkEnd w:id="27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351,700.86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351,700.86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351,700.86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351,700.86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存货期末余额含有借款费用资本化金额的说明" w:id="274"/>
      <w:bookmarkEnd w:id="27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期末建造合同形成的已完工未结算资产情况" w:id="275"/>
      <w:bookmarkEnd w:id="27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left="492" w:right="1119"/>
        <w:jc w:val="left"/>
        <w:rPr>
          <w:b w:val="0"/>
          <w:bCs w:val="0"/>
        </w:rPr>
      </w:pPr>
      <w:bookmarkStart w:name="10、其他流动资产" w:id="276"/>
      <w:bookmarkEnd w:id="276"/>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640" w:right="0"/>
        </w:sectPr>
      </w:pPr>
    </w:p>
    <w:p>
      <w:pPr>
        <w:pStyle w:val="BodyText"/>
        <w:spacing w:line="240" w:lineRule="auto" w:before="44"/>
        <w:ind w:left="492" w:right="-20"/>
        <w:jc w:val="left"/>
      </w:pPr>
      <w:r>
        <w:rPr/>
        <w:t>是否已执行新收入准则</w:t>
      </w:r>
    </w:p>
    <w:p>
      <w:pPr>
        <w:pStyle w:val="BodyText"/>
        <w:spacing w:line="240" w:lineRule="auto" w:before="115"/>
        <w:ind w:left="492"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492" w:right="0"/>
        <w:jc w:val="left"/>
      </w:pPr>
      <w:r>
        <w:rPr/>
        <w:t>单位：</w:t>
      </w:r>
      <w:r>
        <w:rPr>
          <w:spacing w:val="1"/>
        </w:rPr>
        <w:t> </w:t>
      </w:r>
      <w:r>
        <w:rPr/>
        <w:t>元</w:t>
      </w:r>
    </w:p>
    <w:p>
      <w:pPr>
        <w:spacing w:after="0" w:line="240" w:lineRule="auto"/>
        <w:jc w:val="left"/>
        <w:sectPr>
          <w:type w:val="continuous"/>
          <w:pgSz w:w="11910" w:h="16840"/>
          <w:pgMar w:top="1060" w:bottom="1160" w:left="640" w:right="0"/>
          <w:cols w:num="2" w:equalWidth="0">
            <w:col w:w="2293" w:space="6536"/>
            <w:col w:w="2441"/>
          </w:cols>
        </w:sectPr>
      </w:pPr>
    </w:p>
    <w:p>
      <w:pPr>
        <w:spacing w:line="240" w:lineRule="auto" w:before="4"/>
        <w:rPr>
          <w:rFonts w:ascii="宋体" w:hAnsi="宋体" w:cs="宋体" w:eastAsia="宋体" w:hint="default"/>
          <w:sz w:val="8"/>
          <w:szCs w:val="8"/>
        </w:rPr>
      </w:pPr>
    </w:p>
    <w:tbl>
      <w:tblPr>
        <w:tblW w:w="0" w:type="auto"/>
        <w:jc w:val="left"/>
        <w:tblInd w:w="48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48,816,200.00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预缴的税金及留抵税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5,062,159.71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3,158,417.36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14,417.48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5,076,577.19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51,974,617.36</w:t>
            </w:r>
          </w:p>
        </w:tc>
      </w:tr>
    </w:tbl>
    <w:p>
      <w:pPr>
        <w:pStyle w:val="BodyText"/>
        <w:spacing w:line="240" w:lineRule="auto" w:before="49"/>
        <w:ind w:left="492" w:right="111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left="492" w:right="1119"/>
        <w:jc w:val="left"/>
        <w:rPr>
          <w:b w:val="0"/>
          <w:bCs w:val="0"/>
        </w:rPr>
      </w:pPr>
      <w:bookmarkStart w:name="11、长期股权投资" w:id="277"/>
      <w:bookmarkEnd w:id="277"/>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625"/>
        <w:gridCol w:w="797"/>
        <w:gridCol w:w="800"/>
        <w:gridCol w:w="797"/>
        <w:gridCol w:w="799"/>
        <w:gridCol w:w="797"/>
        <w:gridCol w:w="799"/>
        <w:gridCol w:w="797"/>
        <w:gridCol w:w="799"/>
        <w:gridCol w:w="797"/>
        <w:gridCol w:w="799"/>
        <w:gridCol w:w="797"/>
      </w:tblGrid>
      <w:tr>
        <w:trPr>
          <w:trHeight w:val="403" w:hRule="exact"/>
        </w:trPr>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40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040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吉林省嘉孚化学工 业股份有限公司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6,706,246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-1,037,21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5,669,034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河北兴石创业投资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32,332,35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6.36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19,685,00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-88,363.6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12,558,99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广西海东科技创业 投资有限公司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19,534,53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186,456.9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19,720,99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36,327,27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2.61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-821,597.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35,505,67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广州网融信息技术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51,714,10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5,204,947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56,919,05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洛阳蓝宝氟业有限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29,838,33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29,474,84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-363,487.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霍尔果斯中企易桥 股权投资合伙企业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4,131,347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-584,443.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3,546,904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7"/>
              <w:jc w:val="left"/>
              <w:rPr>
                <w:rFonts w:ascii="宋体" w:hAnsi="宋体" w:cs="宋体" w:eastAsia="宋体" w:hint="default"/>
                <w:sz w:val="18"/>
                <w:szCs w:val="18"/>
              </w:rPr>
            </w:pPr>
            <w:r>
              <w:rPr>
                <w:rFonts w:ascii="宋体" w:hAnsi="宋体" w:cs="宋体" w:eastAsia="宋体" w:hint="default"/>
                <w:spacing w:val="-6"/>
                <w:sz w:val="18"/>
                <w:szCs w:val="18"/>
              </w:rPr>
              <w:t>神州易桥（北京）财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税科技有限公司所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2,809,896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79,676.00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423,777.8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58,363.51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2,524,158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640" w:right="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625"/>
        <w:gridCol w:w="797"/>
        <w:gridCol w:w="800"/>
        <w:gridCol w:w="797"/>
        <w:gridCol w:w="799"/>
        <w:gridCol w:w="797"/>
        <w:gridCol w:w="799"/>
        <w:gridCol w:w="797"/>
        <w:gridCol w:w="799"/>
        <w:gridCol w:w="797"/>
        <w:gridCol w:w="799"/>
        <w:gridCol w:w="797"/>
      </w:tblGrid>
      <w:tr>
        <w:trPr>
          <w:trHeight w:val="36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32"/>
              <w:jc w:val="left"/>
              <w:rPr>
                <w:rFonts w:ascii="宋体" w:hAnsi="宋体" w:cs="宋体" w:eastAsia="宋体" w:hint="default"/>
                <w:sz w:val="18"/>
                <w:szCs w:val="18"/>
              </w:rPr>
            </w:pPr>
            <w:r>
              <w:rPr>
                <w:rFonts w:ascii="宋体" w:hAnsi="宋体" w:cs="宋体" w:eastAsia="宋体" w:hint="default"/>
                <w:sz w:val="18"/>
                <w:szCs w:val="18"/>
              </w:rPr>
              <w:t>属联营企业（注</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3" w:lineRule="exact"/>
              <w:ind w:left="2" w:right="-54"/>
              <w:jc w:val="left"/>
              <w:rPr>
                <w:rFonts w:ascii="宋体" w:hAnsi="宋体" w:cs="宋体" w:eastAsia="宋体" w:hint="default"/>
                <w:sz w:val="20"/>
                <w:szCs w:val="20"/>
              </w:rPr>
            </w:pPr>
            <w:r>
              <w:rPr>
                <w:rFonts w:ascii="宋体" w:hAnsi="宋体" w:cs="宋体" w:eastAsia="宋体" w:hint="default"/>
                <w:position w:val="-6"/>
                <w:sz w:val="20"/>
                <w:szCs w:val="20"/>
              </w:rPr>
              <w:pict>
                <v:group style="width:39.4pt;height:17.7pt;mso-position-horizontal-relative:char;mso-position-vertical-relative:line" coordorigin="0,0" coordsize="788,354">
                  <v:group style="position:absolute;left:0;top:0;width:788;height:354" coordorigin="0,0" coordsize="788,354">
                    <v:shape style="position:absolute;left:0;top:0;width:788;height:354" coordorigin="0,0" coordsize="788,354" path="m0,353l787,353,787,0,0,0,0,353xe" filled="true" fillcolor="#ffffff" stroked="false">
                      <v:path arrowok="t"/>
                      <v:fill type="solid"/>
                    </v:shape>
                  </v:group>
                </v:group>
              </w:pict>
            </w:r>
            <w:r>
              <w:rPr>
                <w:rFonts w:ascii="宋体" w:hAnsi="宋体" w:cs="宋体" w:eastAsia="宋体" w:hint="default"/>
                <w:position w:val="-6"/>
                <w:sz w:val="20"/>
                <w:szCs w:val="20"/>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霍尔果斯快马财税 管理有限公司所属 联营企业（注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42,866,10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45,325,38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2,309,285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2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44"/>
              <w:jc w:val="left"/>
              <w:rPr>
                <w:rFonts w:ascii="宋体" w:hAnsi="宋体" w:cs="宋体" w:eastAsia="宋体" w:hint="default"/>
                <w:sz w:val="18"/>
                <w:szCs w:val="18"/>
              </w:rPr>
            </w:pPr>
            <w:r>
              <w:rPr>
                <w:rFonts w:ascii="宋体" w:hAnsi="宋体" w:cs="宋体" w:eastAsia="宋体" w:hint="default"/>
                <w:spacing w:val="-6"/>
                <w:sz w:val="18"/>
                <w:szCs w:val="18"/>
              </w:rPr>
              <w:t>企业管家（北京）科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技服务有限公司所 属联营企业（注</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9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128,645,4</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76.39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10,506,08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27,650,29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111,501,2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60.17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27,650,29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9.19</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354,905,6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79.69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94,909,01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15,370,03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33,319,33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242,277,0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33,319,33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3.79</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354,905,6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79.69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94,909,01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15,370,03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33,319,33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242,277,0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33,319,33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3.79</w:t>
            </w:r>
          </w:p>
        </w:tc>
      </w:tr>
    </w:tbl>
    <w:p>
      <w:pPr>
        <w:pStyle w:val="BodyText"/>
        <w:spacing w:line="240" w:lineRule="auto" w:before="49"/>
        <w:ind w:left="492" w:right="1119"/>
        <w:jc w:val="left"/>
      </w:pPr>
      <w:r>
        <w:rPr/>
        <w:pict>
          <v:group style="position:absolute;margin-left:119.18pt;margin-top:-79.708282pt;width:39.4pt;height:7.8pt;mso-position-horizontal-relative:page;mso-position-vertical-relative:paragraph;z-index:-1012984" coordorigin="2384,-1594" coordsize="788,156">
            <v:shape style="position:absolute;left:2384;top:-1594;width:788;height:156" coordorigin="2384,-1594" coordsize="788,156" path="m2384,-1438l3171,-1438,3171,-1594,2384,-1594,2384,-1438xe" filled="true" fillcolor="#ffffff" stroked="false">
              <v:path arrowok="t"/>
              <v:fill type="solid"/>
            </v:shape>
            <w10:wrap type="none"/>
          </v:group>
        </w:pict>
      </w:r>
      <w:r>
        <w:rPr/>
        <w:t>其他说明</w:t>
      </w:r>
    </w:p>
    <w:p>
      <w:pPr>
        <w:pStyle w:val="BodyText"/>
        <w:spacing w:line="316" w:lineRule="auto" w:before="115"/>
        <w:ind w:left="492" w:right="1119" w:firstLine="365"/>
        <w:jc w:val="left"/>
      </w:pPr>
      <w:r>
        <w:rPr/>
        <w:t>注</w:t>
      </w:r>
      <w:r>
        <w:rPr>
          <w:rFonts w:ascii="宋体" w:hAnsi="宋体" w:cs="宋体" w:eastAsia="宋体" w:hint="default"/>
        </w:rPr>
        <w:t>1</w:t>
      </w:r>
      <w:r>
        <w:rPr/>
        <w:t>本公司之全资子公司易桥财税科技公司及其子公司易桥信息服务有限公司、宁波顺利办财税服务有限公司投资联营 企业，年初共计</w:t>
      </w:r>
      <w:r>
        <w:rPr>
          <w:rFonts w:ascii="宋体" w:hAnsi="宋体" w:cs="宋体" w:eastAsia="宋体" w:hint="default"/>
        </w:rPr>
        <w:t>8</w:t>
      </w:r>
      <w:r>
        <w:rPr/>
        <w:t>家，本年度处置</w:t>
      </w:r>
      <w:r>
        <w:rPr>
          <w:rFonts w:ascii="宋体" w:hAnsi="宋体" w:cs="宋体" w:eastAsia="宋体" w:hint="default"/>
        </w:rPr>
        <w:t>2</w:t>
      </w:r>
      <w:r>
        <w:rPr/>
        <w:t>家，新增</w:t>
      </w:r>
      <w:r>
        <w:rPr>
          <w:rFonts w:ascii="宋体" w:hAnsi="宋体" w:cs="宋体" w:eastAsia="宋体" w:hint="default"/>
        </w:rPr>
        <w:t>1</w:t>
      </w:r>
      <w:r>
        <w:rPr/>
        <w:t>家。</w:t>
      </w:r>
    </w:p>
    <w:p>
      <w:pPr>
        <w:pStyle w:val="BodyText"/>
        <w:spacing w:line="316" w:lineRule="auto" w:before="19"/>
        <w:ind w:left="492" w:right="0" w:firstLine="365"/>
        <w:jc w:val="left"/>
      </w:pPr>
      <w:r>
        <w:rPr/>
        <w:t>注</w:t>
      </w:r>
      <w:r>
        <w:rPr>
          <w:rFonts w:ascii="宋体" w:hAnsi="宋体" w:cs="宋体" w:eastAsia="宋体" w:hint="default"/>
        </w:rPr>
        <w:t>2</w:t>
      </w:r>
      <w:r>
        <w:rPr/>
        <w:t>本公司及本公司之全资子公司易桥财税科技公司共持有快马财税公司</w:t>
      </w:r>
      <w:r>
        <w:rPr>
          <w:rFonts w:ascii="宋体" w:hAnsi="宋体" w:cs="宋体" w:eastAsia="宋体" w:hint="default"/>
        </w:rPr>
        <w:t>100%</w:t>
      </w:r>
      <w:r>
        <w:rPr/>
        <w:t>股权，快马财税公司投资的联营单位年初 </w:t>
      </w:r>
      <w:r>
        <w:rPr>
          <w:spacing w:val="-2"/>
        </w:rPr>
        <w:t>共计</w:t>
      </w:r>
      <w:r>
        <w:rPr>
          <w:rFonts w:ascii="宋体" w:hAnsi="宋体" w:cs="宋体" w:eastAsia="宋体" w:hint="default"/>
          <w:spacing w:val="-2"/>
        </w:rPr>
        <w:t>4</w:t>
      </w:r>
      <w:r>
        <w:rPr>
          <w:spacing w:val="-2"/>
        </w:rPr>
        <w:t>家，本年根据快马财税、霍尔果斯神州易桥股权投资合伙企业（有限合伙）与终端资产原股东签署的《终止合作协议》</w:t>
      </w:r>
      <w:r>
        <w:rPr>
          <w:spacing w:val="-64"/>
        </w:rPr>
        <w:t> </w:t>
      </w:r>
      <w:r>
        <w:rPr>
          <w:spacing w:val="-64"/>
        </w:rPr>
      </w:r>
      <w:r>
        <w:rPr/>
        <w:t>处置全部</w:t>
      </w:r>
      <w:r>
        <w:rPr>
          <w:rFonts w:ascii="宋体" w:hAnsi="宋体" w:cs="宋体" w:eastAsia="宋体" w:hint="default"/>
        </w:rPr>
        <w:t>4</w:t>
      </w:r>
      <w:r>
        <w:rPr/>
        <w:t>家联营企业。</w:t>
      </w:r>
    </w:p>
    <w:p>
      <w:pPr>
        <w:pStyle w:val="BodyText"/>
        <w:spacing w:line="316" w:lineRule="auto" w:before="19"/>
        <w:ind w:left="492" w:right="1119" w:firstLine="365"/>
        <w:jc w:val="left"/>
      </w:pPr>
      <w:r>
        <w:rPr/>
        <w:t>注</w:t>
      </w:r>
      <w:r>
        <w:rPr>
          <w:rFonts w:ascii="宋体" w:hAnsi="宋体" w:cs="宋体" w:eastAsia="宋体" w:hint="default"/>
        </w:rPr>
        <w:t>3</w:t>
      </w:r>
      <w:r>
        <w:rPr/>
        <w:t>公司之孙公司快马咨询公司投资的联营单位，本期对</w:t>
      </w:r>
      <w:r>
        <w:rPr>
          <w:rFonts w:ascii="宋体" w:hAnsi="宋体" w:cs="宋体" w:eastAsia="宋体" w:hint="default"/>
        </w:rPr>
        <w:t>21</w:t>
      </w:r>
      <w:r>
        <w:rPr/>
        <w:t>家联营单位进行评估，根据银信资产评估有限公司出具的银 信财报字（</w:t>
      </w:r>
      <w:r>
        <w:rPr>
          <w:rFonts w:ascii="宋体" w:hAnsi="宋体" w:cs="宋体" w:eastAsia="宋体" w:hint="default"/>
        </w:rPr>
        <w:t>2020</w:t>
      </w:r>
      <w:r>
        <w:rPr/>
        <w:t>）沪第</w:t>
      </w:r>
      <w:r>
        <w:rPr>
          <w:rFonts w:ascii="宋体" w:hAnsi="宋体" w:cs="宋体" w:eastAsia="宋体" w:hint="default"/>
        </w:rPr>
        <w:t>390</w:t>
      </w:r>
      <w:r>
        <w:rPr/>
        <w:t>号评估报告，其中对</w:t>
      </w:r>
      <w:r>
        <w:rPr>
          <w:rFonts w:ascii="宋体" w:hAnsi="宋体" w:cs="宋体" w:eastAsia="宋体" w:hint="default"/>
        </w:rPr>
        <w:t>18</w:t>
      </w:r>
      <w:r>
        <w:rPr/>
        <w:t>家联营单位长期股权投资存在减值并据此计提减值准备。</w:t>
      </w:r>
    </w:p>
    <w:p>
      <w:pPr>
        <w:spacing w:line="240" w:lineRule="auto" w:before="10"/>
        <w:rPr>
          <w:rFonts w:ascii="宋体" w:hAnsi="宋体" w:cs="宋体" w:eastAsia="宋体" w:hint="default"/>
          <w:sz w:val="22"/>
          <w:szCs w:val="22"/>
        </w:rPr>
      </w:pPr>
    </w:p>
    <w:p>
      <w:pPr>
        <w:pStyle w:val="Heading3"/>
        <w:spacing w:line="240" w:lineRule="auto"/>
        <w:ind w:left="492" w:right="1119"/>
        <w:jc w:val="left"/>
        <w:rPr>
          <w:b w:val="0"/>
          <w:bCs w:val="0"/>
        </w:rPr>
      </w:pPr>
      <w:bookmarkStart w:name="12、其他权益工具投资" w:id="278"/>
      <w:bookmarkEnd w:id="278"/>
      <w:r>
        <w:rPr>
          <w:b w:val="0"/>
          <w:bCs w:val="0"/>
        </w:rPr>
      </w:r>
      <w:r>
        <w:rPr>
          <w:rFonts w:ascii="Times New Roman" w:hAnsi="Times New Roman" w:cs="Times New Roman" w:eastAsia="Times New Roman" w:hint="default"/>
        </w:rPr>
        <w:t>12</w:t>
      </w:r>
      <w:r>
        <w:rPr/>
        <w:t>、其他权益工具投资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8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青海小西牛生物乳业股份有限公司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青海弘川新源实业股份有限公司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大象恒丰（青岛）投资有限公司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云南神州易桥企业管理有限公司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63,140.39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霍尔果斯鸿桥企业管理咨询有限公司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70,333,140.39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40,263,140.39</w:t>
            </w:r>
          </w:p>
        </w:tc>
      </w:tr>
    </w:tbl>
    <w:p>
      <w:pPr>
        <w:pStyle w:val="BodyText"/>
        <w:spacing w:line="240" w:lineRule="auto" w:before="49"/>
        <w:ind w:left="492" w:right="1119"/>
        <w:jc w:val="left"/>
      </w:pPr>
      <w:r>
        <w:rPr/>
        <w:t>分项披露本期非交易性权益工具投资</w:t>
      </w:r>
    </w:p>
    <w:p>
      <w:pPr>
        <w:pStyle w:val="BodyText"/>
        <w:spacing w:line="240" w:lineRule="auto" w:before="118"/>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48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9"/>
        <w:ind w:left="492" w:right="1119"/>
        <w:jc w:val="left"/>
      </w:pPr>
      <w:r>
        <w:rPr/>
        <w:t>其他说明：</w:t>
      </w:r>
    </w:p>
    <w:p>
      <w:pPr>
        <w:pStyle w:val="BodyText"/>
        <w:spacing w:line="316" w:lineRule="auto" w:before="115"/>
        <w:ind w:left="492" w:right="1131" w:firstLine="425"/>
        <w:jc w:val="both"/>
      </w:pPr>
      <w:r>
        <w:rPr>
          <w:rFonts w:ascii="宋体" w:hAnsi="宋体" w:cs="宋体" w:eastAsia="宋体" w:hint="default"/>
          <w:spacing w:val="-2"/>
        </w:rPr>
        <w:t>1</w:t>
      </w:r>
      <w:r>
        <w:rPr>
          <w:spacing w:val="-2"/>
        </w:rPr>
        <w:t>、截至本期末公司持有对青海弘川化工实业有限公司</w:t>
      </w:r>
      <w:r>
        <w:rPr>
          <w:rFonts w:ascii="宋体" w:hAnsi="宋体" w:cs="宋体" w:eastAsia="宋体" w:hint="default"/>
          <w:spacing w:val="-2"/>
        </w:rPr>
        <w:t>4.925%</w:t>
      </w:r>
      <w:r>
        <w:rPr>
          <w:spacing w:val="-2"/>
        </w:rPr>
        <w:t>股权，该公司以资产不能清偿全部债务为由已于</w:t>
      </w:r>
      <w:r>
        <w:rPr>
          <w:rFonts w:ascii="宋体" w:hAnsi="宋体" w:cs="宋体" w:eastAsia="宋体" w:hint="default"/>
          <w:spacing w:val="-2"/>
        </w:rPr>
        <w:t>2019</w:t>
      </w:r>
      <w:r>
        <w:rPr>
          <w:spacing w:val="-2"/>
        </w:rPr>
        <w:t>年</w:t>
      </w:r>
      <w:r>
        <w:rPr>
          <w:rFonts w:ascii="宋体" w:hAnsi="宋体" w:cs="宋体" w:eastAsia="宋体" w:hint="default"/>
          <w:spacing w:val="-2"/>
        </w:rPr>
        <w:t>12 </w:t>
      </w:r>
      <w:r>
        <w:rPr/>
        <w:t>月</w:t>
      </w:r>
      <w:r>
        <w:rPr>
          <w:rFonts w:ascii="宋体" w:hAnsi="宋体" w:cs="宋体" w:eastAsia="宋体" w:hint="default"/>
        </w:rPr>
        <w:t>17</w:t>
      </w:r>
      <w:r>
        <w:rPr/>
        <w:t>日向青海省海北藏族自治州中级人民法院申请破产重整，本期对该投资的公允价值为</w:t>
      </w:r>
      <w:r>
        <w:rPr>
          <w:rFonts w:ascii="宋体" w:hAnsi="宋体" w:cs="宋体" w:eastAsia="宋体" w:hint="default"/>
        </w:rPr>
        <w:t>0</w:t>
      </w:r>
      <w:r>
        <w:rPr/>
        <w:t>元，公允价值变动计入其他综合</w:t>
      </w:r>
      <w:r>
        <w:rPr>
          <w:spacing w:val="-83"/>
        </w:rPr>
        <w:t> </w:t>
      </w:r>
      <w:r>
        <w:rPr>
          <w:spacing w:val="-83"/>
        </w:rPr>
      </w:r>
      <w:r>
        <w:rPr/>
        <w:t>收益。</w:t>
      </w:r>
    </w:p>
    <w:p>
      <w:pPr>
        <w:spacing w:after="0" w:line="316" w:lineRule="auto"/>
        <w:jc w:val="both"/>
        <w:sectPr>
          <w:pgSz w:w="11910" w:h="16840"/>
          <w:pgMar w:header="877" w:footer="980" w:top="1100" w:bottom="1160" w:left="640" w:right="0"/>
        </w:sectPr>
      </w:pPr>
    </w:p>
    <w:p>
      <w:pPr>
        <w:spacing w:line="240" w:lineRule="auto" w:before="11"/>
        <w:rPr>
          <w:rFonts w:ascii="宋体" w:hAnsi="宋体" w:cs="宋体" w:eastAsia="宋体" w:hint="default"/>
          <w:sz w:val="21"/>
          <w:szCs w:val="21"/>
        </w:rPr>
      </w:pPr>
    </w:p>
    <w:p>
      <w:pPr>
        <w:pStyle w:val="BodyText"/>
        <w:spacing w:line="319" w:lineRule="auto" w:before="44"/>
        <w:ind w:right="1129" w:firstLine="425"/>
        <w:jc w:val="both"/>
      </w:pPr>
      <w:r>
        <w:rPr>
          <w:rFonts w:ascii="宋体" w:hAnsi="宋体" w:cs="宋体" w:eastAsia="宋体" w:hint="default"/>
        </w:rPr>
        <w:t>2</w:t>
      </w:r>
      <w:r>
        <w:rPr/>
        <w:t>、截至本期末公司持有霍尔果斯鸿桥企业管理咨询有限公司</w:t>
      </w:r>
      <w:r>
        <w:rPr>
          <w:rFonts w:ascii="宋体" w:hAnsi="宋体" w:cs="宋体" w:eastAsia="宋体" w:hint="default"/>
        </w:rPr>
        <w:t>10.00%</w:t>
      </w:r>
      <w:r>
        <w:rPr/>
        <w:t>股权，该公司期末账面为</w:t>
      </w:r>
      <w:r>
        <w:rPr>
          <w:rFonts w:ascii="宋体" w:hAnsi="宋体" w:cs="宋体" w:eastAsia="宋体" w:hint="default"/>
        </w:rPr>
        <w:t>68,863,382.44</w:t>
      </w:r>
      <w:r>
        <w:rPr/>
        <w:t>元，经银 </w:t>
      </w:r>
      <w:r>
        <w:rPr>
          <w:spacing w:val="-2"/>
        </w:rPr>
        <w:t>信资产评估有限公司出具的银信财报字（</w:t>
      </w:r>
      <w:r>
        <w:rPr>
          <w:rFonts w:ascii="宋体" w:hAnsi="宋体" w:cs="宋体" w:eastAsia="宋体" w:hint="default"/>
          <w:spacing w:val="-2"/>
        </w:rPr>
        <w:t>2020</w:t>
      </w:r>
      <w:r>
        <w:rPr>
          <w:spacing w:val="-2"/>
        </w:rPr>
        <w:t>）沪第</w:t>
      </w:r>
      <w:r>
        <w:rPr>
          <w:rFonts w:ascii="宋体" w:hAnsi="宋体" w:cs="宋体" w:eastAsia="宋体" w:hint="default"/>
          <w:spacing w:val="-2"/>
        </w:rPr>
        <w:t>389</w:t>
      </w:r>
      <w:r>
        <w:rPr>
          <w:spacing w:val="-2"/>
        </w:rPr>
        <w:t>号评估确认公允价值为</w:t>
      </w:r>
      <w:r>
        <w:rPr>
          <w:rFonts w:ascii="宋体" w:hAnsi="宋体" w:cs="宋体" w:eastAsia="宋体" w:hint="default"/>
          <w:spacing w:val="-2"/>
        </w:rPr>
        <w:t>49,770,000.00</w:t>
      </w:r>
      <w:r>
        <w:rPr>
          <w:spacing w:val="-2"/>
        </w:rPr>
        <w:t>元，公允价值变动计入其他综</w:t>
      </w:r>
      <w:r>
        <w:rPr>
          <w:spacing w:val="-50"/>
        </w:rPr>
        <w:t> </w:t>
      </w:r>
      <w:r>
        <w:rPr>
          <w:spacing w:val="-50"/>
        </w:rPr>
      </w:r>
      <w:r>
        <w:rPr/>
        <w:t>合收益。</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13、投资性房地产" w:id="279"/>
      <w:bookmarkEnd w:id="279"/>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采用成本计量模式的投资性房地产" w:id="280"/>
      <w:bookmarkEnd w:id="28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1916"/>
        <w:gridCol w:w="1344"/>
        <w:gridCol w:w="1275"/>
        <w:gridCol w:w="1913"/>
      </w:tblGrid>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54,093,368.02</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54,093,368.02</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54,093,368.02</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54,093,368.02</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1,511,047.22</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1,511,047.22</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1,544,391.84</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1,544,391.84</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1,544,391.84</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1,544,391.84</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3,055,439.06</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3,055,439.06</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263"/>
        <w:gridCol w:w="1916"/>
        <w:gridCol w:w="1344"/>
        <w:gridCol w:w="1275"/>
        <w:gridCol w:w="1913"/>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51,037,928.96</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51,037,928.96</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52,582,320.80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52,582,320.80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采用公允价值计量模式的投资性房地产" w:id="281"/>
      <w:bookmarkEnd w:id="28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未办妥产权证书的投资性房地产情况" w:id="282"/>
      <w:bookmarkEnd w:id="28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4、固定资产" w:id="283"/>
      <w:bookmarkEnd w:id="283"/>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27,434,876.07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40,458,413.53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27,434,876.07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40,458,413.53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固定资产情况" w:id="284"/>
      <w:bookmarkEnd w:id="28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4"/>
        <w:gridCol w:w="1927"/>
        <w:gridCol w:w="1913"/>
        <w:gridCol w:w="1916"/>
        <w:gridCol w:w="1769"/>
      </w:tblGrid>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7"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27,540,129.59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17,524,881.82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20,331,503.28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65,396,514.69</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61,792.41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2,966,888.42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1,167,350.58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4,196,031.41</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61,792.41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2,966,888.42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863,868.18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3,892,549.01</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27"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27"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303,482.40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303,482.40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6"/>
        <w:gridCol w:w="1916"/>
        <w:gridCol w:w="1913"/>
        <w:gridCol w:w="1916"/>
        <w:gridCol w:w="1769"/>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4,638,637.54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9,708,760.30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7,045,009.20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21,392,407.04</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4,638,637.54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9,708,760.30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7,045,009.20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21,392,407.04</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22,963,284.46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10,783,009.94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14,453,844.66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48,200,139.06</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2,727,507.13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9,765,139.67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12,445,454.36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24,938,101.16</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1,347,050.74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2,912,669.58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2,539,226.80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6,798,947.12</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1,347,050.74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2,912,669.58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2,426,492.14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6,686,212.46</w:t>
            </w: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112,734.66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112,734.66</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1,504,213.09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4,234,798.33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5,232,773.87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10,971,785.29</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1,504,213.09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4,234,798.33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5,232,773.87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10,971,785.29</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2,570,344.78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8,443,010.92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9,751,907.29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20,765,262.99</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20,392,939.68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2,339,999.02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4,701,937.37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27,434,876.07</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24,812,622.46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7,759,742.15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7,886,048.92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40,458,413.53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暂时闲置的固定资产情况" w:id="285"/>
      <w:bookmarkEnd w:id="28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通过融资租赁租入的固定资产情况" w:id="286"/>
      <w:bookmarkEnd w:id="28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4）通过经营租赁租出的固定资产" w:id="287"/>
      <w:bookmarkEnd w:id="28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未办妥产权证书的固定资产情况" w:id="288"/>
      <w:bookmarkEnd w:id="28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固定资产清理" w:id="289"/>
      <w:bookmarkEnd w:id="289"/>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5、无形资产" w:id="290"/>
      <w:bookmarkEnd w:id="290"/>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无形资产情况" w:id="291"/>
      <w:bookmarkEnd w:id="29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246"/>
        <w:gridCol w:w="1447"/>
        <w:gridCol w:w="1337"/>
        <w:gridCol w:w="1594"/>
        <w:gridCol w:w="1594"/>
        <w:gridCol w:w="1363"/>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126,103,623.23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128,103,623.23</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61,697,020.10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61,697,020.10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59,898,476.39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59,898,476.39</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1,148,543.71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1,148,543.71</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2,129,000.00</w:t>
            </w: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2,129,000.00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187,671,643.33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187,671,643.33</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25,794,704.48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25,794,704.48</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18,263,436.24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20,263,436.24</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47" w:type="dxa"/>
            <w:tcBorders>
              <w:top w:val="single" w:sz="4" w:space="0" w:color="000000"/>
              <w:left w:val="single" w:sz="9" w:space="0" w:color="D2D2D2"/>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18,263,436.24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20,263,436.24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233" w:type="dxa"/>
        <w:tblLayout w:type="fixed"/>
        <w:tblCellMar>
          <w:top w:w="0" w:type="dxa"/>
          <w:left w:w="0" w:type="dxa"/>
          <w:bottom w:w="0" w:type="dxa"/>
          <w:right w:w="0" w:type="dxa"/>
        </w:tblCellMar>
        <w:tblLook w:val="01E0"/>
      </w:tblPr>
      <w:tblGrid>
        <w:gridCol w:w="2267"/>
        <w:gridCol w:w="1436"/>
        <w:gridCol w:w="1337"/>
        <w:gridCol w:w="1594"/>
        <w:gridCol w:w="1594"/>
        <w:gridCol w:w="1363"/>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106,525.09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2,106,525.09</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106,525.09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2,106,525.09</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43,951,615.63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43,951,615.63</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89,784,876.13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89,784,876.13</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89,784,876.13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89,784,876.13</w:t>
            </w:r>
          </w:p>
        </w:tc>
      </w:tr>
      <w:tr>
        <w:trPr>
          <w:trHeight w:val="404"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89,784,876.13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89,784,876.13</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53,935,151.57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53,935,151.57</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100,308,918.75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102,308,918.75</w:t>
            </w:r>
          </w:p>
        </w:tc>
      </w:tr>
    </w:tbl>
    <w:p>
      <w:pPr>
        <w:pStyle w:val="BodyText"/>
        <w:spacing w:line="240" w:lineRule="auto" w:before="49"/>
        <w:ind w:left="212"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left="212" w:right="0"/>
        <w:jc w:val="left"/>
        <w:rPr>
          <w:b w:val="0"/>
          <w:bCs w:val="0"/>
        </w:rPr>
      </w:pPr>
      <w:bookmarkStart w:name="（2）未办妥产权证书的土地使用权情况" w:id="292"/>
      <w:bookmarkEnd w:id="29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left="212"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left="212" w:right="0"/>
        <w:jc w:val="left"/>
        <w:rPr>
          <w:b w:val="0"/>
          <w:bCs w:val="0"/>
        </w:rPr>
      </w:pPr>
      <w:bookmarkStart w:name="16、开发支出" w:id="293"/>
      <w:bookmarkEnd w:id="293"/>
      <w:r>
        <w:rPr>
          <w:b w:val="0"/>
          <w:bCs w:val="0"/>
        </w:rPr>
      </w:r>
      <w:r>
        <w:rPr>
          <w:rFonts w:ascii="Times New Roman" w:hAnsi="Times New Roman" w:cs="Times New Roman" w:eastAsia="Times New Roman" w:hint="default"/>
        </w:rPr>
        <w:t>16</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087"/>
        <w:gridCol w:w="1217"/>
        <w:gridCol w:w="1274"/>
        <w:gridCol w:w="641"/>
        <w:gridCol w:w="603"/>
        <w:gridCol w:w="1207"/>
        <w:gridCol w:w="1064"/>
        <w:gridCol w:w="708"/>
        <w:gridCol w:w="1063"/>
      </w:tblGrid>
      <w:tr>
        <w:trPr>
          <w:trHeight w:val="403" w:hRule="exact"/>
        </w:trPr>
        <w:tc>
          <w:tcPr>
            <w:tcW w:w="20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2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20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08" w:right="59"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087" w:type="dxa"/>
            <w:vMerge/>
            <w:tcBorders>
              <w:left w:val="single" w:sz="4" w:space="0" w:color="000000"/>
              <w:bottom w:val="nil" w:sz="6" w:space="0" w:color="auto"/>
              <w:right w:val="single" w:sz="4" w:space="0" w:color="000000"/>
            </w:tcBorders>
            <w:shd w:val="clear" w:color="auto" w:fill="D2D2D2"/>
          </w:tcPr>
          <w:p>
            <w:pPr/>
          </w:p>
        </w:tc>
        <w:tc>
          <w:tcPr>
            <w:tcW w:w="1217"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3"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087" w:type="dxa"/>
            <w:vMerge w:val="restart"/>
            <w:tcBorders>
              <w:top w:val="nil" w:sz="6" w:space="0" w:color="auto"/>
              <w:left w:val="single" w:sz="4" w:space="0" w:color="000000"/>
              <w:right w:val="single" w:sz="4" w:space="0" w:color="000000"/>
            </w:tcBorders>
            <w:shd w:val="clear" w:color="auto" w:fill="D2D2D2"/>
          </w:tcPr>
          <w:p>
            <w:pPr/>
          </w:p>
        </w:tc>
        <w:tc>
          <w:tcPr>
            <w:tcW w:w="1217"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03"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087" w:type="dxa"/>
            <w:vMerge/>
            <w:tcBorders>
              <w:left w:val="single" w:sz="4"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精算</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21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942,897.63</w:t>
            </w:r>
          </w:p>
        </w:tc>
        <w:tc>
          <w:tcPr>
            <w:tcW w:w="641"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942,897.63</w:t>
            </w:r>
          </w:p>
        </w:tc>
      </w:tr>
      <w:tr>
        <w:trPr>
          <w:trHeight w:val="401"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政务</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21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352,100.13</w:t>
            </w:r>
          </w:p>
        </w:tc>
        <w:tc>
          <w:tcPr>
            <w:tcW w:w="641"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352,100.13</w:t>
            </w:r>
          </w:p>
        </w:tc>
      </w:tr>
      <w:tr>
        <w:trPr>
          <w:trHeight w:val="403"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财务管家独立平台项目</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2,306,387.72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1,830,735.60</w:t>
            </w:r>
          </w:p>
        </w:tc>
        <w:tc>
          <w:tcPr>
            <w:tcW w:w="641"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center"/>
              <w:rPr>
                <w:rFonts w:ascii="Times New Roman" w:hAnsi="Times New Roman" w:cs="Times New Roman" w:eastAsia="Times New Roman" w:hint="default"/>
                <w:sz w:val="18"/>
                <w:szCs w:val="18"/>
              </w:rPr>
            </w:pPr>
            <w:r>
              <w:rPr>
                <w:rFonts w:ascii="Times New Roman"/>
                <w:sz w:val="18"/>
              </w:rPr>
              <w:t>4,137,123.32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智慧企业孵化云平台</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49,206,562.03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7,524,255.39</w:t>
            </w:r>
          </w:p>
        </w:tc>
        <w:tc>
          <w:tcPr>
            <w:tcW w:w="641"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center"/>
              <w:rPr>
                <w:rFonts w:ascii="Times New Roman" w:hAnsi="Times New Roman" w:cs="Times New Roman" w:eastAsia="Times New Roman" w:hint="default"/>
                <w:sz w:val="18"/>
                <w:szCs w:val="18"/>
              </w:rPr>
            </w:pPr>
            <w:r>
              <w:rPr>
                <w:rFonts w:ascii="Times New Roman"/>
                <w:sz w:val="18"/>
              </w:rPr>
              <w:t>55,761,353.07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969,464.35</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行业</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21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1,440,876.12</w:t>
            </w:r>
          </w:p>
        </w:tc>
        <w:tc>
          <w:tcPr>
            <w:tcW w:w="641"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1,827,107.33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8"/>
        <w:rPr>
          <w:rFonts w:ascii="宋体" w:hAnsi="宋体" w:cs="宋体" w:eastAsia="宋体" w:hint="default"/>
          <w:sz w:val="24"/>
          <w:szCs w:val="24"/>
        </w:rPr>
      </w:pPr>
    </w:p>
    <w:tbl>
      <w:tblPr>
        <w:tblW w:w="0" w:type="auto"/>
        <w:jc w:val="left"/>
        <w:tblInd w:w="329" w:type="dxa"/>
        <w:tblLayout w:type="fixed"/>
        <w:tblCellMar>
          <w:top w:w="0" w:type="dxa"/>
          <w:left w:w="0" w:type="dxa"/>
          <w:bottom w:w="0" w:type="dxa"/>
          <w:right w:w="0" w:type="dxa"/>
        </w:tblCellMar>
        <w:tblLook w:val="01E0"/>
      </w:tblPr>
      <w:tblGrid>
        <w:gridCol w:w="2111"/>
        <w:gridCol w:w="1205"/>
        <w:gridCol w:w="1274"/>
        <w:gridCol w:w="641"/>
        <w:gridCol w:w="603"/>
        <w:gridCol w:w="1207"/>
        <w:gridCol w:w="1064"/>
        <w:gridCol w:w="708"/>
        <w:gridCol w:w="1063"/>
      </w:tblGrid>
      <w:tr>
        <w:trPr>
          <w:trHeight w:val="401" w:hRule="exact"/>
        </w:trPr>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管</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809,191.08</w:t>
            </w:r>
          </w:p>
        </w:tc>
        <w:tc>
          <w:tcPr>
            <w:tcW w:w="641"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809,191.08</w:t>
            </w:r>
          </w:p>
        </w:tc>
      </w:tr>
      <w:tr>
        <w:trPr>
          <w:trHeight w:val="403" w:hRule="exact"/>
        </w:trPr>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办</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2,083,196.99</w:t>
            </w:r>
          </w:p>
        </w:tc>
        <w:tc>
          <w:tcPr>
            <w:tcW w:w="641"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1,440,876.12</w:t>
            </w:r>
          </w:p>
        </w:tc>
      </w:tr>
      <w:tr>
        <w:trPr>
          <w:trHeight w:val="403" w:hRule="exact"/>
        </w:trPr>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51,512,949.75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14,983,252.94</w:t>
            </w:r>
          </w:p>
        </w:tc>
        <w:tc>
          <w:tcPr>
            <w:tcW w:w="641"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59,898,476.39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969,464.35</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5,628,261.95</w:t>
            </w:r>
          </w:p>
        </w:tc>
      </w:tr>
    </w:tbl>
    <w:p>
      <w:pPr>
        <w:pStyle w:val="BodyText"/>
        <w:spacing w:line="357" w:lineRule="auto" w:before="49"/>
        <w:ind w:left="452" w:right="1574"/>
        <w:jc w:val="left"/>
      </w:pPr>
      <w:r>
        <w:rPr/>
        <w:t>其他说明 公司通过技术可行性及经济可行性研究，形成项目立项后，且预计带来稳定的经济利用流入或使用，进入开发阶段。</w:t>
      </w:r>
    </w:p>
    <w:p>
      <w:pPr>
        <w:spacing w:line="240" w:lineRule="auto" w:before="6"/>
        <w:rPr>
          <w:rFonts w:ascii="宋体" w:hAnsi="宋体" w:cs="宋体" w:eastAsia="宋体" w:hint="default"/>
          <w:sz w:val="20"/>
          <w:szCs w:val="20"/>
        </w:rPr>
      </w:pPr>
    </w:p>
    <w:p>
      <w:pPr>
        <w:pStyle w:val="Heading3"/>
        <w:spacing w:line="240" w:lineRule="auto"/>
        <w:ind w:left="452" w:right="1574"/>
        <w:jc w:val="left"/>
        <w:rPr>
          <w:b w:val="0"/>
          <w:bCs w:val="0"/>
        </w:rPr>
      </w:pPr>
      <w:bookmarkStart w:name="17、商誉" w:id="294"/>
      <w:bookmarkEnd w:id="294"/>
      <w:r>
        <w:rPr>
          <w:b w:val="0"/>
          <w:bCs w:val="0"/>
        </w:rPr>
      </w:r>
      <w:r>
        <w:rPr>
          <w:rFonts w:ascii="Times New Roman" w:hAnsi="Times New Roman" w:cs="Times New Roman" w:eastAsia="Times New Roman" w:hint="default"/>
        </w:rPr>
        <w:t>17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52" w:right="1574"/>
        <w:jc w:val="left"/>
        <w:rPr>
          <w:b w:val="0"/>
          <w:bCs w:val="0"/>
        </w:rPr>
      </w:pPr>
      <w:bookmarkStart w:name="（1）商誉账面原值" w:id="295"/>
      <w:bookmarkEnd w:id="29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387"/>
        <w:gridCol w:w="1574"/>
        <w:gridCol w:w="1529"/>
        <w:gridCol w:w="977"/>
        <w:gridCol w:w="1368"/>
        <w:gridCol w:w="989"/>
        <w:gridCol w:w="1512"/>
      </w:tblGrid>
      <w:tr>
        <w:trPr>
          <w:trHeight w:val="207" w:hRule="exact"/>
        </w:trPr>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1008" w:right="16"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574" w:type="dxa"/>
            <w:tcBorders>
              <w:top w:val="single" w:sz="4" w:space="0" w:color="000000"/>
              <w:left w:val="single" w:sz="4" w:space="0" w:color="000000"/>
              <w:bottom w:val="nil" w:sz="6" w:space="0" w:color="auto"/>
              <w:right w:val="single" w:sz="4" w:space="0" w:color="000000"/>
            </w:tcBorders>
            <w:shd w:val="clear" w:color="auto" w:fill="D2D2D2"/>
          </w:tcPr>
          <w:p>
            <w:pPr/>
          </w:p>
        </w:tc>
        <w:tc>
          <w:tcPr>
            <w:tcW w:w="25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3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2387" w:type="dxa"/>
            <w:vMerge/>
            <w:tcBorders>
              <w:left w:val="single" w:sz="4" w:space="0" w:color="000000"/>
              <w:right w:val="single" w:sz="4" w:space="0" w:color="000000"/>
            </w:tcBorders>
            <w:shd w:val="clear" w:color="auto" w:fill="D2D2D2"/>
          </w:tcPr>
          <w:p>
            <w:pPr/>
          </w:p>
        </w:tc>
        <w:tc>
          <w:tcPr>
            <w:tcW w:w="1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6" w:type="dxa"/>
            <w:gridSpan w:val="2"/>
            <w:vMerge/>
            <w:tcBorders>
              <w:left w:val="single" w:sz="4" w:space="0" w:color="000000"/>
              <w:bottom w:val="single" w:sz="4" w:space="0" w:color="000000"/>
              <w:right w:val="single" w:sz="4" w:space="0" w:color="000000"/>
            </w:tcBorders>
            <w:shd w:val="clear" w:color="auto" w:fill="D2D2D2"/>
          </w:tcPr>
          <w:p>
            <w:pPr/>
          </w:p>
        </w:tc>
        <w:tc>
          <w:tcPr>
            <w:tcW w:w="2357" w:type="dxa"/>
            <w:gridSpan w:val="2"/>
            <w:vMerge/>
            <w:tcBorders>
              <w:left w:val="single" w:sz="4" w:space="0" w:color="000000"/>
              <w:bottom w:val="single" w:sz="4" w:space="0" w:color="000000"/>
              <w:right w:val="single" w:sz="4" w:space="0" w:color="000000"/>
            </w:tcBorders>
            <w:shd w:val="clear" w:color="auto" w:fill="D2D2D2"/>
          </w:tcPr>
          <w:p>
            <w:pPr/>
          </w:p>
        </w:tc>
        <w:tc>
          <w:tcPr>
            <w:tcW w:w="15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387" w:type="dxa"/>
            <w:vMerge/>
            <w:tcBorders>
              <w:left w:val="single" w:sz="4" w:space="0" w:color="000000"/>
              <w:right w:val="single" w:sz="4" w:space="0" w:color="000000"/>
            </w:tcBorders>
            <w:shd w:val="clear" w:color="auto" w:fill="D2D2D2"/>
          </w:tcPr>
          <w:p>
            <w:pPr/>
          </w:p>
        </w:tc>
        <w:tc>
          <w:tcPr>
            <w:tcW w:w="1574" w:type="dxa"/>
            <w:vMerge/>
            <w:tcBorders>
              <w:left w:val="single" w:sz="4" w:space="0" w:color="000000"/>
              <w:bottom w:val="nil" w:sz="6" w:space="0" w:color="auto"/>
              <w:right w:val="single" w:sz="4" w:space="0" w:color="000000"/>
            </w:tcBorders>
            <w:shd w:val="clear" w:color="auto" w:fill="D2D2D2"/>
          </w:tcPr>
          <w:p>
            <w:pPr/>
          </w:p>
        </w:tc>
        <w:tc>
          <w:tcPr>
            <w:tcW w:w="15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977"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989" w:type="dxa"/>
            <w:vMerge w:val="restart"/>
            <w:tcBorders>
              <w:top w:val="single" w:sz="4" w:space="0" w:color="000000"/>
              <w:left w:val="single" w:sz="4" w:space="0" w:color="000000"/>
              <w:right w:val="single" w:sz="4" w:space="0" w:color="000000"/>
            </w:tcBorders>
            <w:shd w:val="clear" w:color="auto" w:fill="D2D2D2"/>
          </w:tcPr>
          <w:p>
            <w:pPr/>
          </w:p>
        </w:tc>
        <w:tc>
          <w:tcPr>
            <w:tcW w:w="151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5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vMerge/>
            <w:tcBorders>
              <w:left w:val="single" w:sz="4" w:space="0" w:color="000000"/>
              <w:bottom w:val="single" w:sz="4" w:space="0" w:color="000000"/>
              <w:right w:val="single" w:sz="4" w:space="0" w:color="000000"/>
            </w:tcBorders>
            <w:shd w:val="clear" w:color="auto" w:fill="D2D2D2"/>
          </w:tcPr>
          <w:p>
            <w:pPr/>
          </w:p>
        </w:tc>
        <w:tc>
          <w:tcPr>
            <w:tcW w:w="97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3"/>
              <w:jc w:val="left"/>
              <w:rPr>
                <w:rFonts w:ascii="宋体" w:hAnsi="宋体" w:cs="宋体" w:eastAsia="宋体" w:hint="default"/>
                <w:sz w:val="18"/>
                <w:szCs w:val="18"/>
              </w:rPr>
            </w:pPr>
            <w:r>
              <w:rPr>
                <w:rFonts w:ascii="宋体" w:hAnsi="宋体" w:cs="宋体" w:eastAsia="宋体" w:hint="default"/>
                <w:sz w:val="18"/>
                <w:szCs w:val="18"/>
              </w:rPr>
              <w:t>神州易桥</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财税科技有限 公司</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896,902,084.81</w:t>
            </w:r>
          </w:p>
        </w:tc>
        <w:tc>
          <w:tcPr>
            <w:tcW w:w="152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896,902,084.81</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无锡易真企业管理有限公司</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22,771,074.80</w:t>
            </w:r>
          </w:p>
        </w:tc>
        <w:tc>
          <w:tcPr>
            <w:tcW w:w="152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22,771,074.80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无锡易广企业管理有限公司</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21,103,741.25</w:t>
            </w:r>
          </w:p>
        </w:tc>
        <w:tc>
          <w:tcPr>
            <w:tcW w:w="152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21,103,741.25</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宁波顺利办财税服务有限公司</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252,462,141.81</w:t>
            </w:r>
          </w:p>
        </w:tc>
        <w:tc>
          <w:tcPr>
            <w:tcW w:w="152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252,462,141.81</w:t>
            </w:r>
          </w:p>
        </w:tc>
      </w:tr>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霍尔果斯易桥快马企业管理咨 询有限公司所属单位（注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328,911,238.94</w:t>
            </w:r>
          </w:p>
        </w:tc>
        <w:tc>
          <w:tcPr>
            <w:tcW w:w="152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95,032,546.65</w:t>
            </w:r>
          </w:p>
        </w:tc>
        <w:tc>
          <w:tcPr>
            <w:tcW w:w="98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233,878,692.29</w:t>
            </w:r>
          </w:p>
        </w:tc>
      </w:tr>
      <w:tr>
        <w:trPr>
          <w:trHeight w:val="716"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霍尔果斯快马财税管理服务有 限公司所属单位（注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1,327,343,219.22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56,024,945.70</w:t>
            </w:r>
          </w:p>
        </w:tc>
        <w:tc>
          <w:tcPr>
            <w:tcW w:w="97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500,075,290.11</w:t>
            </w:r>
          </w:p>
        </w:tc>
        <w:tc>
          <w:tcPr>
            <w:tcW w:w="98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883,292,874.81</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2,849,493,500.83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56,024,945.70</w:t>
            </w:r>
          </w:p>
        </w:tc>
        <w:tc>
          <w:tcPr>
            <w:tcW w:w="97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595,107,836.76</w:t>
            </w:r>
          </w:p>
        </w:tc>
        <w:tc>
          <w:tcPr>
            <w:tcW w:w="98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2,310,410,609.77</w:t>
            </w:r>
          </w:p>
        </w:tc>
      </w:tr>
    </w:tbl>
    <w:p>
      <w:pPr>
        <w:spacing w:line="240" w:lineRule="auto" w:before="3"/>
        <w:rPr>
          <w:rFonts w:ascii="宋体" w:hAnsi="宋体" w:cs="宋体" w:eastAsia="宋体" w:hint="default"/>
          <w:sz w:val="19"/>
          <w:szCs w:val="19"/>
        </w:rPr>
      </w:pPr>
    </w:p>
    <w:p>
      <w:pPr>
        <w:pStyle w:val="Heading3"/>
        <w:spacing w:line="240" w:lineRule="auto" w:before="36"/>
        <w:ind w:left="452" w:right="1574"/>
        <w:jc w:val="left"/>
        <w:rPr>
          <w:b w:val="0"/>
          <w:bCs w:val="0"/>
        </w:rPr>
      </w:pPr>
      <w:bookmarkStart w:name="（2）商誉减值准备" w:id="296"/>
      <w:bookmarkEnd w:id="29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60" w:type="dxa"/>
        <w:tblLayout w:type="fixed"/>
        <w:tblCellMar>
          <w:top w:w="0" w:type="dxa"/>
          <w:left w:w="0" w:type="dxa"/>
          <w:bottom w:w="0" w:type="dxa"/>
          <w:right w:w="0" w:type="dxa"/>
        </w:tblCellMar>
        <w:tblLook w:val="01E0"/>
      </w:tblPr>
      <w:tblGrid>
        <w:gridCol w:w="2104"/>
        <w:gridCol w:w="1379"/>
        <w:gridCol w:w="1366"/>
        <w:gridCol w:w="1236"/>
        <w:gridCol w:w="1368"/>
        <w:gridCol w:w="1042"/>
        <w:gridCol w:w="1366"/>
      </w:tblGrid>
      <w:tr>
        <w:trPr>
          <w:trHeight w:val="206" w:hRule="exact"/>
        </w:trPr>
        <w:tc>
          <w:tcPr>
            <w:tcW w:w="210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686" w:right="54" w:hanging="630"/>
              <w:jc w:val="left"/>
              <w:rPr>
                <w:rFonts w:ascii="宋体" w:hAnsi="宋体" w:cs="宋体" w:eastAsia="宋体" w:hint="default"/>
                <w:sz w:val="18"/>
                <w:szCs w:val="18"/>
              </w:rPr>
            </w:pPr>
            <w:r>
              <w:rPr>
                <w:rFonts w:ascii="宋体" w:hAnsi="宋体" w:cs="宋体" w:eastAsia="宋体" w:hint="default"/>
                <w:sz w:val="18"/>
                <w:szCs w:val="18"/>
              </w:rPr>
              <w:t>被投资单位名称或形成商 誉的事项</w:t>
            </w: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6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104" w:type="dxa"/>
            <w:vMerge/>
            <w:tcBorders>
              <w:left w:val="single" w:sz="4" w:space="0" w:color="000000"/>
              <w:right w:val="single" w:sz="4" w:space="0" w:color="000000"/>
            </w:tcBorders>
            <w:shd w:val="clear" w:color="auto" w:fill="D2D2D2"/>
          </w:tcPr>
          <w:p>
            <w:pP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02" w:type="dxa"/>
            <w:gridSpan w:val="2"/>
            <w:vMerge/>
            <w:tcBorders>
              <w:left w:val="single" w:sz="4" w:space="0" w:color="000000"/>
              <w:bottom w:val="single" w:sz="4" w:space="0" w:color="000000"/>
              <w:right w:val="single" w:sz="4" w:space="0" w:color="000000"/>
            </w:tcBorders>
            <w:shd w:val="clear" w:color="auto" w:fill="D2D2D2"/>
          </w:tcPr>
          <w:p>
            <w:pPr/>
          </w:p>
        </w:tc>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r>
      <w:tr>
        <w:trPr>
          <w:trHeight w:val="202" w:hRule="exact"/>
        </w:trPr>
        <w:tc>
          <w:tcPr>
            <w:tcW w:w="2104"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3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r>
      <w:tr>
        <w:trPr>
          <w:trHeight w:val="206" w:hRule="exact"/>
        </w:trPr>
        <w:tc>
          <w:tcPr>
            <w:tcW w:w="2104"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23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61"/>
              <w:jc w:val="left"/>
              <w:rPr>
                <w:rFonts w:ascii="宋体" w:hAnsi="宋体" w:cs="宋体" w:eastAsia="宋体" w:hint="default"/>
                <w:sz w:val="18"/>
                <w:szCs w:val="18"/>
              </w:rPr>
            </w:pPr>
            <w:r>
              <w:rPr>
                <w:rFonts w:ascii="宋体" w:hAnsi="宋体" w:cs="宋体" w:eastAsia="宋体" w:hint="default"/>
                <w:sz w:val="18"/>
                <w:szCs w:val="18"/>
              </w:rPr>
              <w:t>神州易桥</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财税科技 有限公司</w:t>
            </w:r>
          </w:p>
        </w:tc>
        <w:tc>
          <w:tcPr>
            <w:tcW w:w="1379" w:type="dxa"/>
            <w:tcBorders>
              <w:top w:val="single" w:sz="4" w:space="0" w:color="000000"/>
              <w:left w:val="single" w:sz="10" w:space="0" w:color="D2D2D2"/>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523,758,311.95</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523,758,311.95</w:t>
            </w:r>
          </w:p>
        </w:tc>
      </w:tr>
      <w:tr>
        <w:trPr>
          <w:trHeight w:val="715"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0"/>
              <w:jc w:val="left"/>
              <w:rPr>
                <w:rFonts w:ascii="宋体" w:hAnsi="宋体" w:cs="宋体" w:eastAsia="宋体" w:hint="default"/>
                <w:sz w:val="18"/>
                <w:szCs w:val="18"/>
              </w:rPr>
            </w:pPr>
            <w:r>
              <w:rPr>
                <w:rFonts w:ascii="宋体" w:hAnsi="宋体" w:cs="宋体" w:eastAsia="宋体" w:hint="default"/>
                <w:sz w:val="18"/>
                <w:szCs w:val="18"/>
              </w:rPr>
              <w:t>霍尔果斯易桥快马企业管 理咨询有限公司所属单位</w:t>
            </w:r>
          </w:p>
        </w:tc>
        <w:tc>
          <w:tcPr>
            <w:tcW w:w="1379" w:type="dxa"/>
            <w:tcBorders>
              <w:top w:val="single" w:sz="4" w:space="0" w:color="000000"/>
              <w:left w:val="single" w:sz="10" w:space="0" w:color="D2D2D2"/>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56,964,610.44</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56,964,610.44</w:t>
            </w:r>
          </w:p>
        </w:tc>
      </w:tr>
      <w:tr>
        <w:trPr>
          <w:trHeight w:val="71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0"/>
              <w:jc w:val="left"/>
              <w:rPr>
                <w:rFonts w:ascii="宋体" w:hAnsi="宋体" w:cs="宋体" w:eastAsia="宋体" w:hint="default"/>
                <w:sz w:val="18"/>
                <w:szCs w:val="18"/>
              </w:rPr>
            </w:pPr>
            <w:r>
              <w:rPr>
                <w:rFonts w:ascii="宋体" w:hAnsi="宋体" w:cs="宋体" w:eastAsia="宋体" w:hint="default"/>
                <w:sz w:val="18"/>
                <w:szCs w:val="18"/>
              </w:rPr>
              <w:t>霍尔果斯快马财税管理服 务有限公司所属单位</w:t>
            </w:r>
          </w:p>
        </w:tc>
        <w:tc>
          <w:tcPr>
            <w:tcW w:w="1379" w:type="dxa"/>
            <w:tcBorders>
              <w:top w:val="single" w:sz="4" w:space="0" w:color="000000"/>
              <w:left w:val="single" w:sz="10" w:space="0" w:color="D2D2D2"/>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178,734,032.18</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178,734,032.18</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0" w:space="0" w:color="D2D2D2"/>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759,456,954.57</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759,456,954.57</w:t>
            </w:r>
          </w:p>
        </w:tc>
      </w:tr>
    </w:tbl>
    <w:p>
      <w:pPr>
        <w:pStyle w:val="BodyText"/>
        <w:spacing w:line="357" w:lineRule="auto" w:before="49"/>
        <w:ind w:left="818" w:right="1118" w:hanging="366"/>
        <w:jc w:val="left"/>
      </w:pPr>
      <w:r>
        <w:rPr/>
        <w:t>商誉所在资产组或资产组组合的相关信息 注</w:t>
      </w:r>
      <w:r>
        <w:rPr>
          <w:rFonts w:ascii="宋体" w:hAnsi="宋体" w:cs="宋体" w:eastAsia="宋体" w:hint="default"/>
        </w:rPr>
        <w:t>1</w:t>
      </w:r>
      <w:r>
        <w:rPr/>
        <w:t>：本年度根据霍尔果斯易桥快马企业管理咨询有限公司、霍尔果斯神州易桥股权投资合伙企业（有限合伙）与终端</w:t>
      </w:r>
    </w:p>
    <w:p>
      <w:pPr>
        <w:spacing w:after="0" w:line="357" w:lineRule="auto"/>
        <w:jc w:val="left"/>
        <w:sectPr>
          <w:pgSz w:w="11910" w:h="16840"/>
          <w:pgMar w:header="877" w:footer="980" w:top="1100" w:bottom="1160" w:left="680" w:right="0"/>
        </w:sectPr>
      </w:pPr>
    </w:p>
    <w:p>
      <w:pPr>
        <w:spacing w:line="240" w:lineRule="auto" w:before="11"/>
        <w:rPr>
          <w:rFonts w:ascii="宋体" w:hAnsi="宋体" w:cs="宋体" w:eastAsia="宋体" w:hint="default"/>
          <w:sz w:val="21"/>
          <w:szCs w:val="21"/>
        </w:rPr>
      </w:pPr>
    </w:p>
    <w:p>
      <w:pPr>
        <w:pStyle w:val="BodyText"/>
        <w:spacing w:line="319" w:lineRule="auto" w:before="44"/>
        <w:ind w:left="518" w:right="1118" w:hanging="366"/>
        <w:jc w:val="left"/>
      </w:pPr>
      <w:r>
        <w:rPr/>
        <w:t>资产原股东签署的《终止合作协议》，本年度处置终端资产</w:t>
      </w:r>
      <w:r>
        <w:rPr>
          <w:rFonts w:ascii="宋体" w:hAnsi="宋体" w:cs="宋体" w:eastAsia="宋体" w:hint="default"/>
        </w:rPr>
        <w:t>6</w:t>
      </w:r>
      <w:r>
        <w:rPr/>
        <w:t>家。期末剩余商誉为</w:t>
      </w:r>
      <w:r>
        <w:rPr>
          <w:rFonts w:ascii="宋体" w:hAnsi="宋体" w:cs="宋体" w:eastAsia="宋体" w:hint="default"/>
        </w:rPr>
        <w:t>19</w:t>
      </w:r>
      <w:r>
        <w:rPr/>
        <w:t>家终端资产商誉。 注</w:t>
      </w:r>
      <w:r>
        <w:rPr>
          <w:rFonts w:ascii="宋体" w:hAnsi="宋体" w:cs="宋体" w:eastAsia="宋体" w:hint="default"/>
        </w:rPr>
        <w:t>2</w:t>
      </w:r>
      <w:r>
        <w:rPr/>
        <w:t>：本年度根据霍尔果斯快马财税管理服务有限公司、霍尔果斯神州易桥股权投资合伙企业（有限合伙）与终端资产</w:t>
      </w:r>
    </w:p>
    <w:p>
      <w:pPr>
        <w:pStyle w:val="BodyText"/>
        <w:spacing w:line="316" w:lineRule="auto" w:before="17"/>
        <w:ind w:right="1133"/>
        <w:jc w:val="left"/>
      </w:pPr>
      <w:r>
        <w:rPr>
          <w:spacing w:val="-5"/>
        </w:rPr>
        <w:t>原股东签署的《终止合作协议》，本年度处置终端资产</w:t>
      </w:r>
      <w:r>
        <w:rPr>
          <w:rFonts w:ascii="宋体" w:hAnsi="宋体" w:cs="宋体" w:eastAsia="宋体" w:hint="default"/>
          <w:spacing w:val="-5"/>
        </w:rPr>
        <w:t>26</w:t>
      </w:r>
      <w:r>
        <w:rPr>
          <w:spacing w:val="-5"/>
        </w:rPr>
        <w:t>家。本年度因合并天津易桥普达财务咨询有限公司形成商誉</w:t>
      </w:r>
      <w:r>
        <w:rPr>
          <w:rFonts w:ascii="宋体" w:hAnsi="宋体" w:cs="宋体" w:eastAsia="宋体" w:hint="default"/>
          <w:spacing w:val="-5"/>
        </w:rPr>
        <w:t>5,602.49</w:t>
      </w:r>
      <w:r>
        <w:rPr>
          <w:rFonts w:ascii="宋体" w:hAnsi="宋体" w:cs="宋体" w:eastAsia="宋体" w:hint="default"/>
          <w:spacing w:val="-59"/>
        </w:rPr>
        <w:t> </w:t>
      </w:r>
      <w:r>
        <w:rPr>
          <w:rFonts w:ascii="宋体" w:hAnsi="宋体" w:cs="宋体" w:eastAsia="宋体" w:hint="default"/>
          <w:spacing w:val="-59"/>
        </w:rPr>
      </w:r>
      <w:r>
        <w:rPr/>
        <w:t>万元。期末剩余商誉为</w:t>
      </w:r>
      <w:r>
        <w:rPr>
          <w:rFonts w:ascii="宋体" w:hAnsi="宋体" w:cs="宋体" w:eastAsia="宋体" w:hint="default"/>
        </w:rPr>
        <w:t>31</w:t>
      </w:r>
      <w:r>
        <w:rPr/>
        <w:t>家子公司商誉。</w:t>
      </w:r>
    </w:p>
    <w:p>
      <w:pPr>
        <w:spacing w:line="240" w:lineRule="auto" w:before="0"/>
        <w:rPr>
          <w:rFonts w:ascii="宋体" w:hAnsi="宋体" w:cs="宋体" w:eastAsia="宋体" w:hint="default"/>
          <w:sz w:val="18"/>
          <w:szCs w:val="18"/>
        </w:rPr>
      </w:pPr>
    </w:p>
    <w:p>
      <w:pPr>
        <w:pStyle w:val="BodyText"/>
        <w:spacing w:line="316" w:lineRule="auto" w:before="136"/>
        <w:ind w:right="1133"/>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12" w:lineRule="auto" w:before="57"/>
        <w:ind w:right="1130" w:firstLine="425"/>
        <w:jc w:val="both"/>
      </w:pPr>
      <w:r>
        <w:rPr>
          <w:spacing w:val="-2"/>
        </w:rPr>
        <w:t>本公司商誉系本公司以前年度收购神州易桥</w:t>
      </w:r>
      <w:r>
        <w:rPr>
          <w:rFonts w:ascii="Times New Roman" w:hAnsi="Times New Roman" w:cs="Times New Roman" w:eastAsia="Times New Roman" w:hint="default"/>
          <w:spacing w:val="-2"/>
        </w:rPr>
        <w:t>(</w:t>
      </w:r>
      <w:r>
        <w:rPr>
          <w:spacing w:val="-2"/>
        </w:rPr>
        <w:t>北京</w:t>
      </w:r>
      <w:r>
        <w:rPr>
          <w:rFonts w:ascii="Times New Roman" w:hAnsi="Times New Roman" w:cs="Times New Roman" w:eastAsia="Times New Roman" w:hint="default"/>
          <w:spacing w:val="-2"/>
        </w:rPr>
        <w:t>)</w:t>
      </w:r>
      <w:r>
        <w:rPr>
          <w:spacing w:val="-2"/>
        </w:rPr>
        <w:t>财税科技有限公司、宁波顺利办财税服务有限公司（曾用名：宁波神</w:t>
      </w:r>
      <w:r>
        <w:rPr/>
        <w:t> </w:t>
      </w:r>
      <w:r>
        <w:rPr>
          <w:spacing w:val="-2"/>
        </w:rPr>
        <w:t>州开元会计服务有限公司）、霍尔果斯易桥快马企业管理咨询有限公司、霍尔果斯快马财税管理服务有限公司等公司形成。</w:t>
      </w:r>
      <w:r>
        <w:rPr>
          <w:spacing w:val="-72"/>
        </w:rPr>
        <w:t> </w:t>
      </w:r>
      <w:r>
        <w:rPr>
          <w:spacing w:val="-72"/>
        </w:rPr>
      </w:r>
      <w:r>
        <w:rPr>
          <w:spacing w:val="-2"/>
        </w:rPr>
        <w:t>资产负债表日，公司对商誉进行减值测试，在预计可回收金额时，采用了与商誉相关的资产组合现金流量模型。商誉减值测</w:t>
      </w:r>
      <w:r>
        <w:rPr>
          <w:spacing w:val="-64"/>
        </w:rPr>
        <w:t> </w:t>
      </w:r>
      <w:r>
        <w:rPr>
          <w:spacing w:val="-64"/>
        </w:rPr>
      </w:r>
      <w:r>
        <w:rPr/>
        <w:t>试运用的测试模型主要方法的主要假设如下：</w:t>
      </w:r>
    </w:p>
    <w:p>
      <w:pPr>
        <w:pStyle w:val="BodyText"/>
        <w:spacing w:line="304" w:lineRule="auto" w:before="63"/>
        <w:ind w:right="1130" w:firstLine="425"/>
        <w:jc w:val="left"/>
      </w:pPr>
      <w:r>
        <w:rPr/>
        <w:t>截止</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日，依据银信财报字（</w:t>
      </w:r>
      <w:r>
        <w:rPr>
          <w:rFonts w:ascii="Times New Roman" w:hAnsi="Times New Roman" w:cs="Times New Roman" w:eastAsia="Times New Roman" w:hint="default"/>
          <w:spacing w:val="-3"/>
        </w:rPr>
        <w:t>2020</w:t>
      </w:r>
      <w:r>
        <w:rPr>
          <w:spacing w:val="-3"/>
        </w:rPr>
        <w:t>）沪第</w:t>
      </w:r>
      <w:r>
        <w:rPr>
          <w:spacing w:val="-49"/>
        </w:rPr>
        <w:t> </w:t>
      </w:r>
      <w:r>
        <w:rPr>
          <w:rFonts w:ascii="Times New Roman" w:hAnsi="Times New Roman" w:cs="Times New Roman" w:eastAsia="Times New Roman" w:hint="default"/>
        </w:rPr>
        <w:t>383</w:t>
      </w:r>
      <w:r>
        <w:rPr>
          <w:rFonts w:ascii="Times New Roman" w:hAnsi="Times New Roman" w:cs="Times New Roman" w:eastAsia="Times New Roman" w:hint="default"/>
          <w:spacing w:val="-3"/>
        </w:rPr>
        <w:t> </w:t>
      </w:r>
      <w:r>
        <w:rPr/>
        <w:t>号《顺利办信息服务股份有限公司拟进行商誉减值测试涉 </w:t>
      </w:r>
      <w:r>
        <w:rPr>
          <w:spacing w:val="-2"/>
        </w:rPr>
        <w:t>及的神州易桥（北京）财税科技有限公司商誉所在资产组可回收价值资产评估报告》，对神州易桥</w:t>
      </w:r>
      <w:r>
        <w:rPr>
          <w:rFonts w:ascii="Times New Roman" w:hAnsi="Times New Roman" w:cs="Times New Roman" w:eastAsia="Times New Roman" w:hint="default"/>
          <w:spacing w:val="-2"/>
        </w:rPr>
        <w:t>(</w:t>
      </w:r>
      <w:r>
        <w:rPr>
          <w:spacing w:val="-2"/>
        </w:rPr>
        <w:t>北京</w:t>
      </w:r>
      <w:r>
        <w:rPr>
          <w:rFonts w:ascii="Times New Roman" w:hAnsi="Times New Roman" w:cs="Times New Roman" w:eastAsia="Times New Roman" w:hint="default"/>
          <w:spacing w:val="-2"/>
        </w:rPr>
        <w:t>)</w:t>
      </w:r>
      <w:r>
        <w:rPr>
          <w:spacing w:val="-2"/>
        </w:rPr>
        <w:t>财税科技有限公司</w:t>
      </w:r>
      <w:r>
        <w:rPr>
          <w:spacing w:val="-69"/>
        </w:rPr>
        <w:t> </w:t>
      </w:r>
      <w:r>
        <w:rPr/>
        <w:t>采用现金流量模型，预计未来现金流量现值的计算采用了的平均</w:t>
      </w:r>
      <w:r>
        <w:rPr>
          <w:spacing w:val="-46"/>
        </w:rPr>
        <w:t> </w:t>
      </w:r>
      <w:r>
        <w:rPr>
          <w:rFonts w:ascii="Times New Roman" w:hAnsi="Times New Roman" w:cs="Times New Roman" w:eastAsia="Times New Roman" w:hint="default"/>
        </w:rPr>
        <w:t>6.03%</w:t>
      </w:r>
      <w:r>
        <w:rPr/>
        <w:t>毛利率及平均</w:t>
      </w:r>
      <w:r>
        <w:rPr>
          <w:spacing w:val="-47"/>
        </w:rPr>
        <w:t> </w:t>
      </w:r>
      <w:r>
        <w:rPr>
          <w:rFonts w:ascii="Times New Roman" w:hAnsi="Times New Roman" w:cs="Times New Roman" w:eastAsia="Times New Roman" w:hint="default"/>
        </w:rPr>
        <w:t>54.13%</w:t>
      </w:r>
      <w:r>
        <w:rPr/>
        <w:t>的营业收入增长率作为关键假 设。依据管理层制定的未来五年财务预算和</w:t>
      </w:r>
      <w:r>
        <w:rPr>
          <w:spacing w:val="-45"/>
        </w:rPr>
        <w:t> </w:t>
      </w:r>
      <w:r>
        <w:rPr>
          <w:rFonts w:ascii="Times New Roman" w:hAnsi="Times New Roman" w:cs="Times New Roman" w:eastAsia="Times New Roman" w:hint="default"/>
        </w:rPr>
        <w:t>12.14%</w:t>
      </w:r>
      <w:r>
        <w:rPr/>
        <w:t>折现率预计未来现金流量现值，超过五年财务预算之后年份的现金流量 </w:t>
      </w:r>
      <w:r>
        <w:rPr>
          <w:spacing w:val="-2"/>
        </w:rPr>
        <w:t>均保持不变。管理层根据预算期间之前的历史情况及市场发展的预测确定这些假设。经银信资产评估有限公司以商誉减值测</w:t>
      </w:r>
      <w:r>
        <w:rPr>
          <w:spacing w:val="-64"/>
        </w:rPr>
        <w:t> </w:t>
      </w:r>
      <w:r>
        <w:rPr>
          <w:spacing w:val="-64"/>
        </w:rPr>
      </w:r>
      <w:r>
        <w:rPr/>
        <w:t>试为目的评估后，认定截至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日商誉发生减值</w:t>
      </w:r>
      <w:r>
        <w:rPr>
          <w:spacing w:val="-48"/>
        </w:rPr>
        <w:t> </w:t>
      </w:r>
      <w:r>
        <w:rPr>
          <w:rFonts w:ascii="Times New Roman" w:hAnsi="Times New Roman" w:cs="Times New Roman" w:eastAsia="Times New Roman" w:hint="default"/>
        </w:rPr>
        <w:t>52,375.83</w:t>
      </w:r>
      <w:r>
        <w:rPr>
          <w:rFonts w:ascii="Times New Roman" w:hAnsi="Times New Roman" w:cs="Times New Roman" w:eastAsia="Times New Roman" w:hint="default"/>
          <w:spacing w:val="2"/>
        </w:rPr>
        <w:t> </w:t>
      </w:r>
      <w:r>
        <w:rPr/>
        <w:t>万元。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307" w:lineRule="auto"/>
        <w:ind w:right="1131" w:firstLine="425"/>
        <w:jc w:val="both"/>
      </w:pPr>
      <w:r>
        <w:rPr/>
        <w:t>截止</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日，依据银信财报字（</w:t>
      </w:r>
      <w:r>
        <w:rPr>
          <w:rFonts w:ascii="Times New Roman" w:hAnsi="Times New Roman" w:cs="Times New Roman" w:eastAsia="Times New Roman" w:hint="default"/>
        </w:rPr>
        <w:t>2020</w:t>
      </w:r>
      <w:r>
        <w:rPr/>
        <w:t>）沪第</w:t>
      </w:r>
      <w:r>
        <w:rPr>
          <w:spacing w:val="-55"/>
        </w:rPr>
        <w:t> </w:t>
      </w:r>
      <w:r>
        <w:rPr>
          <w:rFonts w:ascii="Times New Roman" w:hAnsi="Times New Roman" w:cs="Times New Roman" w:eastAsia="Times New Roman" w:hint="default"/>
        </w:rPr>
        <w:t>388</w:t>
      </w:r>
      <w:r>
        <w:rPr>
          <w:rFonts w:ascii="Times New Roman" w:hAnsi="Times New Roman" w:cs="Times New Roman" w:eastAsia="Times New Roman" w:hint="default"/>
          <w:spacing w:val="-9"/>
        </w:rPr>
        <w:t> </w:t>
      </w:r>
      <w:r>
        <w:rPr/>
        <w:t>号《神州易桥（北京）财税科技有限公司拟进行商誉减值 </w:t>
      </w:r>
      <w:r>
        <w:rPr>
          <w:spacing w:val="-2"/>
        </w:rPr>
        <w:t>测试涉及的无锡易真企业管理有限公司商誉所在资产组可回收价值资产评估报告》，对无锡易真企业管理有限公司采用现金</w:t>
      </w:r>
      <w:r>
        <w:rPr>
          <w:spacing w:val="-72"/>
        </w:rPr>
        <w:t> </w:t>
      </w:r>
      <w:r>
        <w:rPr>
          <w:spacing w:val="-72"/>
        </w:rPr>
      </w:r>
      <w:r>
        <w:rPr/>
        <w:t>流量模型，预计未来现金流量现值的计算采用了的平均 </w:t>
      </w:r>
      <w:r>
        <w:rPr>
          <w:rFonts w:ascii="Times New Roman" w:hAnsi="Times New Roman" w:cs="Times New Roman" w:eastAsia="Times New Roman" w:hint="default"/>
        </w:rPr>
        <w:t>59.00%</w:t>
      </w:r>
      <w:r>
        <w:rPr/>
        <w:t>毛利率及平均</w:t>
      </w:r>
      <w:r>
        <w:rPr>
          <w:spacing w:val="-46"/>
        </w:rPr>
        <w:t> </w:t>
      </w:r>
      <w:r>
        <w:rPr>
          <w:rFonts w:ascii="Times New Roman" w:hAnsi="Times New Roman" w:cs="Times New Roman" w:eastAsia="Times New Roman" w:hint="default"/>
        </w:rPr>
        <w:t>6.28%</w:t>
      </w:r>
      <w:r>
        <w:rPr/>
        <w:t>的营业收入增长率作为关键假设。依据 管理层制定的未来五年财务预算和</w:t>
      </w:r>
      <w:r>
        <w:rPr>
          <w:spacing w:val="-45"/>
        </w:rPr>
        <w:t> </w:t>
      </w:r>
      <w:r>
        <w:rPr>
          <w:rFonts w:ascii="Times New Roman" w:hAnsi="Times New Roman" w:cs="Times New Roman" w:eastAsia="Times New Roman" w:hint="default"/>
        </w:rPr>
        <w:t>14.83%</w:t>
      </w:r>
      <w:r>
        <w:rPr/>
        <w:t>折现率预计未来现金流量现值，超过五年财务预算之后年份的现金流量均保持不 </w:t>
      </w:r>
      <w:r>
        <w:rPr>
          <w:spacing w:val="-2"/>
        </w:rPr>
        <w:t>变。管理层根据预算期间之前的历史情况及市场发展的预测确定这些假设。经银信资产评估有限公司以商誉减值测试为目的</w:t>
      </w:r>
      <w:r>
        <w:rPr>
          <w:spacing w:val="-64"/>
        </w:rPr>
        <w:t> </w:t>
      </w:r>
      <w:r>
        <w:rPr>
          <w:spacing w:val="-64"/>
        </w:rPr>
      </w:r>
      <w:r>
        <w:rPr/>
        <w:t>评估后，认定截至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日商誉未发生减值。</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307" w:lineRule="auto"/>
        <w:ind w:right="1130" w:firstLine="425"/>
        <w:jc w:val="left"/>
      </w:pPr>
      <w:r>
        <w:rPr/>
        <w:t>截止</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日，依据银信财报字（</w:t>
      </w:r>
      <w:r>
        <w:rPr>
          <w:rFonts w:ascii="Times New Roman" w:hAnsi="Times New Roman" w:cs="Times New Roman" w:eastAsia="Times New Roman" w:hint="default"/>
          <w:spacing w:val="-3"/>
        </w:rPr>
        <w:t>2020</w:t>
      </w:r>
      <w:r>
        <w:rPr>
          <w:spacing w:val="-3"/>
        </w:rPr>
        <w:t>）沪第</w:t>
      </w:r>
      <w:r>
        <w:rPr>
          <w:spacing w:val="-49"/>
        </w:rPr>
        <w:t> </w:t>
      </w:r>
      <w:r>
        <w:rPr>
          <w:rFonts w:ascii="Times New Roman" w:hAnsi="Times New Roman" w:cs="Times New Roman" w:eastAsia="Times New Roman" w:hint="default"/>
        </w:rPr>
        <w:t>387</w:t>
      </w:r>
      <w:r>
        <w:rPr>
          <w:rFonts w:ascii="Times New Roman" w:hAnsi="Times New Roman" w:cs="Times New Roman" w:eastAsia="Times New Roman" w:hint="default"/>
          <w:spacing w:val="-3"/>
        </w:rPr>
        <w:t> </w:t>
      </w:r>
      <w:r>
        <w:rPr/>
        <w:t>号《顺利办信息服务股份有限公司拟进行商誉减值测试涉 </w:t>
      </w:r>
      <w:r>
        <w:rPr>
          <w:spacing w:val="-2"/>
        </w:rPr>
        <w:t>及的无锡易广企业管理有限公司商誉所在资产组可回收价值资产评估报告》，对无锡易广企业管理有限公司采用现金流量模</w:t>
      </w:r>
      <w:r>
        <w:rPr>
          <w:spacing w:val="-71"/>
        </w:rPr>
        <w:t> </w:t>
      </w:r>
      <w:r>
        <w:rPr>
          <w:spacing w:val="-71"/>
        </w:rPr>
      </w:r>
      <w:r>
        <w:rPr/>
        <w:t>型，预计未来现金流量现值的计算采用了的平均</w:t>
      </w:r>
      <w:r>
        <w:rPr>
          <w:spacing w:val="-45"/>
        </w:rPr>
        <w:t> </w:t>
      </w:r>
      <w:r>
        <w:rPr>
          <w:rFonts w:ascii="Times New Roman" w:hAnsi="Times New Roman" w:cs="Times New Roman" w:eastAsia="Times New Roman" w:hint="default"/>
        </w:rPr>
        <w:t>69.00%</w:t>
      </w:r>
      <w:r>
        <w:rPr/>
        <w:t>毛利率及平均</w:t>
      </w:r>
      <w:r>
        <w:rPr>
          <w:spacing w:val="-46"/>
        </w:rPr>
        <w:t> </w:t>
      </w:r>
      <w:r>
        <w:rPr>
          <w:rFonts w:ascii="Times New Roman" w:hAnsi="Times New Roman" w:cs="Times New Roman" w:eastAsia="Times New Roman" w:hint="default"/>
        </w:rPr>
        <w:t>3.40%</w:t>
      </w:r>
      <w:r>
        <w:rPr/>
        <w:t>的营业收入增长率作为关键假设。依据管理层 制定的未来五年财务预算和</w:t>
      </w:r>
      <w:r>
        <w:rPr>
          <w:spacing w:val="-44"/>
        </w:rPr>
        <w:t> </w:t>
      </w:r>
      <w:r>
        <w:rPr>
          <w:rFonts w:ascii="Times New Roman" w:hAnsi="Times New Roman" w:cs="Times New Roman" w:eastAsia="Times New Roman" w:hint="default"/>
        </w:rPr>
        <w:t>14.86%</w:t>
      </w:r>
      <w:r>
        <w:rPr/>
        <w:t>折现率预计未来现金流量现值，超过五年财务预算之后年份的现金流量均保持不变。管 理层根据预算期间之前的历史情况及市场发展的预测确定这些假设。经银信资产评估有限公司以商誉减值测试为目的评估 后，认定截至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日商誉未发生减值。</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307" w:lineRule="auto"/>
        <w:ind w:right="1127" w:firstLine="425"/>
        <w:jc w:val="left"/>
      </w:pPr>
      <w:r>
        <w:rPr/>
        <w:t>截止</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日，依据银信财报字（</w:t>
      </w:r>
      <w:r>
        <w:rPr>
          <w:rFonts w:ascii="Times New Roman" w:hAnsi="Times New Roman" w:cs="Times New Roman" w:eastAsia="Times New Roman" w:hint="default"/>
        </w:rPr>
        <w:t>2020</w:t>
      </w:r>
      <w:r>
        <w:rPr/>
        <w:t>）沪第</w:t>
      </w:r>
      <w:r>
        <w:rPr>
          <w:spacing w:val="-55"/>
        </w:rPr>
        <w:t> </w:t>
      </w:r>
      <w:r>
        <w:rPr>
          <w:rFonts w:ascii="Times New Roman" w:hAnsi="Times New Roman" w:cs="Times New Roman" w:eastAsia="Times New Roman" w:hint="default"/>
        </w:rPr>
        <w:t>384</w:t>
      </w:r>
      <w:r>
        <w:rPr>
          <w:rFonts w:ascii="Times New Roman" w:hAnsi="Times New Roman" w:cs="Times New Roman" w:eastAsia="Times New Roman" w:hint="default"/>
          <w:spacing w:val="-9"/>
        </w:rPr>
        <w:t> </w:t>
      </w:r>
      <w:r>
        <w:rPr/>
        <w:t>号《神州易桥（北京）财税科技有限公司拟进行商誉减值 </w:t>
      </w:r>
      <w:r>
        <w:rPr>
          <w:spacing w:val="-2"/>
        </w:rPr>
        <w:t>测试涉及的宁波顺利办财税服务有限公司商誉所在资产组可回收价值资产评估报告》，对宁波顺利办财税服务有限公司采用</w:t>
      </w:r>
      <w:r>
        <w:rPr>
          <w:spacing w:val="-72"/>
        </w:rPr>
        <w:t> </w:t>
      </w:r>
      <w:r>
        <w:rPr>
          <w:spacing w:val="-72"/>
        </w:rPr>
      </w:r>
      <w:r>
        <w:rPr/>
        <w:t>现金流量模型，预计未来现金流量现值的计算采用了的平均</w:t>
      </w:r>
      <w:r>
        <w:rPr>
          <w:spacing w:val="-45"/>
        </w:rPr>
        <w:t> </w:t>
      </w:r>
      <w:r>
        <w:rPr>
          <w:rFonts w:ascii="Times New Roman" w:hAnsi="Times New Roman" w:cs="Times New Roman" w:eastAsia="Times New Roman" w:hint="default"/>
        </w:rPr>
        <w:t>54.49%</w:t>
      </w:r>
      <w:r>
        <w:rPr/>
        <w:t>毛利率及平均</w:t>
      </w:r>
      <w:r>
        <w:rPr>
          <w:spacing w:val="-46"/>
        </w:rPr>
        <w:t> </w:t>
      </w:r>
      <w:r>
        <w:rPr>
          <w:rFonts w:ascii="Times New Roman" w:hAnsi="Times New Roman" w:cs="Times New Roman" w:eastAsia="Times New Roman" w:hint="default"/>
        </w:rPr>
        <w:t>8.20%</w:t>
      </w:r>
      <w:r>
        <w:rPr/>
        <w:t>的营业收入增长率作为关键假设。 依据管理层制定的未来五年财务预算和</w:t>
      </w:r>
      <w:r>
        <w:rPr>
          <w:spacing w:val="-45"/>
        </w:rPr>
        <w:t> </w:t>
      </w:r>
      <w:r>
        <w:rPr>
          <w:rFonts w:ascii="Times New Roman" w:hAnsi="Times New Roman" w:cs="Times New Roman" w:eastAsia="Times New Roman" w:hint="default"/>
        </w:rPr>
        <w:t>17.53%</w:t>
      </w:r>
      <w:r>
        <w:rPr/>
        <w:t>折现率预计未来现金流量现值，超过五年财务预算之后年份的现金流量均保 </w:t>
      </w:r>
      <w:r>
        <w:rPr>
          <w:spacing w:val="-2"/>
        </w:rPr>
        <w:t>持不变。管理层根据预算期间之前的历史情况及市场发展的预测确定这些假设。经银信资产评估有限公司以商誉减值测试为</w:t>
      </w:r>
      <w:r>
        <w:rPr>
          <w:spacing w:val="-64"/>
        </w:rPr>
        <w:t> </w:t>
      </w:r>
      <w:r>
        <w:rPr>
          <w:spacing w:val="-64"/>
        </w:rPr>
      </w:r>
      <w:r>
        <w:rPr/>
        <w:t>目的评估后，认定截至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日商誉未发生减值。</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307" w:lineRule="auto"/>
        <w:ind w:right="1130" w:firstLine="425"/>
        <w:jc w:val="both"/>
      </w:pPr>
      <w:r>
        <w:rPr/>
        <w:t>截止</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日，依据银信财报字（</w:t>
      </w:r>
      <w:r>
        <w:rPr>
          <w:rFonts w:ascii="Times New Roman" w:hAnsi="Times New Roman" w:cs="Times New Roman" w:eastAsia="Times New Roman" w:hint="default"/>
          <w:spacing w:val="-3"/>
        </w:rPr>
        <w:t>2020</w:t>
      </w:r>
      <w:r>
        <w:rPr>
          <w:spacing w:val="-3"/>
        </w:rPr>
        <w:t>）沪第</w:t>
      </w:r>
      <w:r>
        <w:rPr>
          <w:spacing w:val="-49"/>
        </w:rPr>
        <w:t> </w:t>
      </w:r>
      <w:r>
        <w:rPr>
          <w:rFonts w:ascii="Times New Roman" w:hAnsi="Times New Roman" w:cs="Times New Roman" w:eastAsia="Times New Roman" w:hint="default"/>
        </w:rPr>
        <w:t>385</w:t>
      </w:r>
      <w:r>
        <w:rPr>
          <w:rFonts w:ascii="Times New Roman" w:hAnsi="Times New Roman" w:cs="Times New Roman" w:eastAsia="Times New Roman" w:hint="default"/>
          <w:spacing w:val="-3"/>
        </w:rPr>
        <w:t> </w:t>
      </w:r>
      <w:r>
        <w:rPr/>
        <w:t>号《顺利办信息服务股份有限公司拟进行商誉减值测试涉 </w:t>
      </w:r>
      <w:r>
        <w:rPr>
          <w:spacing w:val="-2"/>
        </w:rPr>
        <w:t>及的霍尔果斯快马财税管理服务有限公司商誉所在资产组可回收价值资产评估报告》，对霍尔果斯快马财税管理服务有限公</w:t>
      </w:r>
      <w:r>
        <w:rPr>
          <w:spacing w:val="-72"/>
        </w:rPr>
        <w:t> </w:t>
      </w:r>
      <w:r>
        <w:rPr>
          <w:spacing w:val="-72"/>
        </w:rPr>
      </w:r>
      <w:r>
        <w:rPr/>
        <w:t>司采用现金流量模型，预计未来现金流量现值的计算采用了平均</w:t>
      </w:r>
      <w:r>
        <w:rPr>
          <w:spacing w:val="-46"/>
        </w:rPr>
        <w:t> </w:t>
      </w:r>
      <w:r>
        <w:rPr>
          <w:rFonts w:ascii="Times New Roman" w:hAnsi="Times New Roman" w:cs="Times New Roman" w:eastAsia="Times New Roman" w:hint="default"/>
        </w:rPr>
        <w:t>58.50%</w:t>
      </w:r>
      <w:r>
        <w:rPr/>
        <w:t>毛利率及平均</w:t>
      </w:r>
      <w:r>
        <w:rPr>
          <w:rFonts w:ascii="Times New Roman" w:hAnsi="Times New Roman" w:cs="Times New Roman" w:eastAsia="Times New Roman" w:hint="default"/>
        </w:rPr>
        <w:t>-4.00%</w:t>
      </w:r>
      <w:r>
        <w:rPr/>
        <w:t>的营业收入增长率作为关键假 设。依据管理层制定的未来五年财务预算和</w:t>
      </w:r>
      <w:r>
        <w:rPr>
          <w:spacing w:val="-57"/>
        </w:rPr>
        <w:t> </w:t>
      </w:r>
      <w:r>
        <w:rPr>
          <w:rFonts w:ascii="Times New Roman" w:hAnsi="Times New Roman" w:cs="Times New Roman" w:eastAsia="Times New Roman" w:hint="default"/>
        </w:rPr>
        <w:t>12.57%</w:t>
      </w:r>
      <w:r>
        <w:rPr/>
        <w:t>和</w:t>
      </w:r>
      <w:r>
        <w:rPr>
          <w:spacing w:val="-59"/>
        </w:rPr>
        <w:t> </w:t>
      </w:r>
      <w:r>
        <w:rPr>
          <w:rFonts w:ascii="Times New Roman" w:hAnsi="Times New Roman" w:cs="Times New Roman" w:eastAsia="Times New Roman" w:hint="default"/>
        </w:rPr>
        <w:t>12.23%</w:t>
      </w:r>
      <w:r>
        <w:rPr/>
        <w:t>折现率预计未来现金流量现值，超过五年财务预算之后年份的</w:t>
      </w:r>
    </w:p>
    <w:p>
      <w:pPr>
        <w:spacing w:after="0" w:line="307"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23"/>
        <w:jc w:val="left"/>
      </w:pPr>
      <w:r>
        <w:rPr>
          <w:spacing w:val="-2"/>
        </w:rPr>
        <w:t>现金流量均保持不变。管理层根据预算期间之前的历史情况及市场发展的预测确定这些假设。经银信资产评估有限公司以商</w:t>
      </w:r>
      <w:r>
        <w:rPr>
          <w:spacing w:val="-64"/>
        </w:rPr>
        <w:t> </w:t>
      </w:r>
      <w:r>
        <w:rPr>
          <w:spacing w:val="-64"/>
        </w:rPr>
      </w:r>
      <w:r>
        <w:rPr/>
        <w:t>誉减值测试为目的评估后，认定截至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日商誉减值</w:t>
      </w:r>
      <w:r>
        <w:rPr>
          <w:spacing w:val="-46"/>
        </w:rPr>
        <w:t> </w:t>
      </w:r>
      <w:r>
        <w:rPr>
          <w:rFonts w:ascii="Times New Roman" w:hAnsi="Times New Roman" w:cs="Times New Roman" w:eastAsia="Times New Roman" w:hint="default"/>
        </w:rPr>
        <w:t>17,873.40</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18"/>
          <w:szCs w:val="18"/>
        </w:rPr>
      </w:pPr>
    </w:p>
    <w:p>
      <w:pPr>
        <w:pStyle w:val="BodyText"/>
        <w:spacing w:line="307" w:lineRule="auto" w:before="152"/>
        <w:ind w:right="1116" w:firstLine="425"/>
        <w:jc w:val="left"/>
      </w:pPr>
      <w:r>
        <w:rPr/>
        <w:t>截止</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日，依据银信财报字（</w:t>
      </w:r>
      <w:r>
        <w:rPr>
          <w:rFonts w:ascii="Times New Roman" w:hAnsi="Times New Roman" w:cs="Times New Roman" w:eastAsia="Times New Roman" w:hint="default"/>
          <w:spacing w:val="-3"/>
        </w:rPr>
        <w:t>2020</w:t>
      </w:r>
      <w:r>
        <w:rPr>
          <w:spacing w:val="-3"/>
        </w:rPr>
        <w:t>）沪第</w:t>
      </w:r>
      <w:r>
        <w:rPr>
          <w:spacing w:val="-49"/>
        </w:rPr>
        <w:t> </w:t>
      </w:r>
      <w:r>
        <w:rPr>
          <w:rFonts w:ascii="Times New Roman" w:hAnsi="Times New Roman" w:cs="Times New Roman" w:eastAsia="Times New Roman" w:hint="default"/>
        </w:rPr>
        <w:t>386</w:t>
      </w:r>
      <w:r>
        <w:rPr>
          <w:rFonts w:ascii="Times New Roman" w:hAnsi="Times New Roman" w:cs="Times New Roman" w:eastAsia="Times New Roman" w:hint="default"/>
          <w:spacing w:val="-3"/>
        </w:rPr>
        <w:t> </w:t>
      </w:r>
      <w:r>
        <w:rPr/>
        <w:t>号《顺利办信息服务股份有限公司拟进行商誉减值测试涉 </w:t>
      </w:r>
      <w:r>
        <w:rPr>
          <w:spacing w:val="-2"/>
        </w:rPr>
        <w:t>及的霍尔果斯易桥快马企业管理咨询有限公司商誉所在资产组可回收价值资产评估报告》，对霍尔果斯易桥快马企业管理咨</w:t>
      </w:r>
      <w:r>
        <w:rPr>
          <w:spacing w:val="-72"/>
        </w:rPr>
        <w:t> </w:t>
      </w:r>
      <w:r>
        <w:rPr>
          <w:spacing w:val="-72"/>
        </w:rPr>
      </w:r>
      <w:r>
        <w:rPr/>
        <w:t>询有限公司采用现金流量模型，预计未来现金流量现值的计算采用了的平均</w:t>
      </w:r>
      <w:r>
        <w:rPr>
          <w:spacing w:val="-44"/>
        </w:rPr>
        <w:t> </w:t>
      </w:r>
      <w:r>
        <w:rPr>
          <w:rFonts w:ascii="Times New Roman" w:hAnsi="Times New Roman" w:cs="Times New Roman" w:eastAsia="Times New Roman" w:hint="default"/>
        </w:rPr>
        <w:t>62.00%</w:t>
      </w:r>
      <w:r>
        <w:rPr/>
        <w:t>毛利率及平均</w:t>
      </w:r>
      <w:r>
        <w:rPr>
          <w:spacing w:val="-46"/>
        </w:rPr>
        <w:t> </w:t>
      </w:r>
      <w:r>
        <w:rPr>
          <w:rFonts w:ascii="Times New Roman" w:hAnsi="Times New Roman" w:cs="Times New Roman" w:eastAsia="Times New Roman" w:hint="default"/>
        </w:rPr>
        <w:t>0.00%</w:t>
      </w:r>
      <w:r>
        <w:rPr/>
        <w:t>的营业收入增长率 作为关键假设。依据管理层制定的未来五年财务预算和</w:t>
      </w:r>
      <w:r>
        <w:rPr>
          <w:spacing w:val="-56"/>
        </w:rPr>
        <w:t> </w:t>
      </w:r>
      <w:r>
        <w:rPr>
          <w:rFonts w:ascii="Times New Roman" w:hAnsi="Times New Roman" w:cs="Times New Roman" w:eastAsia="Times New Roman" w:hint="default"/>
        </w:rPr>
        <w:t>14.19%</w:t>
      </w:r>
      <w:r>
        <w:rPr/>
        <w:t>和</w:t>
      </w:r>
      <w:r>
        <w:rPr>
          <w:spacing w:val="-56"/>
        </w:rPr>
        <w:t> </w:t>
      </w:r>
      <w:r>
        <w:rPr>
          <w:rFonts w:ascii="Times New Roman" w:hAnsi="Times New Roman" w:cs="Times New Roman" w:eastAsia="Times New Roman" w:hint="default"/>
        </w:rPr>
        <w:t>13.82%</w:t>
      </w:r>
      <w:r>
        <w:rPr/>
        <w:t>折现率预计未来现金流量现值，超过五年财务预算 </w:t>
      </w:r>
      <w:r>
        <w:rPr>
          <w:spacing w:val="-2"/>
        </w:rPr>
        <w:t>之后年份的现金流量均保持不变。管理层根据预算期间之前的历史情况及市场发展的预测确定这些假设。经银信资产评估有</w:t>
      </w:r>
      <w:r>
        <w:rPr>
          <w:spacing w:val="-64"/>
        </w:rPr>
        <w:t> </w:t>
      </w:r>
      <w:r>
        <w:rPr>
          <w:spacing w:val="-64"/>
        </w:rPr>
      </w:r>
      <w:r>
        <w:rPr/>
        <w:t>限公司以商誉减值测试为目的评估后，认定截至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日商誉减值</w:t>
      </w:r>
      <w:r>
        <w:rPr>
          <w:spacing w:val="-47"/>
        </w:rPr>
        <w:t> </w:t>
      </w:r>
      <w:r>
        <w:rPr>
          <w:rFonts w:ascii="Times New Roman" w:hAnsi="Times New Roman" w:cs="Times New Roman" w:eastAsia="Times New Roman" w:hint="default"/>
        </w:rPr>
        <w:t>5,696.46 </w:t>
      </w:r>
      <w:r>
        <w:rPr/>
        <w:t>万元。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357" w:lineRule="auto"/>
        <w:ind w:right="8594"/>
        <w:jc w:val="left"/>
      </w:pPr>
      <w:r>
        <w:rPr/>
        <w:t>商誉减值测试的影响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18、长期待摊费用" w:id="297"/>
      <w:bookmarkEnd w:id="297"/>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2,277,528.40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489,371.42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251,174.47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1,536,982.51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平台运维费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922,153.95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1,257,857.52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1,993,188.13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157,048.80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29,774.54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187,216.62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89,173.24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98,043.38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276,316.00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190,065.98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65,706.02</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3,397,170.97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1,534,173.52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2,761,798.77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439,039.27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1,730,506.45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9、递延所得税资产/递延所得税负债" w:id="298"/>
      <w:bookmarkEnd w:id="298"/>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未经抵销的递延所得税资产" w:id="299"/>
      <w:bookmarkEnd w:id="29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918"/>
        <w:gridCol w:w="1913"/>
        <w:gridCol w:w="1916"/>
        <w:gridCol w:w="1766"/>
      </w:tblGrid>
      <w:tr>
        <w:trPr>
          <w:trHeight w:val="206" w:hRule="exact"/>
        </w:trPr>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682"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127" w:type="dxa"/>
            <w:vMerge/>
            <w:tcBorders>
              <w:left w:val="single" w:sz="4" w:space="0" w:color="000000"/>
              <w:bottom w:val="nil" w:sz="6" w:space="0" w:color="auto"/>
              <w:right w:val="single" w:sz="4" w:space="0" w:color="000000"/>
            </w:tcBorders>
            <w:shd w:val="clear" w:color="auto" w:fill="D2D2D2"/>
          </w:tcPr>
          <w:p>
            <w:pPr/>
          </w:p>
        </w:tc>
        <w:tc>
          <w:tcPr>
            <w:tcW w:w="1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76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29,276,942.06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4,587,319.81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16,296,250.43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1,207,412.32</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确认联营企业税前利润投 资收益形成的递延税费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453,095.44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113,273.86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29,730,037.50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4,700,593.67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16,296,250.43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1,207,412.32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未经抵销的递延所得税负债" w:id="300"/>
      <w:bookmarkEnd w:id="30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6"/>
        <w:gridCol w:w="3831"/>
        <w:gridCol w:w="3671"/>
      </w:tblGrid>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27"/>
        <w:gridCol w:w="1918"/>
        <w:gridCol w:w="1913"/>
        <w:gridCol w:w="1916"/>
        <w:gridCol w:w="1766"/>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非同一控制企业合并资产 评估增值</w:t>
            </w:r>
          </w:p>
        </w:tc>
        <w:tc>
          <w:tcPr>
            <w:tcW w:w="1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1,186,209.08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177,900.87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3,472,103.73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520,815.56</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确认联营企业税前利润投 资收益形成的递延税费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17,772,493.81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4,443,123.45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18,863,789.46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2,842,703.19</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18,958,702.89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4,621,024.32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22,335,893.19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3,363,518.75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以抵销后净额列示的递延所得税资产或负债" w:id="301"/>
      <w:bookmarkEnd w:id="30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3"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4,700,593.67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1,207,412.32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4,621,024.32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3,363,518.75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未确认递延所得税资产明细" w:id="302"/>
      <w:bookmarkEnd w:id="30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954,183,677.07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8,856,957.39</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268,455,959.47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176,548,676.95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1,222,639,636.54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185,405,634.34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未确认递延所得税资产的可抵扣亏损将于以下年度到期" w:id="303"/>
      <w:bookmarkEnd w:id="30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418,357.67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250,492.41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250,492.41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20,766,337.11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2,568,337.06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97,703,359.00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97,282,577.74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78,442,274.31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76,028,912.07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71,293,496.64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268,455,959.47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176,548,676.95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0、其他非流动资产" w:id="304"/>
      <w:bookmarkEnd w:id="304"/>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预付软件款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1、短期借款" w:id="305"/>
      <w:bookmarkEnd w:id="305"/>
      <w:r>
        <w:rPr>
          <w:b w:val="0"/>
          <w:bCs w:val="0"/>
        </w:rPr>
      </w:r>
      <w:r>
        <w:rPr>
          <w:rFonts w:ascii="Times New Roman" w:hAnsi="Times New Roman" w:cs="Times New Roman" w:eastAsia="Times New Roman" w:hint="default"/>
        </w:rPr>
        <w:t>21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短期借款分类" w:id="306"/>
      <w:bookmarkEnd w:id="30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578" w:right="1133" w:hanging="426"/>
        <w:jc w:val="left"/>
      </w:pPr>
      <w:r>
        <w:rPr/>
        <w:t>短期借款分类的说明： </w:t>
      </w:r>
      <w:r>
        <w:rPr>
          <w:rFonts w:ascii="宋体" w:hAnsi="宋体" w:cs="宋体" w:eastAsia="宋体" w:hint="default"/>
          <w:spacing w:val="-2"/>
        </w:rPr>
        <w:t>1</w:t>
      </w:r>
      <w:r>
        <w:rPr>
          <w:spacing w:val="-2"/>
        </w:rPr>
        <w:t>、保证借款中</w:t>
      </w:r>
      <w:r>
        <w:rPr>
          <w:rFonts w:ascii="宋体" w:hAnsi="宋体" w:cs="宋体" w:eastAsia="宋体" w:hint="default"/>
          <w:spacing w:val="-2"/>
        </w:rPr>
        <w:t>100,000,000.00</w:t>
      </w:r>
      <w:r>
        <w:rPr>
          <w:spacing w:val="-2"/>
        </w:rPr>
        <w:t>元为个人彭聪（公司法定代表人）和个人王茜（公司法定代表人彭聪的配偶）为本公司</w:t>
      </w:r>
    </w:p>
    <w:p>
      <w:pPr>
        <w:pStyle w:val="BodyText"/>
        <w:spacing w:line="224" w:lineRule="exact"/>
        <w:ind w:right="1133"/>
        <w:jc w:val="left"/>
      </w:pPr>
      <w:r>
        <w:rPr/>
        <w:t>提供担保的借款；</w:t>
      </w:r>
    </w:p>
    <w:p>
      <w:pPr>
        <w:pStyle w:val="BodyText"/>
        <w:spacing w:line="316" w:lineRule="auto" w:before="76"/>
        <w:ind w:right="1133" w:firstLine="425"/>
        <w:jc w:val="left"/>
      </w:pPr>
      <w:r>
        <w:rPr>
          <w:rFonts w:ascii="宋体" w:hAnsi="宋体" w:cs="宋体" w:eastAsia="宋体" w:hint="default"/>
          <w:spacing w:val="-2"/>
        </w:rPr>
        <w:t>2</w:t>
      </w:r>
      <w:r>
        <w:rPr>
          <w:spacing w:val="-2"/>
        </w:rPr>
        <w:t>、保证借款中</w:t>
      </w:r>
      <w:r>
        <w:rPr>
          <w:rFonts w:ascii="宋体" w:hAnsi="宋体" w:cs="宋体" w:eastAsia="宋体" w:hint="default"/>
          <w:spacing w:val="-2"/>
        </w:rPr>
        <w:t>100,000.00</w:t>
      </w:r>
      <w:r>
        <w:rPr>
          <w:spacing w:val="-2"/>
        </w:rPr>
        <w:t>元为个人王斌（天津易桥普达财务咨询有限公司法定代表人）为本公司之孙公司天津易桥普</w:t>
      </w:r>
      <w:r>
        <w:rPr/>
        <w:t> 达财务咨询有限公司提供担保的借款。</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2）已逾期未偿还的短期借款情况" w:id="307"/>
      <w:bookmarkEnd w:id="30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2、交易性金融负债" w:id="308"/>
      <w:bookmarkEnd w:id="308"/>
      <w:r>
        <w:rPr>
          <w:b w:val="0"/>
          <w:bCs w:val="0"/>
        </w:rPr>
      </w:r>
      <w:r>
        <w:rPr>
          <w:rFonts w:ascii="Times New Roman" w:hAnsi="Times New Roman" w:cs="Times New Roman" w:eastAsia="Times New Roman" w:hint="default"/>
        </w:rPr>
        <w:t>22</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3、应付票据" w:id="309"/>
      <w:bookmarkEnd w:id="309"/>
      <w:r>
        <w:rPr>
          <w:b w:val="0"/>
          <w:bCs w:val="0"/>
        </w:rPr>
      </w:r>
      <w:r>
        <w:rPr>
          <w:rFonts w:ascii="Times New Roman" w:hAnsi="Times New Roman" w:cs="Times New Roman" w:eastAsia="Times New Roman" w:hint="default"/>
        </w:rPr>
        <w:t>23</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4、应付账款" w:id="310"/>
      <w:bookmarkEnd w:id="310"/>
      <w:r>
        <w:rPr>
          <w:b w:val="0"/>
          <w:bCs w:val="0"/>
        </w:rPr>
      </w:r>
      <w:r>
        <w:rPr>
          <w:rFonts w:ascii="Times New Roman" w:hAnsi="Times New Roman" w:cs="Times New Roman" w:eastAsia="Times New Roman" w:hint="default"/>
        </w:rPr>
        <w:t>24</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账款列示" w:id="311"/>
      <w:bookmarkEnd w:id="31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62,608,800.02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12,056,885.45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3,227,567.62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2,735,753.07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65,836,367.64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14,792,638.52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应付账款" w:id="312"/>
      <w:bookmarkEnd w:id="312"/>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2,334,900.99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未结算支付</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2,334,900.99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5、预收款项" w:id="313"/>
      <w:bookmarkEnd w:id="313"/>
      <w:r>
        <w:rPr>
          <w:b w:val="0"/>
          <w:bCs w:val="0"/>
        </w:rPr>
      </w:r>
      <w:r>
        <w:rPr>
          <w:rFonts w:ascii="Times New Roman" w:hAnsi="Times New Roman" w:cs="Times New Roman" w:eastAsia="Times New Roman" w:hint="default"/>
        </w:rPr>
        <w:t>25</w:t>
      </w:r>
      <w:r>
        <w:rPr/>
        <w:t>、预收款项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1）预收款项列示" w:id="314"/>
      <w:bookmarkEnd w:id="31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88,156,271.05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105,196,405.53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13,606,630.05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4,243,008.14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101,762,901.10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109,439,413.67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预收款项" w:id="315"/>
      <w:bookmarkEnd w:id="315"/>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服务尚未提供完毕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服务尚未提供完毕</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服务尚未提供完毕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服务尚未提供完毕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1,465,000.00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期末建造合同形成的已结算未完工项目情况" w:id="316"/>
      <w:bookmarkEnd w:id="31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6、合同负债" w:id="317"/>
      <w:bookmarkEnd w:id="317"/>
      <w:r>
        <w:rPr>
          <w:b w:val="0"/>
          <w:bCs w:val="0"/>
        </w:rPr>
      </w:r>
      <w:r>
        <w:rPr>
          <w:rFonts w:ascii="Times New Roman" w:hAnsi="Times New Roman" w:cs="Times New Roman" w:eastAsia="Times New Roman" w:hint="default"/>
        </w:rPr>
        <w:t>26</w:t>
      </w:r>
      <w:r>
        <w:rPr/>
        <w:t>、合同负债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报告期内账面价值发生重大变动的金额和原因</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7、应付职工薪酬" w:id="318"/>
      <w:bookmarkEnd w:id="318"/>
      <w:r>
        <w:rPr>
          <w:b w:val="0"/>
          <w:bCs w:val="0"/>
        </w:rPr>
      </w:r>
      <w:r>
        <w:rPr>
          <w:rFonts w:ascii="Times New Roman" w:hAnsi="Times New Roman" w:cs="Times New Roman" w:eastAsia="Times New Roman" w:hint="default"/>
        </w:rPr>
        <w:t>27</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付职工薪酬列示" w:id="319"/>
      <w:bookmarkEnd w:id="31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1711"/>
        <w:gridCol w:w="1844"/>
        <w:gridCol w:w="1702"/>
        <w:gridCol w:w="1699"/>
      </w:tblGrid>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17,652,118.91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728,504,388.50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718,306,827.79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27,849,679.62</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947,878.86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13,023,403.71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13,097,643.16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873,639.41</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1,756,874.66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1,829,374.66</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18,672,497.77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743,284,666.87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733,233,845.61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28,723,319.03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短期薪酬列示" w:id="320"/>
      <w:bookmarkEnd w:id="32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855"/>
        <w:gridCol w:w="1702"/>
        <w:gridCol w:w="1844"/>
        <w:gridCol w:w="1699"/>
      </w:tblGrid>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17,308,262.20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708,607,209.39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698,393,484.01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27,521,987.58</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87,663.21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6,847,294.98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6,932,153.94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2,804.25</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202,255.10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8,691,883.54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8,683,760.34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210,378.30</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175,606.36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7,103,403.02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7,097,618.68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181,390.70</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8,954.95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982,377.00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982,388.65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8,943.30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40"/>
        <w:gridCol w:w="1855"/>
        <w:gridCol w:w="1702"/>
        <w:gridCol w:w="1844"/>
        <w:gridCol w:w="1699"/>
      </w:tblGrid>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17,693.79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606,103.52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603,753.01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20,044.30</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9,398.49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4,068,730.86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4,010,119.14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68,010.21</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44,539.91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289,269.73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287,310.36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46,499.28</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17,652,118.91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728,504,388.50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718,306,827.79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27,849,679.62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设定提存计划列示" w:id="321"/>
      <w:bookmarkEnd w:id="32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349,656.94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12,540,925.40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12,612,709.10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277,873.24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598,221.92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482,478.31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484,934.06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595,766.17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947,878.86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13,023,403.71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13,097,643.16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873,639.41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8、应交税费" w:id="322"/>
      <w:bookmarkEnd w:id="322"/>
      <w:r>
        <w:rPr>
          <w:b w:val="0"/>
          <w:bCs w:val="0"/>
        </w:rPr>
      </w:r>
      <w:r>
        <w:rPr>
          <w:rFonts w:ascii="Times New Roman" w:hAnsi="Times New Roman" w:cs="Times New Roman" w:eastAsia="Times New Roman" w:hint="default"/>
        </w:rPr>
        <w:t>28</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41,752,069.35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11,138,678.96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18,071,805.08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17,785,719.54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2,799,317.57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2,871,833.11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2,585,894.33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774,811.52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1,975,110.50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542,668.29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1,024,944.86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1,106,971.12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114,615.28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56,279.15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房产税及土地使用税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145,207.22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172,985.26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68,468,964.19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34,449,946.95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9、其他应付款" w:id="323"/>
      <w:bookmarkEnd w:id="323"/>
      <w:r>
        <w:rPr>
          <w:b w:val="0"/>
          <w:bCs w:val="0"/>
        </w:rPr>
      </w:r>
      <w:r>
        <w:rPr>
          <w:rFonts w:ascii="Times New Roman" w:hAnsi="Times New Roman" w:cs="Times New Roman" w:eastAsia="Times New Roman" w:hint="default"/>
        </w:rPr>
        <w:t>29</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159"/>
        <w:gridCol w:w="3203"/>
        <w:gridCol w:w="3190"/>
      </w:tblGrid>
      <w:tr>
        <w:trPr>
          <w:trHeight w:val="403"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378,899.95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378,900.11</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154,647,081.52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91,104,282.55</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155,025,981.47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91,483,182.66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1）应付利息" w:id="324"/>
      <w:bookmarkEnd w:id="32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378,899.95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378,900.11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378,899.95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378,900.11</w:t>
            </w:r>
          </w:p>
        </w:tc>
      </w:tr>
    </w:tbl>
    <w:p>
      <w:pPr>
        <w:pStyle w:val="BodyText"/>
        <w:spacing w:line="240" w:lineRule="auto" w:before="49"/>
        <w:ind w:right="1133"/>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应付股利" w:id="325"/>
      <w:bookmarkEnd w:id="32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其他应付款" w:id="326"/>
      <w:bookmarkEnd w:id="32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按款项性质列示其他应付款" w:id="327"/>
      <w:bookmarkEnd w:id="327"/>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74,558,677.68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26,274,685.36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80,088,403.84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64,829,597.19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154,647,081.52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91,104,282.55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其他应付款" w:id="328"/>
      <w:bookmarkEnd w:id="328"/>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股权款未到约定支付时间</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6,873,348.92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股权款未到约定支付时间</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6,697,061.74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股权款未到约定支付时间</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6,626,018.34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股权款未到约定支付时间</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3,519,255.81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股权款未到约定支付时间</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35,715,684.81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30、持有待售负债" w:id="329"/>
      <w:bookmarkEnd w:id="329"/>
      <w:r>
        <w:rPr>
          <w:b w:val="0"/>
          <w:bCs w:val="0"/>
        </w:rPr>
      </w:r>
      <w:r>
        <w:rPr>
          <w:rFonts w:ascii="Times New Roman" w:hAnsi="Times New Roman" w:cs="Times New Roman" w:eastAsia="Times New Roman" w:hint="default"/>
        </w:rPr>
        <w:t>30</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1、一年内到期的非流动负债" w:id="330"/>
      <w:bookmarkEnd w:id="330"/>
      <w:r>
        <w:rPr>
          <w:b w:val="0"/>
          <w:bCs w:val="0"/>
        </w:rPr>
      </w:r>
      <w:r>
        <w:rPr>
          <w:rFonts w:ascii="Times New Roman" w:hAnsi="Times New Roman" w:cs="Times New Roman" w:eastAsia="Times New Roman" w:hint="default"/>
        </w:rPr>
        <w:t>31</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16,517,289.83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16,517,289.83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年以内到期的股权支付价款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500,535,883.89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376,655,603.81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517,053,173.72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393,172,893.64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2、其他流动负债" w:id="331"/>
      <w:bookmarkEnd w:id="331"/>
      <w:r>
        <w:rPr>
          <w:b w:val="0"/>
          <w:bCs w:val="0"/>
        </w:rPr>
      </w:r>
      <w:r>
        <w:rPr>
          <w:rFonts w:ascii="Times New Roman" w:hAnsi="Times New Roman" w:cs="Times New Roman" w:eastAsia="Times New Roman" w:hint="default"/>
        </w:rPr>
        <w:t>32</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4,911,524.20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4,911,524.20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短期应付债券的增减变动：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3、长期借款" w:id="332"/>
      <w:bookmarkEnd w:id="332"/>
      <w:r>
        <w:rPr>
          <w:b w:val="0"/>
          <w:bCs w:val="0"/>
        </w:rPr>
      </w:r>
      <w:r>
        <w:rPr>
          <w:rFonts w:ascii="Times New Roman" w:hAnsi="Times New Roman" w:cs="Times New Roman" w:eastAsia="Times New Roman" w:hint="default"/>
        </w:rPr>
        <w:t>33</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长期借款分类" w:id="333"/>
      <w:bookmarkEnd w:id="33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26,248,168.73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32,380,225.14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26,248,168.73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28,980,225.14</w:t>
            </w:r>
          </w:p>
        </w:tc>
      </w:tr>
    </w:tbl>
    <w:p>
      <w:pPr>
        <w:pStyle w:val="BodyText"/>
        <w:spacing w:line="240" w:lineRule="auto" w:before="49"/>
        <w:ind w:right="1133"/>
        <w:jc w:val="left"/>
      </w:pPr>
      <w:r>
        <w:rPr/>
        <w:t>长期借款分类的说明：</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12" w:firstLine="336"/>
        <w:jc w:val="both"/>
      </w:pPr>
      <w:r>
        <w:rPr/>
        <w:t>本公司抵押借款的借款期限为</w:t>
      </w:r>
      <w:r>
        <w:rPr>
          <w:rFonts w:ascii="Times New Roman" w:hAnsi="Times New Roman" w:cs="Times New Roman" w:eastAsia="Times New Roman" w:hint="default"/>
        </w:rPr>
        <w:t>120</w:t>
      </w:r>
      <w:r>
        <w:rPr/>
        <w:t>个月，自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2028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日，借款利率为浮动利率以实际提款日为结算 </w:t>
      </w:r>
      <w:r>
        <w:rPr>
          <w:spacing w:val="16"/>
        </w:rPr>
        <w:t>日；公司以截止</w:t>
      </w:r>
      <w:r>
        <w:rPr>
          <w:spacing w:val="-7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t>年</w:t>
      </w:r>
      <w:r>
        <w:rPr>
          <w:spacing w:val="-74"/>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月</w:t>
      </w:r>
      <w:r>
        <w:rPr>
          <w:spacing w:val="-74"/>
        </w:rPr>
        <w:t>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spacing w:val="15"/>
        </w:rPr>
        <w:t>日账面价值为</w:t>
      </w:r>
      <w:r>
        <w:rPr>
          <w:spacing w:val="-73"/>
        </w:rPr>
        <w:t> </w:t>
      </w:r>
      <w:r>
        <w:rPr>
          <w:rFonts w:ascii="Times New Roman" w:hAnsi="Times New Roman" w:cs="Times New Roman" w:eastAsia="Times New Roman" w:hint="default"/>
        </w:rPr>
        <w:t>13,385,568.17</w:t>
      </w:r>
      <w:r>
        <w:rPr>
          <w:rFonts w:ascii="Times New Roman" w:hAnsi="Times New Roman" w:cs="Times New Roman" w:eastAsia="Times New Roman" w:hint="default"/>
          <w:spacing w:val="-26"/>
        </w:rPr>
        <w:t> </w:t>
      </w:r>
      <w:r>
        <w:rPr>
          <w:spacing w:val="16"/>
        </w:rPr>
        <w:t>元，账面净值为</w:t>
      </w:r>
      <w:r>
        <w:rPr>
          <w:spacing w:val="-71"/>
        </w:rPr>
        <w:t> </w:t>
      </w:r>
      <w:r>
        <w:rPr>
          <w:rFonts w:ascii="Times New Roman" w:hAnsi="Times New Roman" w:cs="Times New Roman" w:eastAsia="Times New Roman" w:hint="default"/>
        </w:rPr>
        <w:t>12,629,492.95</w:t>
      </w:r>
      <w:r>
        <w:rPr>
          <w:rFonts w:ascii="Times New Roman" w:hAnsi="Times New Roman" w:cs="Times New Roman" w:eastAsia="Times New Roman" w:hint="default"/>
          <w:spacing w:val="-26"/>
        </w:rPr>
        <w:t> </w:t>
      </w:r>
      <w:r>
        <w:rPr>
          <w:spacing w:val="17"/>
        </w:rPr>
        <w:t>元的固定资产及账面价值为</w:t>
      </w:r>
      <w:r>
        <w:rPr>
          <w:spacing w:val="-71"/>
        </w:rPr>
        <w:t> </w:t>
      </w:r>
      <w:r>
        <w:rPr>
          <w:rFonts w:ascii="Times New Roman" w:hAnsi="Times New Roman" w:cs="Times New Roman" w:eastAsia="Times New Roman" w:hint="default"/>
        </w:rPr>
        <w:t>54,093,368.02</w:t>
      </w:r>
      <w:r>
        <w:rPr/>
        <w:t>元，账面净值为</w:t>
      </w:r>
      <w:r>
        <w:rPr>
          <w:rFonts w:ascii="Times New Roman" w:hAnsi="Times New Roman" w:cs="Times New Roman" w:eastAsia="Times New Roman" w:hint="default"/>
        </w:rPr>
        <w:t>51,037,928.96</w:t>
      </w:r>
      <w:r>
        <w:rPr/>
        <w:t>元的投资性房地产作为抵押物。</w:t>
      </w:r>
    </w:p>
    <w:p>
      <w:pPr>
        <w:spacing w:line="240" w:lineRule="auto" w:before="0"/>
        <w:rPr>
          <w:rFonts w:ascii="宋体" w:hAnsi="宋体" w:cs="宋体" w:eastAsia="宋体" w:hint="default"/>
          <w:sz w:val="18"/>
          <w:szCs w:val="18"/>
        </w:rPr>
      </w:pPr>
    </w:p>
    <w:p>
      <w:pPr>
        <w:pStyle w:val="BodyText"/>
        <w:spacing w:line="240" w:lineRule="auto" w:before="130"/>
        <w:ind w:right="1133"/>
        <w:jc w:val="left"/>
      </w:pPr>
      <w:r>
        <w:rPr/>
        <w:t>其他说明，包括利率区间：</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4、长期应付款" w:id="334"/>
      <w:bookmarkEnd w:id="334"/>
      <w:r>
        <w:rPr>
          <w:b w:val="0"/>
          <w:bCs w:val="0"/>
        </w:rPr>
      </w:r>
      <w:r>
        <w:rPr>
          <w:rFonts w:ascii="Times New Roman" w:hAnsi="Times New Roman" w:cs="Times New Roman" w:eastAsia="Times New Roman" w:hint="default"/>
        </w:rPr>
        <w:t>34</w:t>
      </w:r>
      <w:r>
        <w:rPr/>
        <w:t>、长期应付款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1）按款项性质列示长期应付款" w:id="335"/>
      <w:bookmarkEnd w:id="33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专项应付款" w:id="336"/>
      <w:bookmarkEnd w:id="336"/>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5、长期应付职工薪酬" w:id="337"/>
      <w:bookmarkEnd w:id="337"/>
      <w:r>
        <w:rPr>
          <w:b w:val="0"/>
          <w:bCs w:val="0"/>
        </w:rPr>
      </w:r>
      <w:r>
        <w:rPr>
          <w:rFonts w:ascii="Times New Roman" w:hAnsi="Times New Roman" w:cs="Times New Roman" w:eastAsia="Times New Roman" w:hint="default"/>
        </w:rPr>
        <w:t>35</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长期应付职工薪酬表" w:id="338"/>
      <w:bookmarkEnd w:id="33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设定受益计划变动情况" w:id="339"/>
      <w:bookmarkEnd w:id="33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设定受益计划义务现值：</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133"/>
        <w:jc w:val="left"/>
      </w:pPr>
      <w:r>
        <w:rPr/>
        <w:t>计划资产：</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设定受益计划净负债（净资产）</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6、预计负债" w:id="340"/>
      <w:bookmarkEnd w:id="340"/>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7、递延收益" w:id="341"/>
      <w:bookmarkEnd w:id="341"/>
      <w:r>
        <w:rPr>
          <w:b w:val="0"/>
          <w:bCs w:val="0"/>
        </w:rPr>
      </w:r>
      <w:r>
        <w:rPr>
          <w:rFonts w:ascii="Times New Roman" w:hAnsi="Times New Roman" w:cs="Times New Roman" w:eastAsia="Times New Roman" w:hint="default"/>
        </w:rPr>
        <w:t>37</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12"/>
        <w:gridCol w:w="1248"/>
        <w:gridCol w:w="1011"/>
        <w:gridCol w:w="1010"/>
        <w:gridCol w:w="1011"/>
        <w:gridCol w:w="1008"/>
        <w:gridCol w:w="1010"/>
        <w:gridCol w:w="1249"/>
        <w:gridCol w:w="1010"/>
      </w:tblGrid>
      <w:tr>
        <w:trPr>
          <w:trHeight w:val="1026"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8、其他非流动负债" w:id="342"/>
      <w:bookmarkEnd w:id="342"/>
      <w:r>
        <w:rPr>
          <w:b w:val="0"/>
          <w:bCs w:val="0"/>
        </w:rPr>
      </w:r>
      <w:r>
        <w:rPr>
          <w:rFonts w:ascii="Times New Roman" w:hAnsi="Times New Roman" w:cs="Times New Roman" w:eastAsia="Times New Roman" w:hint="default"/>
        </w:rPr>
        <w:t>38</w:t>
      </w:r>
      <w:r>
        <w:rPr/>
        <w:t>、其他非流动负债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应付股权价款（注）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617,014,727.14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应付业绩奖励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16,933,771.48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633,948,498.62</w:t>
            </w:r>
          </w:p>
        </w:tc>
      </w:tr>
    </w:tbl>
    <w:p>
      <w:pPr>
        <w:pStyle w:val="BodyText"/>
        <w:spacing w:line="360" w:lineRule="auto" w:before="49"/>
        <w:ind w:right="4274"/>
        <w:jc w:val="left"/>
      </w:pPr>
      <w:r>
        <w:rPr/>
        <w:t>其他说明： 系根据与各方签订的《股权转让协议》约定将在以后期间支付的股权转让价款。</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bookmarkStart w:name="39、股本" w:id="343"/>
      <w:bookmarkEnd w:id="343"/>
      <w:r>
        <w:rPr>
          <w:b w:val="0"/>
          <w:bCs w:val="0"/>
        </w:rPr>
      </w:r>
      <w:r>
        <w:rPr>
          <w:rFonts w:ascii="Times New Roman" w:hAnsi="Times New Roman" w:cs="Times New Roman" w:eastAsia="Times New Roman" w:hint="default"/>
        </w:rPr>
        <w:t>39</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765,799,353.00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765,799,353.00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0、其他权益工具" w:id="344"/>
      <w:bookmarkEnd w:id="344"/>
      <w:r>
        <w:rPr>
          <w:b w:val="0"/>
          <w:bCs w:val="0"/>
        </w:rPr>
      </w:r>
      <w:r>
        <w:rPr>
          <w:rFonts w:ascii="Times New Roman" w:hAnsi="Times New Roman" w:cs="Times New Roman" w:eastAsia="Times New Roman" w:hint="default"/>
        </w:rPr>
        <w:t>40</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期末发行在外的优先股、永续债等其他金融工具基本情况" w:id="345"/>
      <w:bookmarkEnd w:id="345"/>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期末发行在外的优先股、永续债等金融工具变动情况表" w:id="346"/>
      <w:bookmarkEnd w:id="346"/>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4634"/>
        <w:jc w:val="left"/>
      </w:pPr>
      <w:r>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41、资本公积" w:id="347"/>
      <w:bookmarkEnd w:id="347"/>
      <w:r>
        <w:rPr>
          <w:b w:val="0"/>
          <w:bCs w:val="0"/>
        </w:rPr>
      </w:r>
      <w:r>
        <w:rPr>
          <w:rFonts w:ascii="Times New Roman" w:hAnsi="Times New Roman" w:cs="Times New Roman" w:eastAsia="Times New Roman" w:hint="default"/>
        </w:rPr>
        <w:t>41</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2,020,657,104.31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1,429,376.78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83,969,592.15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1,938,116,888.94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19,774,228.74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4,032,800.00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23,807,028.74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2,040,431,333.05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5,462,176.78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83,969,592.15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1,961,923,917.68</w:t>
            </w:r>
          </w:p>
        </w:tc>
      </w:tr>
    </w:tbl>
    <w:p>
      <w:pPr>
        <w:pStyle w:val="BodyText"/>
        <w:spacing w:line="360" w:lineRule="auto" w:before="49"/>
        <w:ind w:left="578" w:right="1133" w:hanging="426"/>
        <w:jc w:val="left"/>
      </w:pPr>
      <w:r>
        <w:rPr/>
        <w:t>其他说明，包括本期增减变动情况、变动原因说明： </w:t>
      </w:r>
      <w:r>
        <w:rPr>
          <w:rFonts w:ascii="宋体" w:hAnsi="宋体" w:cs="宋体" w:eastAsia="宋体" w:hint="default"/>
          <w:spacing w:val="-2"/>
        </w:rPr>
        <w:t>1</w:t>
      </w:r>
      <w:r>
        <w:rPr>
          <w:spacing w:val="-2"/>
        </w:rPr>
        <w:t>、本期增加</w:t>
      </w:r>
      <w:r>
        <w:rPr>
          <w:rFonts w:ascii="宋体" w:hAnsi="宋体" w:cs="宋体" w:eastAsia="宋体" w:hint="default"/>
          <w:spacing w:val="-2"/>
        </w:rPr>
        <w:t>403.28</w:t>
      </w:r>
      <w:r>
        <w:rPr>
          <w:spacing w:val="-2"/>
        </w:rPr>
        <w:t>万元为本年度公司根据股票期权激励计划确认的股份支付费用；本期增加</w:t>
      </w:r>
      <w:r>
        <w:rPr>
          <w:rFonts w:ascii="宋体" w:hAnsi="宋体" w:cs="宋体" w:eastAsia="宋体" w:hint="default"/>
          <w:spacing w:val="-2"/>
        </w:rPr>
        <w:t>142.94</w:t>
      </w:r>
      <w:r>
        <w:rPr>
          <w:spacing w:val="-2"/>
        </w:rPr>
        <w:t>万元为公司本期处</w:t>
      </w:r>
    </w:p>
    <w:p>
      <w:pPr>
        <w:pStyle w:val="BodyText"/>
        <w:spacing w:line="222" w:lineRule="exact"/>
        <w:ind w:right="0"/>
        <w:jc w:val="left"/>
      </w:pPr>
      <w:r>
        <w:rPr/>
        <w:t>置子公司常州易浩企业管理有限公司</w:t>
      </w:r>
      <w:r>
        <w:rPr>
          <w:rFonts w:ascii="宋体" w:hAnsi="宋体" w:cs="宋体" w:eastAsia="宋体" w:hint="default"/>
        </w:rPr>
        <w:t>19.60%</w:t>
      </w:r>
      <w:r>
        <w:rPr/>
        <w:t>股权，收到股权转让价款与按收购时点持续计算享有份额的差额，在合并报表层</w:t>
      </w:r>
    </w:p>
    <w:p>
      <w:pPr>
        <w:pStyle w:val="BodyText"/>
        <w:spacing w:line="316" w:lineRule="auto" w:before="76"/>
        <w:ind w:left="578" w:right="1133" w:hanging="426"/>
        <w:jc w:val="left"/>
      </w:pPr>
      <w:r>
        <w:rPr/>
        <w:t>面增加资本公积。 </w:t>
      </w:r>
      <w:r>
        <w:rPr>
          <w:rFonts w:ascii="宋体" w:hAnsi="宋体" w:cs="宋体" w:eastAsia="宋体" w:hint="default"/>
          <w:spacing w:val="-2"/>
        </w:rPr>
        <w:t>2</w:t>
      </w:r>
      <w:r>
        <w:rPr>
          <w:spacing w:val="-2"/>
        </w:rPr>
        <w:t>、本期减少为公司之子公司神州易桥（北京）财税科技有限公司进一步收购控股子公司宁波顺利办财税服务有限公司</w:t>
      </w:r>
    </w:p>
    <w:p>
      <w:pPr>
        <w:pStyle w:val="BodyText"/>
        <w:spacing w:line="240" w:lineRule="auto" w:before="19"/>
        <w:ind w:right="1133"/>
        <w:jc w:val="left"/>
      </w:pPr>
      <w:r>
        <w:rPr>
          <w:rFonts w:ascii="宋体" w:hAnsi="宋体" w:cs="宋体" w:eastAsia="宋体" w:hint="default"/>
        </w:rPr>
        <w:t>20%</w:t>
      </w:r>
      <w:r>
        <w:rPr/>
        <w:t>少数股东权益，按照支付股权转让价款与收购</w:t>
      </w:r>
      <w:r>
        <w:rPr>
          <w:rFonts w:ascii="宋体" w:hAnsi="宋体" w:cs="宋体" w:eastAsia="宋体" w:hint="default"/>
        </w:rPr>
        <w:t>20%</w:t>
      </w:r>
      <w:r>
        <w:rPr/>
        <w:t>股权应享有的公允价值差额，在合并报表层面冲减资本公积。</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2、库存股" w:id="348"/>
      <w:bookmarkEnd w:id="348"/>
      <w:r>
        <w:rPr>
          <w:b w:val="0"/>
          <w:bCs w:val="0"/>
        </w:rPr>
      </w:r>
      <w:r>
        <w:rPr>
          <w:rFonts w:ascii="Times New Roman" w:hAnsi="Times New Roman" w:cs="Times New Roman" w:eastAsia="Times New Roman" w:hint="default"/>
        </w:rPr>
        <w:t>42</w:t>
      </w:r>
      <w:r>
        <w:rPr/>
        <w:t>、库存股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3、其他综合收益" w:id="349"/>
      <w:bookmarkEnd w:id="349"/>
      <w:r>
        <w:rPr>
          <w:b w:val="0"/>
          <w:bCs w:val="0"/>
        </w:rPr>
      </w:r>
      <w:r>
        <w:rPr>
          <w:rFonts w:ascii="Times New Roman" w:hAnsi="Times New Roman" w:cs="Times New Roman" w:eastAsia="Times New Roman" w:hint="default"/>
        </w:rPr>
        <w:t>43</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062"/>
        <w:gridCol w:w="562"/>
        <w:gridCol w:w="1289"/>
        <w:gridCol w:w="838"/>
        <w:gridCol w:w="852"/>
        <w:gridCol w:w="636"/>
        <w:gridCol w:w="1214"/>
        <w:gridCol w:w="1136"/>
        <w:gridCol w:w="1277"/>
      </w:tblGrid>
      <w:tr>
        <w:trPr>
          <w:trHeight w:val="402" w:hRule="exact"/>
        </w:trPr>
        <w:tc>
          <w:tcPr>
            <w:tcW w:w="2062" w:type="dxa"/>
            <w:vMerge w:val="restart"/>
            <w:tcBorders>
              <w:top w:val="single" w:sz="4" w:space="0" w:color="000000"/>
              <w:left w:val="single" w:sz="4" w:space="0" w:color="000000"/>
              <w:right w:val="single" w:sz="4" w:space="0" w:color="FFFFFF"/>
            </w:tcBorders>
            <w:shd w:val="clear" w:color="auto" w:fill="D2D2D2"/>
          </w:tcPr>
          <w:p>
            <w:pPr/>
          </w:p>
        </w:tc>
        <w:tc>
          <w:tcPr>
            <w:tcW w:w="562" w:type="dxa"/>
            <w:vMerge w:val="restart"/>
            <w:tcBorders>
              <w:top w:val="single" w:sz="4" w:space="0" w:color="000000"/>
              <w:left w:val="single" w:sz="4" w:space="0" w:color="FFFFFF"/>
              <w:right w:val="single" w:sz="4" w:space="0" w:color="000000"/>
            </w:tcBorders>
            <w:shd w:val="clear" w:color="auto" w:fill="D2D2D2"/>
          </w:tcPr>
          <w:p>
            <w:pPr/>
          </w:p>
        </w:tc>
        <w:tc>
          <w:tcPr>
            <w:tcW w:w="59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77" w:type="dxa"/>
            <w:vMerge w:val="restart"/>
            <w:tcBorders>
              <w:top w:val="single" w:sz="4" w:space="0" w:color="000000"/>
              <w:left w:val="single" w:sz="4" w:space="0" w:color="000000"/>
              <w:right w:val="single" w:sz="4" w:space="0" w:color="000000"/>
            </w:tcBorders>
            <w:shd w:val="clear" w:color="auto" w:fill="D2D2D2"/>
          </w:tcPr>
          <w:p>
            <w:pPr/>
          </w:p>
        </w:tc>
      </w:tr>
      <w:tr>
        <w:trPr>
          <w:trHeight w:val="295" w:hRule="exact"/>
        </w:trPr>
        <w:tc>
          <w:tcPr>
            <w:tcW w:w="2062" w:type="dxa"/>
            <w:vMerge/>
            <w:tcBorders>
              <w:left w:val="single" w:sz="4" w:space="0" w:color="000000"/>
              <w:right w:val="single" w:sz="4" w:space="0" w:color="FFFFFF"/>
            </w:tcBorders>
            <w:shd w:val="clear" w:color="auto" w:fill="D2D2D2"/>
          </w:tcPr>
          <w:p>
            <w:pPr/>
          </w:p>
        </w:tc>
        <w:tc>
          <w:tcPr>
            <w:tcW w:w="562" w:type="dxa"/>
            <w:vMerge/>
            <w:tcBorders>
              <w:left w:val="single" w:sz="4" w:space="0" w:color="FFFFFF"/>
              <w:bottom w:val="nil" w:sz="6" w:space="0" w:color="auto"/>
              <w:right w:val="single" w:sz="4" w:space="0" w:color="000000"/>
            </w:tcBorders>
            <w:shd w:val="clear" w:color="auto" w:fill="D2D2D2"/>
          </w:tcPr>
          <w:p>
            <w:pPr/>
          </w:p>
        </w:tc>
        <w:tc>
          <w:tcPr>
            <w:tcW w:w="1289" w:type="dxa"/>
            <w:vMerge w:val="restart"/>
            <w:tcBorders>
              <w:top w:val="single" w:sz="4" w:space="0" w:color="000000"/>
              <w:left w:val="single" w:sz="4" w:space="0" w:color="000000"/>
              <w:right w:val="single" w:sz="4" w:space="0" w:color="000000"/>
            </w:tcBorders>
            <w:shd w:val="clear" w:color="auto" w:fill="D2D2D2"/>
          </w:tcPr>
          <w:p>
            <w:pPr/>
          </w:p>
        </w:tc>
        <w:tc>
          <w:tcPr>
            <w:tcW w:w="8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52" w:right="53"/>
              <w:jc w:val="center"/>
              <w:rPr>
                <w:rFonts w:ascii="宋体" w:hAnsi="宋体" w:cs="宋体" w:eastAsia="宋体" w:hint="default"/>
                <w:sz w:val="18"/>
                <w:szCs w:val="18"/>
              </w:rPr>
            </w:pPr>
            <w:r>
              <w:rPr>
                <w:rFonts w:ascii="宋体" w:hAnsi="宋体" w:cs="宋体" w:eastAsia="宋体" w:hint="default"/>
                <w:sz w:val="18"/>
                <w:szCs w:val="18"/>
              </w:rPr>
              <w:t>减：前期 计入其他 综合收益 当期转入 损益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2" w:right="58"/>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4" w:type="dxa"/>
            <w:vMerge w:val="restart"/>
            <w:tcBorders>
              <w:top w:val="single" w:sz="4" w:space="0" w:color="000000"/>
              <w:left w:val="single" w:sz="4" w:space="0" w:color="000000"/>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156" w:hRule="exact"/>
        </w:trPr>
        <w:tc>
          <w:tcPr>
            <w:tcW w:w="2062" w:type="dxa"/>
            <w:vMerge/>
            <w:tcBorders>
              <w:left w:val="single" w:sz="4" w:space="0" w:color="000000"/>
              <w:bottom w:val="nil" w:sz="6" w:space="0" w:color="auto"/>
              <w:right w:val="single" w:sz="4" w:space="0" w:color="FFFFFF"/>
            </w:tcBorders>
            <w:shd w:val="clear" w:color="auto" w:fill="D2D2D2"/>
          </w:tcPr>
          <w:p>
            <w:pPr/>
          </w:p>
        </w:tc>
        <w:tc>
          <w:tcPr>
            <w:tcW w:w="562"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26"/>
              <w:ind w:left="95" w:right="95"/>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289" w:type="dxa"/>
            <w:vMerge/>
            <w:tcBorders>
              <w:left w:val="single" w:sz="4" w:space="0" w:color="000000"/>
              <w:bottom w:val="nil" w:sz="6" w:space="0" w:color="auto"/>
              <w:right w:val="single" w:sz="4" w:space="0" w:color="000000"/>
            </w:tcBorders>
            <w:shd w:val="clear" w:color="auto" w:fill="D2D2D2"/>
          </w:tcPr>
          <w:p>
            <w:pPr/>
          </w:p>
        </w:tc>
        <w:tc>
          <w:tcPr>
            <w:tcW w:w="838"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6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3" w:right="41"/>
              <w:jc w:val="center"/>
              <w:rPr>
                <w:rFonts w:ascii="宋体" w:hAnsi="宋体" w:cs="宋体" w:eastAsia="宋体" w:hint="default"/>
                <w:sz w:val="18"/>
                <w:szCs w:val="18"/>
              </w:rPr>
            </w:pPr>
            <w:r>
              <w:rPr>
                <w:rFonts w:ascii="宋体" w:hAnsi="宋体" w:cs="宋体" w:eastAsia="宋体" w:hint="default"/>
                <w:sz w:val="18"/>
                <w:szCs w:val="18"/>
              </w:rPr>
              <w:t>减：所 得税费 用</w:t>
            </w:r>
          </w:p>
        </w:tc>
        <w:tc>
          <w:tcPr>
            <w:tcW w:w="1214"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357" w:hRule="exact"/>
        </w:trPr>
        <w:tc>
          <w:tcPr>
            <w:tcW w:w="2062"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tcBorders>
              <w:left w:val="single" w:sz="4" w:space="0" w:color="FFFFFF"/>
              <w:right w:val="single" w:sz="4" w:space="0" w:color="000000"/>
            </w:tcBorders>
            <w:shd w:val="clear" w:color="auto" w:fill="D2D2D2"/>
          </w:tcPr>
          <w:p>
            <w:pPr/>
          </w:p>
        </w:tc>
        <w:tc>
          <w:tcPr>
            <w:tcW w:w="128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370" w:right="98"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838"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422" w:right="60"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01" w:right="111"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2062" w:type="dxa"/>
            <w:vMerge w:val="restart"/>
            <w:tcBorders>
              <w:top w:val="nil" w:sz="6" w:space="0" w:color="auto"/>
              <w:left w:val="single" w:sz="4" w:space="0" w:color="000000"/>
              <w:right w:val="single" w:sz="4" w:space="0" w:color="FFFFFF"/>
            </w:tcBorders>
            <w:shd w:val="clear" w:color="auto" w:fill="D2D2D2"/>
          </w:tcPr>
          <w:p>
            <w:pPr/>
          </w:p>
        </w:tc>
        <w:tc>
          <w:tcPr>
            <w:tcW w:w="562" w:type="dxa"/>
            <w:vMerge/>
            <w:tcBorders>
              <w:left w:val="single" w:sz="4" w:space="0" w:color="FFFFFF"/>
              <w:bottom w:val="nil" w:sz="6" w:space="0" w:color="auto"/>
              <w:right w:val="single" w:sz="4" w:space="0" w:color="000000"/>
            </w:tcBorders>
            <w:shd w:val="clear" w:color="auto" w:fill="D2D2D2"/>
          </w:tcPr>
          <w:p>
            <w:pPr/>
          </w:p>
        </w:tc>
        <w:tc>
          <w:tcPr>
            <w:tcW w:w="1289" w:type="dxa"/>
            <w:vMerge/>
            <w:tcBorders>
              <w:left w:val="single" w:sz="4" w:space="0" w:color="000000"/>
              <w:right w:val="single" w:sz="4" w:space="0" w:color="000000"/>
            </w:tcBorders>
            <w:shd w:val="clear" w:color="auto" w:fill="D2D2D2"/>
          </w:tcPr>
          <w:p>
            <w:pPr/>
          </w:p>
        </w:tc>
        <w:tc>
          <w:tcPr>
            <w:tcW w:w="838"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c>
          <w:tcPr>
            <w:tcW w:w="1214"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r>
      <w:tr>
        <w:trPr>
          <w:trHeight w:val="202" w:hRule="exact"/>
        </w:trPr>
        <w:tc>
          <w:tcPr>
            <w:tcW w:w="2062" w:type="dxa"/>
            <w:vMerge/>
            <w:tcBorders>
              <w:left w:val="single" w:sz="4" w:space="0" w:color="000000"/>
              <w:right w:val="single" w:sz="4" w:space="0" w:color="FFFFFF"/>
            </w:tcBorders>
            <w:shd w:val="clear" w:color="auto" w:fill="D2D2D2"/>
          </w:tcPr>
          <w:p>
            <w:pPr/>
          </w:p>
        </w:tc>
        <w:tc>
          <w:tcPr>
            <w:tcW w:w="562" w:type="dxa"/>
            <w:vMerge w:val="restart"/>
            <w:tcBorders>
              <w:top w:val="nil" w:sz="6" w:space="0" w:color="auto"/>
              <w:left w:val="single" w:sz="4" w:space="0" w:color="FFFFFF"/>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c>
          <w:tcPr>
            <w:tcW w:w="838"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c>
          <w:tcPr>
            <w:tcW w:w="1214"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156" w:hRule="exact"/>
        </w:trPr>
        <w:tc>
          <w:tcPr>
            <w:tcW w:w="2062" w:type="dxa"/>
            <w:vMerge/>
            <w:tcBorders>
              <w:left w:val="single" w:sz="4" w:space="0" w:color="000000"/>
              <w:right w:val="single" w:sz="4" w:space="0" w:color="FFFFFF"/>
            </w:tcBorders>
            <w:shd w:val="clear" w:color="auto" w:fill="D2D2D2"/>
          </w:tcPr>
          <w:p>
            <w:pPr/>
          </w:p>
        </w:tc>
        <w:tc>
          <w:tcPr>
            <w:tcW w:w="562" w:type="dxa"/>
            <w:vMerge/>
            <w:tcBorders>
              <w:left w:val="single" w:sz="4" w:space="0" w:color="FFFFFF"/>
              <w:right w:val="single" w:sz="4" w:space="0" w:color="000000"/>
            </w:tcBorders>
            <w:shd w:val="clear" w:color="auto" w:fill="D2D2D2"/>
          </w:tcPr>
          <w:p>
            <w:pPr/>
          </w:p>
        </w:tc>
        <w:tc>
          <w:tcPr>
            <w:tcW w:w="1289" w:type="dxa"/>
            <w:vMerge w:val="restart"/>
            <w:tcBorders>
              <w:top w:val="nil" w:sz="6" w:space="0" w:color="auto"/>
              <w:left w:val="single" w:sz="4" w:space="0" w:color="000000"/>
              <w:right w:val="single" w:sz="4" w:space="0" w:color="000000"/>
            </w:tcBorders>
            <w:shd w:val="clear" w:color="auto" w:fill="D2D2D2"/>
          </w:tcPr>
          <w:p>
            <w:pPr/>
          </w:p>
        </w:tc>
        <w:tc>
          <w:tcPr>
            <w:tcW w:w="838"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636" w:type="dxa"/>
            <w:vMerge/>
            <w:tcBorders>
              <w:left w:val="single" w:sz="4" w:space="0" w:color="000000"/>
              <w:bottom w:val="nil" w:sz="6" w:space="0" w:color="auto"/>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317" w:hRule="exact"/>
        </w:trPr>
        <w:tc>
          <w:tcPr>
            <w:tcW w:w="2062" w:type="dxa"/>
            <w:vMerge/>
            <w:tcBorders>
              <w:left w:val="single" w:sz="4" w:space="0" w:color="000000"/>
              <w:bottom w:val="single" w:sz="4" w:space="0" w:color="000000"/>
              <w:right w:val="single" w:sz="4" w:space="0" w:color="FFFFFF"/>
            </w:tcBorders>
            <w:shd w:val="clear" w:color="auto" w:fill="D2D2D2"/>
          </w:tcPr>
          <w:p>
            <w:pPr/>
          </w:p>
        </w:tc>
        <w:tc>
          <w:tcPr>
            <w:tcW w:w="562" w:type="dxa"/>
            <w:vMerge/>
            <w:tcBorders>
              <w:left w:val="single" w:sz="4" w:space="0" w:color="FFFFFF"/>
              <w:bottom w:val="single" w:sz="4" w:space="0" w:color="000000"/>
              <w:right w:val="single" w:sz="4" w:space="0" w:color="000000"/>
            </w:tcBorders>
            <w:shd w:val="clear" w:color="auto" w:fill="D2D2D2"/>
          </w:tcPr>
          <w:p>
            <w:pPr/>
          </w:p>
        </w:tc>
        <w:tc>
          <w:tcPr>
            <w:tcW w:w="1289" w:type="dxa"/>
            <w:vMerge/>
            <w:tcBorders>
              <w:left w:val="single" w:sz="4" w:space="0" w:color="000000"/>
              <w:bottom w:val="single" w:sz="4" w:space="0" w:color="000000"/>
              <w:right w:val="single" w:sz="4" w:space="0" w:color="000000"/>
            </w:tcBorders>
            <w:shd w:val="clear" w:color="auto" w:fill="D2D2D2"/>
          </w:tcPr>
          <w:p>
            <w:pPr/>
          </w:p>
        </w:tc>
        <w:tc>
          <w:tcPr>
            <w:tcW w:w="83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062"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一、不能重分类进损益的 其他综合收益</w:t>
            </w:r>
          </w:p>
        </w:tc>
        <w:tc>
          <w:tcPr>
            <w:tcW w:w="562" w:type="dxa"/>
            <w:tcBorders>
              <w:top w:val="single" w:sz="4" w:space="0" w:color="000000"/>
              <w:left w:val="single" w:sz="4" w:space="0" w:color="FFFFFF"/>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-38,793,382.44</w:t>
            </w:r>
          </w:p>
        </w:tc>
        <w:tc>
          <w:tcPr>
            <w:tcW w:w="83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-29,140,382.44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-9,653,000.00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-29,140,382.44</w:t>
            </w:r>
          </w:p>
        </w:tc>
      </w:tr>
      <w:tr>
        <w:trPr>
          <w:trHeight w:val="715" w:hRule="exact"/>
        </w:trPr>
        <w:tc>
          <w:tcPr>
            <w:tcW w:w="2062"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4" w:lineRule="auto" w:before="51"/>
              <w:ind w:left="24" w:right="45" w:firstLine="540"/>
              <w:jc w:val="left"/>
              <w:rPr>
                <w:rFonts w:ascii="宋体" w:hAnsi="宋体" w:cs="宋体" w:eastAsia="宋体" w:hint="default"/>
                <w:sz w:val="18"/>
                <w:szCs w:val="18"/>
              </w:rPr>
            </w:pPr>
            <w:r>
              <w:rPr>
                <w:rFonts w:ascii="宋体" w:hAnsi="宋体" w:cs="宋体" w:eastAsia="宋体" w:hint="default"/>
                <w:sz w:val="18"/>
                <w:szCs w:val="18"/>
              </w:rPr>
              <w:t>其他权益工具投资 公允价值变动</w:t>
            </w:r>
          </w:p>
        </w:tc>
        <w:tc>
          <w:tcPr>
            <w:tcW w:w="562" w:type="dxa"/>
            <w:tcBorders>
              <w:top w:val="single" w:sz="4" w:space="0" w:color="000000"/>
              <w:left w:val="single" w:sz="4" w:space="0" w:color="FFFFFF"/>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-38,793,382.44</w:t>
            </w:r>
          </w:p>
        </w:tc>
        <w:tc>
          <w:tcPr>
            <w:tcW w:w="83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-29,140,382.44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-9,653,000.00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-29,140,382.44</w:t>
            </w:r>
          </w:p>
        </w:tc>
      </w:tr>
      <w:tr>
        <w:trPr>
          <w:trHeight w:val="403" w:hRule="exact"/>
        </w:trPr>
        <w:tc>
          <w:tcPr>
            <w:tcW w:w="2062"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562" w:type="dxa"/>
            <w:tcBorders>
              <w:top w:val="single" w:sz="4" w:space="0" w:color="000000"/>
              <w:left w:val="single" w:sz="4" w:space="0" w:color="FFFFFF"/>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-38,793,382.44</w:t>
            </w:r>
          </w:p>
        </w:tc>
        <w:tc>
          <w:tcPr>
            <w:tcW w:w="83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-29,140,382.44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-9,653,000.00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-29,140,382.44</w:t>
            </w:r>
          </w:p>
        </w:tc>
      </w:tr>
    </w:tbl>
    <w:p>
      <w:pPr>
        <w:pStyle w:val="BodyText"/>
        <w:spacing w:line="240" w:lineRule="auto" w:before="49"/>
        <w:ind w:left="232"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left="232" w:right="0"/>
        <w:jc w:val="left"/>
        <w:rPr>
          <w:b w:val="0"/>
          <w:bCs w:val="0"/>
        </w:rPr>
      </w:pPr>
      <w:bookmarkStart w:name="44、专项储备" w:id="350"/>
      <w:bookmarkEnd w:id="350"/>
      <w:r>
        <w:rPr>
          <w:b w:val="0"/>
          <w:bCs w:val="0"/>
        </w:rPr>
      </w:r>
      <w:r>
        <w:rPr>
          <w:rFonts w:ascii="Times New Roman" w:hAnsi="Times New Roman" w:cs="Times New Roman" w:eastAsia="Times New Roman" w:hint="default"/>
        </w:rPr>
        <w:t>44</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left="232"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left="232" w:right="0"/>
        <w:jc w:val="left"/>
        <w:rPr>
          <w:b w:val="0"/>
          <w:bCs w:val="0"/>
        </w:rPr>
      </w:pPr>
      <w:bookmarkStart w:name="45、盈余公积" w:id="351"/>
      <w:bookmarkEnd w:id="351"/>
      <w:r>
        <w:rPr>
          <w:b w:val="0"/>
          <w:bCs w:val="0"/>
        </w:rPr>
      </w:r>
      <w:r>
        <w:rPr>
          <w:rFonts w:ascii="Times New Roman" w:hAnsi="Times New Roman" w:cs="Times New Roman" w:eastAsia="Times New Roman" w:hint="default"/>
        </w:rPr>
        <w:t>45</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28,016,004.53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28,016,004.53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28,016,004.53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28,016,004.53</w:t>
            </w:r>
          </w:p>
        </w:tc>
      </w:tr>
    </w:tbl>
    <w:p>
      <w:pPr>
        <w:pStyle w:val="BodyText"/>
        <w:spacing w:line="240" w:lineRule="auto" w:before="49"/>
        <w:ind w:left="232" w:right="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left="232" w:right="0"/>
        <w:jc w:val="left"/>
        <w:rPr>
          <w:b w:val="0"/>
          <w:bCs w:val="0"/>
        </w:rPr>
      </w:pPr>
      <w:bookmarkStart w:name="46、未分配利润" w:id="352"/>
      <w:bookmarkEnd w:id="352"/>
      <w:r>
        <w:rPr>
          <w:b w:val="0"/>
          <w:bCs w:val="0"/>
        </w:rPr>
      </w:r>
      <w:r>
        <w:rPr>
          <w:rFonts w:ascii="Times New Roman" w:hAnsi="Times New Roman" w:cs="Times New Roman" w:eastAsia="Times New Roman" w:hint="default"/>
        </w:rPr>
        <w:t>46</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-50,318,173.32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-143,597,876.20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-50,318,173.32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-143,597,876.20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-1,016,178,672.40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93,282,489.53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-2,786.65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-1,066,496,845.72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-50,318,173.32</w:t>
            </w:r>
          </w:p>
        </w:tc>
      </w:tr>
    </w:tbl>
    <w:p>
      <w:pPr>
        <w:pStyle w:val="BodyText"/>
        <w:spacing w:line="240" w:lineRule="auto" w:before="49"/>
        <w:ind w:left="232" w:right="0"/>
        <w:jc w:val="left"/>
      </w:pPr>
      <w:r>
        <w:rPr/>
        <w:t>调整期初未分配利润明细：</w:t>
      </w:r>
    </w:p>
    <w:p>
      <w:pPr>
        <w:pStyle w:val="BodyText"/>
        <w:spacing w:line="240" w:lineRule="auto" w:before="114"/>
        <w:ind w:left="232"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left="232" w:right="0"/>
        <w:jc w:val="left"/>
      </w:pPr>
      <w:r>
        <w:rPr>
          <w:rFonts w:ascii="Times New Roman" w:hAnsi="Times New Roman" w:cs="Times New Roman" w:eastAsia="Times New Roman" w:hint="default"/>
        </w:rPr>
        <w:t>2)</w:t>
      </w:r>
      <w:r>
        <w:rPr/>
        <w:t>、由于会计政策变更，影响期初未分配利润元。</w:t>
      </w:r>
    </w:p>
    <w:p>
      <w:pPr>
        <w:spacing w:after="0" w:line="240" w:lineRule="auto"/>
        <w:jc w:val="left"/>
        <w:sectPr>
          <w:pgSz w:w="11910" w:h="16840"/>
          <w:pgMar w:header="877" w:footer="980" w:top="1100" w:bottom="1160" w:left="90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4"/>
        <w:ind w:right="11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1"/>
        <w:ind w:right="1133"/>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47、营业收入和营业成本" w:id="353"/>
      <w:bookmarkEnd w:id="353"/>
      <w:r>
        <w:rPr>
          <w:b w:val="0"/>
          <w:bCs w:val="0"/>
        </w:rPr>
      </w:r>
      <w:r>
        <w:rPr>
          <w:rFonts w:ascii="Times New Roman" w:hAnsi="Times New Roman" w:cs="Times New Roman" w:eastAsia="Times New Roman" w:hint="default"/>
        </w:rPr>
        <w:t>47</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4"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2,022,690,017.02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1,651,221,355.39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732,603,420.49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428,186,591.81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2,347,851.88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2,096,669.28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2,536,574.51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2,150,207.91</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2,025,037,868.90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1,653,318,024.67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735,139,995.00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430,336,799.72</w:t>
            </w:r>
          </w:p>
        </w:tc>
      </w:tr>
    </w:tbl>
    <w:p>
      <w:pPr>
        <w:pStyle w:val="BodyText"/>
        <w:spacing w:line="240" w:lineRule="auto" w:before="49"/>
        <w:ind w:right="1133"/>
        <w:jc w:val="left"/>
      </w:pPr>
      <w:r>
        <w:rPr/>
        <w:t>是否已执行新收入准则</w:t>
      </w:r>
    </w:p>
    <w:p>
      <w:pPr>
        <w:pStyle w:val="BodyText"/>
        <w:spacing w:line="338" w:lineRule="auto" w:before="117"/>
        <w:ind w:right="92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48、税金及附加" w:id="354"/>
      <w:bookmarkEnd w:id="354"/>
      <w:r>
        <w:rPr>
          <w:b w:val="0"/>
          <w:bCs w:val="0"/>
        </w:rPr>
      </w:r>
      <w:r>
        <w:rPr>
          <w:rFonts w:ascii="Times New Roman" w:hAnsi="Times New Roman" w:cs="Times New Roman" w:eastAsia="Times New Roman" w:hint="default"/>
        </w:rPr>
        <w:t>48</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7,066,397.72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2,275,469.48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5,206,041.51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1,605,221.43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670,512.69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656,202.33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8,948.85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9,613.40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43,100.06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106,735.24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786,119.82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残保金等其他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164,756.76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13,319,249.63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5,540,483.28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9、销售费用" w:id="355"/>
      <w:bookmarkEnd w:id="355"/>
      <w:r>
        <w:rPr>
          <w:b w:val="0"/>
          <w:bCs w:val="0"/>
        </w:rPr>
      </w:r>
      <w:r>
        <w:rPr>
          <w:rFonts w:ascii="Times New Roman" w:hAnsi="Times New Roman" w:cs="Times New Roman" w:eastAsia="Times New Roman" w:hint="default"/>
        </w:rPr>
        <w:t>49</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19,318,078.89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17,238,936.43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909,976.10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1,121,879.06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52,476,783.33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21,789,533.06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608,420.29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1,693,944.34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17,657,154.95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7,404,152.52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1,509,944.16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1,486,505.54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299,648.24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2,129,755.56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累计折旧和摊销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893,874.16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732,789.94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1,000,677.84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931,210.32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94,674,557.96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54,528,706.77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0、管理费用" w:id="356"/>
      <w:bookmarkEnd w:id="356"/>
      <w:r>
        <w:rPr>
          <w:b w:val="0"/>
          <w:bCs w:val="0"/>
        </w:rPr>
      </w:r>
      <w:r>
        <w:rPr>
          <w:rFonts w:ascii="Times New Roman" w:hAnsi="Times New Roman" w:cs="Times New Roman" w:eastAsia="Times New Roman" w:hint="default"/>
        </w:rPr>
        <w:t>50</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49,245,857.66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29,877,911.75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7,967,449.03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9,684,652.06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4,146,303.08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3,192,874.61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26,865,958.60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19,764,129.55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2,497,027.86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3,196,780.00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810,835.12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3,410,478.37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18,388,827.93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6,917,633.64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4,870,963.63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3,904,289.92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2,672,092.22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2,469,765.31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安保费用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150,943.39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10,840,140.81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335,970.12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17,674.76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补偿金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1,756,874.66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7,603,827.22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委托管理费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2,605,047.19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120,887.00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123,347.92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证券事务费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1,129,057.14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1,513,086.53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91,897.17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227,511.71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557,629.83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369,822.26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4,422,289.39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13,073,198.48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8,782,834.78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7,589,140.18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1,484,888.27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687,901.63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5,238,700.00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140,439,386.88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132,415,913.90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1、研发费用" w:id="357"/>
      <w:bookmarkEnd w:id="357"/>
      <w:r>
        <w:rPr>
          <w:b w:val="0"/>
          <w:bCs w:val="0"/>
        </w:rPr>
      </w:r>
      <w:r>
        <w:rPr>
          <w:rFonts w:ascii="Times New Roman" w:hAnsi="Times New Roman" w:cs="Times New Roman" w:eastAsia="Times New Roman" w:hint="default"/>
        </w:rPr>
        <w:t>51</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105,845.72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667,925.12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7,142.86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32,777.50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11,182.50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856,491.00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30,993.71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设施费用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11,594.20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7,407.41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2,543.92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1,854,023.23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727,422.96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2、财务费用" w:id="358"/>
      <w:bookmarkEnd w:id="358"/>
      <w:r>
        <w:rPr>
          <w:b w:val="0"/>
          <w:bCs w:val="0"/>
        </w:rPr>
      </w:r>
      <w:r>
        <w:rPr>
          <w:rFonts w:ascii="Times New Roman" w:hAnsi="Times New Roman" w:cs="Times New Roman" w:eastAsia="Times New Roman" w:hint="default"/>
        </w:rPr>
        <w:t>52</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6,482,630.14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2,196,308.03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1,263,756.47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1,702,917.67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516,072.16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383,302.50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5,734,945.83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876,692.86</w:t>
            </w:r>
          </w:p>
        </w:tc>
      </w:tr>
    </w:tbl>
    <w:p>
      <w:pPr>
        <w:pStyle w:val="BodyText"/>
        <w:spacing w:line="240" w:lineRule="auto" w:before="49"/>
        <w:ind w:right="1133"/>
        <w:jc w:val="left"/>
      </w:pPr>
      <w:r>
        <w:rPr/>
        <w:t>其他说明：</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Heading3"/>
        <w:spacing w:line="240" w:lineRule="auto" w:before="36"/>
        <w:ind w:right="-12"/>
        <w:jc w:val="left"/>
        <w:rPr>
          <w:b w:val="0"/>
          <w:bCs w:val="0"/>
        </w:rPr>
      </w:pPr>
      <w:bookmarkStart w:name="53、其他收益" w:id="359"/>
      <w:bookmarkEnd w:id="359"/>
      <w:r>
        <w:rPr>
          <w:b w:val="0"/>
          <w:bCs w:val="0"/>
        </w:rPr>
      </w:r>
      <w:r>
        <w:rPr>
          <w:rFonts w:ascii="Times New Roman" w:hAnsi="Times New Roman" w:cs="Times New Roman" w:eastAsia="Times New Roman" w:hint="default"/>
          <w:spacing w:val="-1"/>
        </w:rPr>
        <w:t>53</w:t>
      </w:r>
      <w:r>
        <w:rPr>
          <w:spacing w:val="-1"/>
        </w:rPr>
        <w:t>、其他收益</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57"/>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508,140.00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减免税款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1,760,674.21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463,024.44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4,509,553.80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3,133,800.00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1,135,048.35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8,826.03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7,414,102.39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4,104,964.44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54、投资收益" w:id="360"/>
      <w:bookmarkEnd w:id="360"/>
      <w:r>
        <w:rPr>
          <w:b w:val="0"/>
          <w:bCs w:val="0"/>
        </w:rPr>
      </w:r>
      <w:r>
        <w:rPr>
          <w:rFonts w:ascii="Times New Roman" w:hAnsi="Times New Roman" w:cs="Times New Roman" w:eastAsia="Times New Roman" w:hint="default"/>
        </w:rPr>
        <w:t>54</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097"/>
        <w:gridCol w:w="1844"/>
        <w:gridCol w:w="1699"/>
      </w:tblGrid>
      <w:tr>
        <w:trPr>
          <w:trHeight w:val="403"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8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15,370,032.02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56,845,976.34</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8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-7,301,007.54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1,383,338.04</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其他权益工具投资在持有期间取得的股利收入</w:t>
            </w:r>
          </w:p>
        </w:tc>
        <w:tc>
          <w:tcPr>
            <w:tcW w:w="18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937,500.00</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844" w:type="dxa"/>
            <w:tcBorders>
              <w:top w:val="single" w:sz="4" w:space="0" w:color="000000"/>
              <w:left w:val="single" w:sz="12" w:space="0" w:color="D2D2D2"/>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12,498,373.09</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3,854,317.38</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购买日之前持有的股权按照公允价值重新计量产生的利得</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35,592,646.95</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以公允价值计量且其变动计入当期损益的金融资产在持有期间的投资收益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1,539,214.87</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10,545,739.35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110,174,651.80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5、净敞口套期收益" w:id="361"/>
      <w:bookmarkEnd w:id="361"/>
      <w:r>
        <w:rPr>
          <w:b w:val="0"/>
          <w:bCs w:val="0"/>
        </w:rPr>
      </w:r>
      <w:r>
        <w:rPr>
          <w:rFonts w:ascii="Times New Roman" w:hAnsi="Times New Roman" w:cs="Times New Roman" w:eastAsia="Times New Roman" w:hint="default"/>
        </w:rPr>
        <w:t>55</w:t>
      </w:r>
      <w:r>
        <w:rPr/>
        <w:t>、净敞口套期收益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6、公允价值变动收益" w:id="362"/>
      <w:bookmarkEnd w:id="362"/>
      <w:r>
        <w:rPr>
          <w:b w:val="0"/>
          <w:bCs w:val="0"/>
        </w:rPr>
      </w:r>
      <w:r>
        <w:rPr>
          <w:rFonts w:ascii="Times New Roman" w:hAnsi="Times New Roman" w:cs="Times New Roman" w:eastAsia="Times New Roman" w:hint="default"/>
        </w:rPr>
        <w:t>56</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37"/>
        <w:gridCol w:w="2410"/>
        <w:gridCol w:w="2693"/>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4"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559,786.67</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559,786.67</w:t>
            </w:r>
          </w:p>
        </w:tc>
        <w:tc>
          <w:tcPr>
            <w:tcW w:w="26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7、信用减值损失" w:id="363"/>
      <w:bookmarkEnd w:id="363"/>
      <w:r>
        <w:rPr>
          <w:b w:val="0"/>
          <w:bCs w:val="0"/>
        </w:rPr>
      </w:r>
      <w:r>
        <w:rPr>
          <w:rFonts w:ascii="Times New Roman" w:hAnsi="Times New Roman" w:cs="Times New Roman" w:eastAsia="Times New Roman" w:hint="default"/>
        </w:rPr>
        <w:t>57</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-69,917,925.88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-6,810,259.74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-76,728,185.62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left="472" w:right="1149"/>
        <w:jc w:val="left"/>
        <w:rPr>
          <w:b w:val="0"/>
          <w:bCs w:val="0"/>
        </w:rPr>
      </w:pPr>
      <w:bookmarkStart w:name="58、资产减值损失" w:id="364"/>
      <w:bookmarkEnd w:id="364"/>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660" w:right="0"/>
        </w:sectPr>
      </w:pPr>
    </w:p>
    <w:p>
      <w:pPr>
        <w:pStyle w:val="BodyText"/>
        <w:spacing w:line="240" w:lineRule="auto" w:before="44"/>
        <w:ind w:left="472" w:right="-20"/>
        <w:jc w:val="left"/>
      </w:pPr>
      <w:r>
        <w:rPr/>
        <w:t>是否已执行新收入准则</w:t>
      </w:r>
    </w:p>
    <w:p>
      <w:pPr>
        <w:pStyle w:val="BodyText"/>
        <w:spacing w:line="240" w:lineRule="auto" w:before="115"/>
        <w:ind w:left="472"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472" w:right="0"/>
        <w:jc w:val="left"/>
      </w:pPr>
      <w:r>
        <w:rPr/>
        <w:t>单位：</w:t>
      </w:r>
      <w:r>
        <w:rPr>
          <w:spacing w:val="1"/>
        </w:rPr>
        <w:t> </w:t>
      </w:r>
      <w:r>
        <w:rPr/>
        <w:t>元</w:t>
      </w:r>
    </w:p>
    <w:p>
      <w:pPr>
        <w:spacing w:after="0" w:line="240" w:lineRule="auto"/>
        <w:jc w:val="left"/>
        <w:sectPr>
          <w:type w:val="continuous"/>
          <w:pgSz w:w="11910" w:h="16840"/>
          <w:pgMar w:top="1060" w:bottom="1160" w:left="660" w:right="0"/>
          <w:cols w:num="2" w:equalWidth="0">
            <w:col w:w="2273" w:space="6556"/>
            <w:col w:w="2421"/>
          </w:cols>
        </w:sectPr>
      </w:pPr>
    </w:p>
    <w:p>
      <w:pPr>
        <w:spacing w:line="240" w:lineRule="auto" w:before="4"/>
        <w:rPr>
          <w:rFonts w:ascii="宋体" w:hAnsi="宋体" w:cs="宋体" w:eastAsia="宋体" w:hint="default"/>
          <w:sz w:val="8"/>
          <w:szCs w:val="8"/>
        </w:rPr>
      </w:pPr>
    </w:p>
    <w:tbl>
      <w:tblPr>
        <w:tblW w:w="0" w:type="auto"/>
        <w:jc w:val="left"/>
        <w:tblInd w:w="48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-3,374,397.07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-33,319,333.79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-89,784,876.13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-759,456,954.57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-882,561,164.49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-3,374,397.07</w:t>
            </w:r>
          </w:p>
        </w:tc>
      </w:tr>
    </w:tbl>
    <w:p>
      <w:pPr>
        <w:pStyle w:val="BodyText"/>
        <w:spacing w:line="240" w:lineRule="auto" w:before="49"/>
        <w:ind w:left="472" w:right="114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left="472" w:right="1149"/>
        <w:jc w:val="left"/>
        <w:rPr>
          <w:b w:val="0"/>
          <w:bCs w:val="0"/>
        </w:rPr>
      </w:pPr>
      <w:bookmarkStart w:name="59、资产处置收益" w:id="365"/>
      <w:bookmarkEnd w:id="365"/>
      <w:r>
        <w:rPr>
          <w:b w:val="0"/>
          <w:bCs w:val="0"/>
        </w:rPr>
      </w:r>
      <w:r>
        <w:rPr>
          <w:rFonts w:ascii="Times New Roman" w:hAnsi="Times New Roman" w:cs="Times New Roman" w:eastAsia="Times New Roman" w:hint="default"/>
        </w:rPr>
        <w:t>59</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67" w:type="dxa"/>
        <w:tblLayout w:type="fixed"/>
        <w:tblCellMar>
          <w:top w:w="0" w:type="dxa"/>
          <w:left w:w="0" w:type="dxa"/>
          <w:bottom w:w="0" w:type="dxa"/>
          <w:right w:w="0" w:type="dxa"/>
        </w:tblCellMar>
        <w:tblLook w:val="01E0"/>
      </w:tblPr>
      <w:tblGrid>
        <w:gridCol w:w="4112"/>
        <w:gridCol w:w="2552"/>
        <w:gridCol w:w="2977"/>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1"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-2,632,923.53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-539,891.94</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-2,632,923.53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-539,891.94</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-2,632,923.53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-539,891.94</w:t>
            </w:r>
          </w:p>
        </w:tc>
      </w:tr>
    </w:tbl>
    <w:p>
      <w:pPr>
        <w:spacing w:line="240" w:lineRule="auto" w:before="3"/>
        <w:rPr>
          <w:rFonts w:ascii="宋体" w:hAnsi="宋体" w:cs="宋体" w:eastAsia="宋体" w:hint="default"/>
          <w:sz w:val="19"/>
          <w:szCs w:val="19"/>
        </w:rPr>
      </w:pPr>
    </w:p>
    <w:p>
      <w:pPr>
        <w:pStyle w:val="Heading3"/>
        <w:spacing w:line="240" w:lineRule="auto" w:before="36"/>
        <w:ind w:left="472" w:right="1149"/>
        <w:jc w:val="left"/>
        <w:rPr>
          <w:b w:val="0"/>
          <w:bCs w:val="0"/>
        </w:rPr>
      </w:pPr>
      <w:bookmarkStart w:name="60、营业外收入" w:id="366"/>
      <w:bookmarkEnd w:id="366"/>
      <w:r>
        <w:rPr>
          <w:b w:val="0"/>
          <w:bCs w:val="0"/>
        </w:rPr>
      </w:r>
      <w:r>
        <w:rPr>
          <w:rFonts w:ascii="Times New Roman" w:hAnsi="Times New Roman" w:cs="Times New Roman" w:eastAsia="Times New Roman" w:hint="default"/>
        </w:rPr>
        <w:t>60</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67"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24,208,325.49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24,208,325.49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20,898,714.19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22,833,719.48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20,898,714.19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1,873,199.61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1,279,738.84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1,873,199.61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奖励收入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46,980,719.29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24,113,458.32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46,980,719.29</w:t>
            </w:r>
          </w:p>
        </w:tc>
      </w:tr>
    </w:tbl>
    <w:p>
      <w:pPr>
        <w:pStyle w:val="BodyText"/>
        <w:spacing w:line="240" w:lineRule="auto" w:before="49"/>
        <w:ind w:left="472" w:right="1149"/>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508"/>
        <w:gridCol w:w="1418"/>
        <w:gridCol w:w="1064"/>
        <w:gridCol w:w="1063"/>
        <w:gridCol w:w="1064"/>
        <w:gridCol w:w="1063"/>
        <w:gridCol w:w="1064"/>
        <w:gridCol w:w="1063"/>
        <w:gridCol w:w="1063"/>
      </w:tblGrid>
      <w:tr>
        <w:trPr>
          <w:trHeight w:val="715"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年市泛</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3315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计划财政奖励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
              <w:jc w:val="left"/>
              <w:rPr>
                <w:rFonts w:ascii="宋体" w:hAnsi="宋体" w:cs="宋体" w:eastAsia="宋体" w:hint="default"/>
                <w:sz w:val="18"/>
                <w:szCs w:val="18"/>
              </w:rPr>
            </w:pPr>
            <w:r>
              <w:rPr>
                <w:rFonts w:ascii="宋体" w:hAnsi="宋体" w:cs="宋体" w:eastAsia="宋体" w:hint="default"/>
                <w:spacing w:val="13"/>
                <w:sz w:val="18"/>
                <w:szCs w:val="18"/>
              </w:rPr>
              <w:t>宁波市镇海区财</w:t>
            </w:r>
            <w:r>
              <w:rPr>
                <w:rFonts w:ascii="宋体" w:hAnsi="宋体" w:cs="宋体" w:eastAsia="宋体" w:hint="default"/>
                <w:spacing w:val="-86"/>
                <w:sz w:val="18"/>
                <w:szCs w:val="18"/>
              </w:rPr>
              <w:t> </w:t>
            </w:r>
            <w:r>
              <w:rPr>
                <w:rFonts w:ascii="宋体" w:hAnsi="宋体" w:cs="宋体" w:eastAsia="宋体" w:hint="default"/>
                <w:sz w:val="18"/>
                <w:szCs w:val="18"/>
              </w:rPr>
              <w:t>政国库收付中心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
              <w:jc w:val="center"/>
              <w:rPr>
                <w:rFonts w:ascii="宋体" w:hAnsi="宋体" w:cs="宋体" w:eastAsia="宋体" w:hint="default"/>
                <w:sz w:val="18"/>
                <w:szCs w:val="18"/>
              </w:rPr>
            </w:pPr>
            <w:r>
              <w:rPr>
                <w:rFonts w:ascii="宋体" w:hAnsi="宋体" w:cs="宋体" w:eastAsia="宋体" w:hint="default"/>
                <w:sz w:val="18"/>
                <w:szCs w:val="18"/>
              </w:rPr>
              <w:t>校企合作实习生补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6" w:right="0"/>
              <w:jc w:val="center"/>
              <w:rPr>
                <w:rFonts w:ascii="宋体" w:hAnsi="宋体" w:cs="宋体" w:eastAsia="宋体" w:hint="default"/>
                <w:sz w:val="18"/>
                <w:szCs w:val="18"/>
              </w:rPr>
            </w:pPr>
            <w:r>
              <w:rPr>
                <w:rFonts w:ascii="宋体" w:hAnsi="宋体" w:cs="宋体" w:eastAsia="宋体" w:hint="default"/>
                <w:spacing w:val="13"/>
                <w:sz w:val="18"/>
                <w:szCs w:val="18"/>
              </w:rPr>
              <w:t>宁波市镇海区职</w:t>
            </w:r>
            <w:r>
              <w:rPr>
                <w:rFonts w:ascii="宋体" w:hAnsi="宋体" w:cs="宋体" w:eastAsia="宋体" w:hint="default"/>
                <w:spacing w:val="-74"/>
                <w:sz w:val="18"/>
                <w:szCs w:val="18"/>
              </w:rPr>
              <w:t> </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40"/>
          <w:pgMar w:top="1060" w:bottom="1160" w:left="660" w:right="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508"/>
        <w:gridCol w:w="1418"/>
        <w:gridCol w:w="1064"/>
        <w:gridCol w:w="1063"/>
        <w:gridCol w:w="1064"/>
        <w:gridCol w:w="1063"/>
        <w:gridCol w:w="1064"/>
        <w:gridCol w:w="1063"/>
        <w:gridCol w:w="1063"/>
      </w:tblGrid>
      <w:tr>
        <w:trPr>
          <w:trHeight w:val="363"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center"/>
              <w:rPr>
                <w:rFonts w:ascii="宋体" w:hAnsi="宋体" w:cs="宋体" w:eastAsia="宋体" w:hint="default"/>
                <w:sz w:val="18"/>
                <w:szCs w:val="18"/>
              </w:rPr>
            </w:pPr>
            <w:r>
              <w:rPr>
                <w:rFonts w:ascii="宋体" w:hAnsi="宋体" w:cs="宋体" w:eastAsia="宋体" w:hint="default"/>
                <w:sz w:val="18"/>
                <w:szCs w:val="18"/>
              </w:rPr>
              <w:t>业教育中心学校</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年实训基地 专项补助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pacing w:val="13"/>
                <w:sz w:val="18"/>
                <w:szCs w:val="18"/>
              </w:rPr>
              <w:t>宁波市镇海区职</w:t>
            </w:r>
            <w:r>
              <w:rPr>
                <w:rFonts w:ascii="宋体" w:hAnsi="宋体" w:cs="宋体" w:eastAsia="宋体" w:hint="default"/>
                <w:spacing w:val="-86"/>
                <w:sz w:val="18"/>
                <w:szCs w:val="18"/>
              </w:rPr>
              <w:t> </w:t>
            </w:r>
            <w:r>
              <w:rPr>
                <w:rFonts w:ascii="宋体" w:hAnsi="宋体" w:cs="宋体" w:eastAsia="宋体" w:hint="default"/>
                <w:sz w:val="18"/>
                <w:szCs w:val="18"/>
              </w:rPr>
              <w:t>业教育中心学校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瑞丽市人力资本服 务平台扶持款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瑞丽市人民政府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扶持款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24,072,325.4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left="472" w:right="114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left="472" w:right="1149"/>
        <w:jc w:val="left"/>
        <w:rPr>
          <w:b w:val="0"/>
          <w:bCs w:val="0"/>
        </w:rPr>
      </w:pPr>
      <w:bookmarkStart w:name="61、营业外支出" w:id="367"/>
      <w:bookmarkEnd w:id="367"/>
      <w:r>
        <w:rPr>
          <w:b w:val="0"/>
          <w:bCs w:val="0"/>
        </w:rPr>
      </w:r>
      <w:r>
        <w:rPr>
          <w:rFonts w:ascii="Times New Roman" w:hAnsi="Times New Roman" w:cs="Times New Roman" w:eastAsia="Times New Roman" w:hint="default"/>
        </w:rPr>
        <w:t>61</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67"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186,200.00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罚没支出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873,411.37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111,064.19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873,411.37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693,311.55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693,311.55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业绩补偿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22,395,842.55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9,828,991.06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22,395,842.55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3,106,114.20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19,593.61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3,106,114.20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429,944.09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2,328,285.74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429,944.09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处置长期资产损失（注）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161,113,677.20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79,397,756.31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161,113,677.20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188,612,300.96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91,876,890.91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188,612,300.96</w:t>
            </w:r>
          </w:p>
        </w:tc>
      </w:tr>
    </w:tbl>
    <w:p>
      <w:pPr>
        <w:pStyle w:val="BodyText"/>
        <w:spacing w:line="240" w:lineRule="auto" w:before="49"/>
        <w:ind w:left="472" w:right="1149"/>
        <w:jc w:val="left"/>
      </w:pPr>
      <w:r>
        <w:rPr/>
        <w:t>其他说明：</w:t>
      </w:r>
    </w:p>
    <w:p>
      <w:pPr>
        <w:pStyle w:val="BodyText"/>
        <w:spacing w:line="316" w:lineRule="auto" w:before="115"/>
        <w:ind w:left="472" w:right="1149" w:firstLine="425"/>
        <w:jc w:val="left"/>
      </w:pPr>
      <w:r>
        <w:rPr/>
        <w:t>注：本报告期子公司快马财税和孙公司快马咨询分别与霍尔果斯神州易桥股权投资合伙企业（有限合伙）、终端资产 原股东签署《终止合作协议》等原因，处置终端资产设立的分公司形成的处置长期资产损失。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left="472" w:right="1149"/>
        <w:jc w:val="left"/>
        <w:rPr>
          <w:b w:val="0"/>
          <w:bCs w:val="0"/>
        </w:rPr>
      </w:pPr>
      <w:bookmarkStart w:name="62、所得税费用" w:id="368"/>
      <w:bookmarkEnd w:id="368"/>
      <w:r>
        <w:rPr>
          <w:b w:val="0"/>
          <w:bCs w:val="0"/>
        </w:rPr>
      </w:r>
      <w:r>
        <w:rPr>
          <w:rFonts w:ascii="Times New Roman" w:hAnsi="Times New Roman" w:cs="Times New Roman" w:eastAsia="Times New Roman" w:hint="default"/>
        </w:rPr>
        <w:t>62</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472" w:right="1149"/>
        <w:jc w:val="left"/>
        <w:rPr>
          <w:b w:val="0"/>
          <w:bCs w:val="0"/>
        </w:rPr>
      </w:pPr>
      <w:bookmarkStart w:name="（1）所得税费用表" w:id="369"/>
      <w:bookmarkEnd w:id="36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8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41,787,806.77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42,846,904.12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-2,347,190.34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-579,714.96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39,440,616.43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42,267,189.16</w:t>
            </w:r>
          </w:p>
        </w:tc>
      </w:tr>
    </w:tbl>
    <w:p>
      <w:pPr>
        <w:spacing w:line="240" w:lineRule="auto" w:before="3"/>
        <w:rPr>
          <w:rFonts w:ascii="宋体" w:hAnsi="宋体" w:cs="宋体" w:eastAsia="宋体" w:hint="default"/>
          <w:sz w:val="19"/>
          <w:szCs w:val="19"/>
        </w:rPr>
      </w:pPr>
    </w:p>
    <w:p>
      <w:pPr>
        <w:pStyle w:val="Heading3"/>
        <w:spacing w:line="240" w:lineRule="auto" w:before="36"/>
        <w:ind w:left="472" w:right="1149"/>
        <w:jc w:val="left"/>
        <w:rPr>
          <w:b w:val="0"/>
          <w:bCs w:val="0"/>
        </w:rPr>
      </w:pPr>
      <w:bookmarkStart w:name="（2）会计利润与所得税费用调整过程" w:id="370"/>
      <w:bookmarkEnd w:id="37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5813"/>
        <w:gridCol w:w="3815"/>
      </w:tblGrid>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66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813"/>
        <w:gridCol w:w="3826"/>
      </w:tblGrid>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-969,336,546.20</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-242,334,136.55</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-1,856,996.33</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13,897.50</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3,751,834.67</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15,772,807.07</w:t>
            </w:r>
          </w:p>
        </w:tc>
      </w:tr>
      <w:tr>
        <w:trPr>
          <w:trHeight w:val="401"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265,218,101.91</w:t>
            </w:r>
          </w:p>
        </w:tc>
      </w:tr>
      <w:tr>
        <w:trPr>
          <w:trHeight w:val="403" w:hRule="exact"/>
        </w:trPr>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-590,082.21</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所得税减免优惠的影响</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-534,809.63</w:t>
            </w:r>
          </w:p>
        </w:tc>
      </w:tr>
      <w:tr>
        <w:trPr>
          <w:trHeight w:val="403"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39,440,616.43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3、其他综合收益" w:id="371"/>
      <w:bookmarkEnd w:id="371"/>
      <w:r>
        <w:rPr>
          <w:b w:val="0"/>
          <w:bCs w:val="0"/>
        </w:rPr>
      </w:r>
      <w:r>
        <w:rPr>
          <w:rFonts w:ascii="Times New Roman" w:hAnsi="Times New Roman" w:cs="Times New Roman" w:eastAsia="Times New Roman" w:hint="default"/>
        </w:rPr>
        <w:t>63</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4、现金流量表项目" w:id="372"/>
      <w:bookmarkEnd w:id="372"/>
      <w:r>
        <w:rPr>
          <w:b w:val="0"/>
          <w:bCs w:val="0"/>
        </w:rPr>
      </w:r>
      <w:r>
        <w:rPr>
          <w:rFonts w:ascii="Times New Roman" w:hAnsi="Times New Roman" w:cs="Times New Roman" w:eastAsia="Times New Roman" w:hint="default"/>
        </w:rPr>
        <w:t>64</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收到的其他与经营活动有关的现金" w:id="373"/>
      <w:bookmarkEnd w:id="37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1,263,756.47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1,702,917.67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补贴、扶持款收入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28,709,053.26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3,714,626.24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1,128.98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8,952,043.50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27,716,419.83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收到职工返还款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2,565,870.31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收税务返还个人所得税手续费及其他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8,826.03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17,791.23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收到上年度多交的所得税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154,993.18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12,372,278.40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109,836.17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收服务商保证金及其他押金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22,534,247.74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1,942,935.80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收到的代垫款项收入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13,981,153.96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87,821,359.36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37,926,519.41</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支付的其他与经营活动有关的现金" w:id="374"/>
      <w:bookmarkEnd w:id="37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付现销售费用、管理费用金额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133,802,708.44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109,218,979.81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5,065,976.43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3,278,485.11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13,197,485.06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罚款、赔偿及滞纳金支出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1,996,667.01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131,483.28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垫付合伙企业往来款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8,407,074.66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1,091,416.08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7,387,952.36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141,956,767.96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141,807,660.28</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收到的其他与投资活动有关的现金" w:id="375"/>
      <w:bookmarkEnd w:id="37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赎回理财产品收到的现金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346,169,517.18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346,169,517.18</w:t>
            </w: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支付的其他与投资活动有关的现金" w:id="376"/>
      <w:bookmarkEnd w:id="37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购买理财产品支付的现金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188,326,200.00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处置长期资产收回的现金负数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41,534,649.06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93,274,006.05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账户冻结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2,661,132.64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13,549,771.56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44,195,781.70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295,149,977.61</w:t>
            </w:r>
          </w:p>
        </w:tc>
      </w:tr>
    </w:tbl>
    <w:p>
      <w:pPr>
        <w:pStyle w:val="BodyText"/>
        <w:spacing w:line="240" w:lineRule="auto" w:before="49"/>
        <w:ind w:right="113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收到的其他与筹资活动有关的现金" w:id="377"/>
      <w:bookmarkEnd w:id="37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收股权退还款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41,098,103.00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112,993,252.36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41,098,103.00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112,993,252.36</w:t>
            </w:r>
          </w:p>
        </w:tc>
      </w:tr>
    </w:tbl>
    <w:p>
      <w:pPr>
        <w:pStyle w:val="BodyText"/>
        <w:spacing w:line="240" w:lineRule="auto" w:before="49"/>
        <w:ind w:right="1133"/>
        <w:jc w:val="left"/>
      </w:pPr>
      <w:r>
        <w:rPr/>
        <w:t>收到的其他与筹资活动有关的现金说明：</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6）支付的其他与筹资活动有关的现金" w:id="378"/>
      <w:bookmarkEnd w:id="37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6"/>
        <w:gridCol w:w="3192"/>
        <w:gridCol w:w="2902"/>
      </w:tblGrid>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孙公司注销向少数股东支付的现金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350,289.57</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非同一控制下跨期支付的收购款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141,336,494.17</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292,833,471.53</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支付股权激励证券公司登记费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2,834,673.60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119,520.00</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进一步收购少数股东权益支付的股权价款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12,600,000.00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156,771,167.77</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483,303,281.10</w:t>
            </w: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65、现金流量表补充资料" w:id="379"/>
      <w:bookmarkEnd w:id="379"/>
      <w:r>
        <w:rPr>
          <w:b w:val="0"/>
          <w:bCs w:val="0"/>
        </w:rPr>
      </w:r>
      <w:r>
        <w:rPr>
          <w:rFonts w:ascii="Times New Roman" w:hAnsi="Times New Roman" w:cs="Times New Roman" w:eastAsia="Times New Roman" w:hint="default"/>
        </w:rPr>
        <w:t>65</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现金流量表补充资料" w:id="380"/>
      <w:bookmarkEnd w:id="38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2704"/>
        <w:gridCol w:w="2552"/>
      </w:tblGrid>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-1,008,777,162.63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111,048,680.99</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882,561,164.49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3,374,397.07</w:t>
            </w:r>
          </w:p>
        </w:tc>
      </w:tr>
      <w:tr>
        <w:trPr>
          <w:trHeight w:val="71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产折旧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6,686,212.46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9,275,480.20</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20,263,436.24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12,537,569.41</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2,761,798.77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4,087,927.72</w:t>
            </w:r>
          </w:p>
        </w:tc>
      </w:tr>
      <w:tr>
        <w:trPr>
          <w:trHeight w:val="71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8"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163,746,600.73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79,937,648.25</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3,106,114.20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19,593.61</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-559,786.67</w:t>
            </w: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6,482,630.14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2,196,308.03</w:t>
            </w:r>
          </w:p>
        </w:tc>
      </w:tr>
      <w:tr>
        <w:trPr>
          <w:trHeight w:val="4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-10,545,739.35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-110,174,651.80</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-3,493,181.35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133,873.49</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1,257,505.57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704,063.45</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101,117.75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852,973.43</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-21,361,078.22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-627,869,881.87</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43,757,342.31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567,750,979.77</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76,728,185.62</w:t>
            </w: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162,715,160.06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53,874,961.75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73"/>
        <w:gridCol w:w="2704"/>
        <w:gridCol w:w="2552"/>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92" w:right="0"/>
              <w:jc w:val="left"/>
              <w:rPr>
                <w:rFonts w:ascii="Times New Roman" w:hAnsi="Times New Roman" w:cs="Times New Roman" w:eastAsia="Times New Roman" w:hint="default"/>
                <w:sz w:val="18"/>
                <w:szCs w:val="18"/>
              </w:rPr>
            </w:pPr>
            <w:r>
              <w:rPr>
                <w:rFonts w:ascii="Times New Roman"/>
                <w:sz w:val="18"/>
              </w:rPr>
              <w:t>--</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1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92" w:right="0"/>
              <w:jc w:val="left"/>
              <w:rPr>
                <w:rFonts w:ascii="Times New Roman" w:hAnsi="Times New Roman" w:cs="Times New Roman" w:eastAsia="Times New Roman" w:hint="default"/>
                <w:sz w:val="18"/>
                <w:szCs w:val="18"/>
              </w:rPr>
            </w:pPr>
            <w:r>
              <w:rPr>
                <w:rFonts w:ascii="Times New Roman"/>
                <w:sz w:val="18"/>
              </w:rPr>
              <w:t>--</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1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327,993,140.67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335,182,697.43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335,182,697.43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960,429,437.86</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-7,189,556.76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-625,246,740.43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支付的取得子公司的现金净额" w:id="381"/>
      <w:bookmarkEnd w:id="38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000"/>
        <w:gridCol w:w="4571"/>
      </w:tblGrid>
      <w:tr>
        <w:trPr>
          <w:trHeight w:val="402" w:hRule="exact"/>
        </w:trPr>
        <w:tc>
          <w:tcPr>
            <w:tcW w:w="5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9,850,000.00</w:t>
            </w:r>
          </w:p>
        </w:tc>
      </w:tr>
      <w:tr>
        <w:trPr>
          <w:trHeight w:val="401" w:hRule="exact"/>
        </w:trPr>
        <w:tc>
          <w:tcPr>
            <w:tcW w:w="5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天津易桥普达财务咨询有限公司</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9,850,000.00</w:t>
            </w:r>
          </w:p>
        </w:tc>
      </w:tr>
      <w:tr>
        <w:trPr>
          <w:trHeight w:val="402" w:hRule="exact"/>
        </w:trPr>
        <w:tc>
          <w:tcPr>
            <w:tcW w:w="5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7,699,993.71</w:t>
            </w:r>
          </w:p>
        </w:tc>
      </w:tr>
      <w:tr>
        <w:trPr>
          <w:trHeight w:val="402" w:hRule="exact"/>
        </w:trPr>
        <w:tc>
          <w:tcPr>
            <w:tcW w:w="5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2"/>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天津易桥普达财务咨询有限公司</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7,699,993.71</w:t>
            </w:r>
          </w:p>
        </w:tc>
      </w:tr>
      <w:tr>
        <w:trPr>
          <w:trHeight w:val="403" w:hRule="exact"/>
        </w:trPr>
        <w:tc>
          <w:tcPr>
            <w:tcW w:w="5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2,150,006.29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本期收到的处置子公司的现金净额" w:id="382"/>
      <w:bookmarkEnd w:id="38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454,000.00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神州易桥（北京）财税科技有限公司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454,000.00</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454,000.00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现金和现金等价物的构成" w:id="383"/>
      <w:bookmarkEnd w:id="38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327,993,140.67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26" w:right="0"/>
              <w:jc w:val="left"/>
              <w:rPr>
                <w:rFonts w:ascii="Times New Roman" w:hAnsi="Times New Roman" w:cs="Times New Roman" w:eastAsia="Times New Roman" w:hint="default"/>
                <w:sz w:val="18"/>
                <w:szCs w:val="18"/>
              </w:rPr>
            </w:pPr>
            <w:r>
              <w:rPr>
                <w:rFonts w:ascii="Times New Roman"/>
                <w:sz w:val="18"/>
              </w:rPr>
              <w:t>335,182,697.43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1,265,173.28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1,445,750.31</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326,727,674.10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333,736,947.12</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327,993,140.67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335,182,697.43</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16,210,904.21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13,549,771.57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5374" w:firstLine="0"/>
        <w:jc w:val="left"/>
        <w:rPr>
          <w:rFonts w:ascii="宋体" w:hAnsi="宋体" w:cs="宋体" w:eastAsia="宋体" w:hint="default"/>
          <w:sz w:val="21"/>
          <w:szCs w:val="21"/>
        </w:rPr>
      </w:pPr>
      <w:bookmarkStart w:name="66、所有者权益变动表项目注释" w:id="384"/>
      <w:bookmarkEnd w:id="384"/>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67、所有权或使用权受到限制的资产" w:id="385"/>
      <w:bookmarkEnd w:id="385"/>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16,210,904.21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涉诉冻结</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12,629,492.95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取得抵押借款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51,037,928.96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取得抵押借款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79,878,326.12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8、外币货币性项目" w:id="386"/>
      <w:bookmarkEnd w:id="386"/>
      <w:r>
        <w:rPr>
          <w:b w:val="0"/>
          <w:bCs w:val="0"/>
        </w:rPr>
      </w:r>
      <w:r>
        <w:rPr>
          <w:rFonts w:ascii="Times New Roman" w:hAnsi="Times New Roman" w:cs="Times New Roman" w:eastAsia="Times New Roman" w:hint="default"/>
        </w:rPr>
        <w:t>68</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外币货币性项目" w:id="387"/>
      <w:bookmarkEnd w:id="38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4"/>
        <w:gridCol w:w="2305"/>
        <w:gridCol w:w="2391"/>
        <w:gridCol w:w="2391"/>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8"/>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8"/>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8"/>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1133"/>
        <w:jc w:val="left"/>
        <w:rPr>
          <w:b w:val="0"/>
          <w:bCs w:val="0"/>
        </w:rPr>
      </w:pPr>
      <w:bookmarkStart w:name="（2）境外经营实体说明，包括对于重要的境外经营实体，应披露其境外主要经营地、记账" w:id="388"/>
      <w:bookmarkEnd w:id="38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69、套期" w:id="389"/>
      <w:bookmarkEnd w:id="389"/>
      <w:r>
        <w:rPr>
          <w:b w:val="0"/>
          <w:bCs w:val="0"/>
        </w:rPr>
      </w:r>
      <w:r>
        <w:rPr>
          <w:rFonts w:ascii="Times New Roman" w:hAnsi="Times New Roman" w:cs="Times New Roman" w:eastAsia="Times New Roman" w:hint="default"/>
        </w:rPr>
        <w:t>69</w:t>
      </w:r>
      <w:r>
        <w:rPr/>
        <w:t>、套期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70、政府补助" w:id="390"/>
      <w:bookmarkEnd w:id="390"/>
      <w:r>
        <w:rPr>
          <w:b w:val="0"/>
          <w:bCs w:val="0"/>
        </w:rPr>
      </w:r>
      <w:r>
        <w:rPr>
          <w:rFonts w:ascii="Times New Roman" w:hAnsi="Times New Roman" w:cs="Times New Roman" w:eastAsia="Times New Roman" w:hint="default"/>
        </w:rPr>
        <w:t>70</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政府补助基本情况" w:id="391"/>
      <w:bookmarkEnd w:id="391"/>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2127"/>
        <w:gridCol w:w="1982"/>
        <w:gridCol w:w="2269"/>
      </w:tblGrid>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30,921.00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30,921.00</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中介服务奖励补贴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3,317,300.00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3,317,300.00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瑞丽市人力资本服务平台扶持资金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24,072,325.49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24,072,325.49</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年市泛</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计划财政奖励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校企合作实习生补助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年实训基地专项补助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125,480.01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125,480.01</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248,377.97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248,377.97</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经济开发区转入奖励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736,474.82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736,474.82</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28,717,879.29</w:t>
            </w:r>
          </w:p>
        </w:tc>
        <w:tc>
          <w:tcPr>
            <w:tcW w:w="198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28,717,879.29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政府补助退回情况" w:id="392"/>
      <w:bookmarkEnd w:id="392"/>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487" w:lineRule="auto" w:before="36"/>
        <w:ind w:left="192" w:right="8330" w:firstLine="0"/>
        <w:jc w:val="left"/>
        <w:rPr>
          <w:rFonts w:ascii="宋体" w:hAnsi="宋体" w:cs="宋体" w:eastAsia="宋体" w:hint="default"/>
          <w:sz w:val="21"/>
          <w:szCs w:val="21"/>
        </w:rPr>
      </w:pPr>
      <w:bookmarkStart w:name="71、其他" w:id="393"/>
      <w:bookmarkEnd w:id="393"/>
      <w:r>
        <w:rPr/>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394"/>
      <w:bookmarkEnd w:id="394"/>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5"/>
      <w:bookmarkEnd w:id="39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left="192" w:right="0"/>
        <w:jc w:val="left"/>
        <w:rPr>
          <w:b w:val="0"/>
          <w:bCs w:val="0"/>
        </w:rPr>
      </w:pPr>
      <w:bookmarkStart w:name="（1）本期发生的非同一控制下企业合并" w:id="396"/>
      <w:bookmarkEnd w:id="39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19"/>
        <w:gridCol w:w="1063"/>
        <w:gridCol w:w="1205"/>
        <w:gridCol w:w="886"/>
        <w:gridCol w:w="761"/>
        <w:gridCol w:w="1066"/>
        <w:gridCol w:w="1061"/>
        <w:gridCol w:w="1275"/>
        <w:gridCol w:w="1061"/>
      </w:tblGrid>
      <w:tr>
        <w:trPr>
          <w:trHeight w:val="102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05"/>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2"/>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天津易桥普达财 务咨询有限公司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72,000,000.00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22,781,234.01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5,751,940.61</w:t>
            </w:r>
          </w:p>
        </w:tc>
      </w:tr>
    </w:tbl>
    <w:p>
      <w:pPr>
        <w:pStyle w:val="BodyText"/>
        <w:spacing w:line="240" w:lineRule="auto" w:before="49"/>
        <w:ind w:left="192"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left="192" w:right="0"/>
        <w:jc w:val="left"/>
        <w:rPr>
          <w:b w:val="0"/>
          <w:bCs w:val="0"/>
        </w:rPr>
      </w:pPr>
      <w:bookmarkStart w:name="（2）合并成本及商誉" w:id="397"/>
      <w:bookmarkEnd w:id="39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0" w:type="dxa"/>
        <w:tblLayout w:type="fixed"/>
        <w:tblCellMar>
          <w:top w:w="0" w:type="dxa"/>
          <w:left w:w="0" w:type="dxa"/>
          <w:bottom w:w="0" w:type="dxa"/>
          <w:right w:w="0" w:type="dxa"/>
        </w:tblCellMar>
        <w:tblLook w:val="01E0"/>
      </w:tblPr>
      <w:tblGrid>
        <w:gridCol w:w="5223"/>
        <w:gridCol w:w="4406"/>
      </w:tblGrid>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4" w:right="0"/>
              <w:jc w:val="left"/>
              <w:rPr>
                <w:rFonts w:ascii="宋体" w:hAnsi="宋体" w:cs="宋体" w:eastAsia="宋体" w:hint="default"/>
                <w:sz w:val="18"/>
                <w:szCs w:val="18"/>
              </w:rPr>
            </w:pPr>
            <w:r>
              <w:rPr>
                <w:rFonts w:ascii="宋体" w:hAnsi="宋体" w:cs="宋体" w:eastAsia="宋体" w:hint="default"/>
                <w:sz w:val="18"/>
                <w:szCs w:val="18"/>
              </w:rPr>
              <w:t>天津易桥普达财务咨询有限公司</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72,000,000.00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15,975,054.30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56,024,945.70</w:t>
            </w:r>
          </w:p>
        </w:tc>
      </w:tr>
    </w:tbl>
    <w:p>
      <w:pPr>
        <w:pStyle w:val="BodyText"/>
        <w:spacing w:line="357" w:lineRule="auto" w:before="49"/>
        <w:ind w:left="192" w:right="6074"/>
        <w:jc w:val="left"/>
      </w:pPr>
      <w:r>
        <w:rPr/>
        <w:t>合并成本公允价值的确定方法、或有对价及其变动的说明： 大额商誉形成的主要原因：</w:t>
      </w:r>
    </w:p>
    <w:p>
      <w:pPr>
        <w:pStyle w:val="BodyText"/>
        <w:spacing w:line="240" w:lineRule="auto" w:before="29"/>
        <w:ind w:left="192"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left="192" w:right="0"/>
        <w:jc w:val="left"/>
        <w:rPr>
          <w:b w:val="0"/>
          <w:bCs w:val="0"/>
        </w:rPr>
      </w:pPr>
      <w:bookmarkStart w:name="（3）被购买方于购买日可辨认资产、负债" w:id="398"/>
      <w:bookmarkEnd w:id="39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0" w:type="dxa"/>
        <w:tblLayout w:type="fixed"/>
        <w:tblCellMar>
          <w:top w:w="0" w:type="dxa"/>
          <w:left w:w="0" w:type="dxa"/>
          <w:bottom w:w="0" w:type="dxa"/>
          <w:right w:w="0" w:type="dxa"/>
        </w:tblCellMar>
        <w:tblLook w:val="01E0"/>
      </w:tblPr>
      <w:tblGrid>
        <w:gridCol w:w="3168"/>
        <w:gridCol w:w="3201"/>
        <w:gridCol w:w="3193"/>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26,539,767.57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26,539,767.57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7,699,993.71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7,699,993.71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190,747.74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190,747.74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1,148,543.71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1,148,543.71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4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349,278.53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349,278.53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16,219,886.22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16,219,886.22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891,317.66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891,317.66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10,564,713.27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10,564,713.27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7,935,637.74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7,935,637.74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595,463.16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595,463.16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1,617,382.33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1,617,382.33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413,930.04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413,930.04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15,975,054.30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15,975,054.30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15,975,054.30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15,975,054.30</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bookmarkStart w:name="（4）购买日之前持有的股权按照公允价值重新计量产生的利得或损失" w:id="399"/>
      <w:bookmarkEnd w:id="39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5）购买日或合并当期期末无法合理确定合并对价或被购买方可辨认资产、负债公允价值" w:id="400"/>
      <w:bookmarkEnd w:id="40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401"/>
      <w:bookmarkEnd w:id="401"/>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402"/>
      <w:bookmarkEnd w:id="40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403"/>
      <w:bookmarkEnd w:id="403"/>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合并成本" w:id="404"/>
      <w:bookmarkEnd w:id="40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4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1133"/>
        <w:jc w:val="left"/>
      </w:pPr>
      <w:r>
        <w:rPr/>
        <w:t>或有对价及其变动的说明：</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752"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left="752" w:right="0"/>
        <w:jc w:val="left"/>
        <w:rPr>
          <w:b w:val="0"/>
          <w:bCs w:val="0"/>
        </w:rPr>
      </w:pPr>
      <w:bookmarkStart w:name="（3）合并日被合并方资产、负债的账面价值" w:id="405"/>
      <w:bookmarkEnd w:id="405"/>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7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181;top:14;width:2;height:394" coordorigin="3181,14" coordsize="2,394">
              <v:shape style="position:absolute;left:3181;top:14;width:2;height:394" coordorigin="3181,14" coordsize="0,394" path="m3181,14l3181,408e" filled="false" stroked="true" strokeweight="1.2pt" strokecolor="#d2d2d2">
                <v:path arrowok="t"/>
              </v:shape>
            </v:group>
            <v:group style="position:absolute;left:34;top:14;width:3136;height:394" coordorigin="34,14" coordsize="3136,394">
              <v:shape style="position:absolute;left:34;top:14;width:3136;height:394" coordorigin="34,14" coordsize="3136,394" path="m34,408l3169,408,3169,14,34,14,34,408xe" filled="true" fillcolor="#d2d2d2" stroked="false">
                <v:path arrowok="t"/>
                <v:fill type="solid"/>
              </v:shape>
            </v:group>
            <v:group style="position:absolute;left:3213;top:14;width:2;height:394" coordorigin="3213,14" coordsize="2,394">
              <v:shape style="position:absolute;left:3213;top:14;width:2;height:394" coordorigin="3213,14" coordsize="0,394" path="m3213,14l3213,408e" filled="false" stroked="true" strokeweight="1.08pt" strokecolor="#d2d2d2">
                <v:path arrowok="t"/>
              </v:shape>
            </v:group>
            <v:group style="position:absolute;left:9561;top:14;width:2;height:394" coordorigin="9561,14" coordsize="2,394">
              <v:shape style="position:absolute;left:9561;top:14;width:2;height:394" coordorigin="9561,14" coordsize="0,394" path="m9561,14l9561,408e" filled="false" stroked="true" strokeweight="1.2pt" strokecolor="#d2d2d2">
                <v:path arrowok="t"/>
              </v:shape>
            </v:group>
            <v:group style="position:absolute;left:3224;top:14;width:6325;height:394" coordorigin="3224,14" coordsize="6325,394">
              <v:shape style="position:absolute;left:3224;top:14;width:6325;height:394" coordorigin="3224,14" coordsize="6325,394" path="m3224,408l9549,408,9549,14,3224,14,3224,408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1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1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1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3;width:319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4"/>
        <w:ind w:left="752" w:right="7514"/>
        <w:jc w:val="left"/>
      </w:pPr>
      <w:r>
        <w:rPr/>
        <w:t>企业合并中承担的被合并方的或有负债： 其他说明：</w:t>
      </w:r>
    </w:p>
    <w:p>
      <w:pPr>
        <w:spacing w:line="240" w:lineRule="auto" w:before="2"/>
        <w:rPr>
          <w:rFonts w:ascii="宋体" w:hAnsi="宋体" w:cs="宋体" w:eastAsia="宋体" w:hint="default"/>
          <w:sz w:val="20"/>
          <w:szCs w:val="20"/>
        </w:rPr>
      </w:pPr>
    </w:p>
    <w:p>
      <w:pPr>
        <w:pStyle w:val="Heading3"/>
        <w:spacing w:line="240" w:lineRule="auto"/>
        <w:ind w:left="752" w:right="0"/>
        <w:jc w:val="left"/>
        <w:rPr>
          <w:b w:val="0"/>
          <w:bCs w:val="0"/>
        </w:rPr>
      </w:pPr>
      <w:bookmarkStart w:name="3、反向购买" w:id="406"/>
      <w:bookmarkEnd w:id="40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752"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10"/>
        <w:rPr>
          <w:rFonts w:ascii="宋体" w:hAnsi="宋体" w:cs="宋体" w:eastAsia="宋体" w:hint="default"/>
          <w:sz w:val="22"/>
          <w:szCs w:val="22"/>
        </w:rPr>
      </w:pPr>
    </w:p>
    <w:p>
      <w:pPr>
        <w:pStyle w:val="Heading3"/>
        <w:spacing w:line="240" w:lineRule="auto"/>
        <w:ind w:left="752" w:right="0"/>
        <w:jc w:val="left"/>
        <w:rPr>
          <w:b w:val="0"/>
          <w:bCs w:val="0"/>
        </w:rPr>
      </w:pPr>
      <w:bookmarkStart w:name="4、处置子公司" w:id="407"/>
      <w:bookmarkEnd w:id="40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380" w:right="0"/>
        </w:sectPr>
      </w:pPr>
    </w:p>
    <w:p>
      <w:pPr>
        <w:pStyle w:val="BodyText"/>
        <w:spacing w:line="240" w:lineRule="auto" w:before="44"/>
        <w:ind w:left="752" w:right="-20"/>
        <w:jc w:val="left"/>
      </w:pPr>
      <w:r>
        <w:rPr/>
        <w:t>是否存在单次处置对子公司投资即丧失控制权的情形</w:t>
      </w:r>
    </w:p>
    <w:p>
      <w:pPr>
        <w:pStyle w:val="BodyText"/>
        <w:spacing w:line="240" w:lineRule="auto" w:before="115"/>
        <w:ind w:left="752"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752" w:right="0"/>
        <w:jc w:val="left"/>
      </w:pPr>
      <w:r>
        <w:rPr/>
        <w:t>单位：</w:t>
      </w:r>
      <w:r>
        <w:rPr>
          <w:spacing w:val="1"/>
        </w:rPr>
        <w:t> </w:t>
      </w:r>
      <w:r>
        <w:rPr/>
        <w:t>元</w:t>
      </w:r>
    </w:p>
    <w:p>
      <w:pPr>
        <w:spacing w:after="0" w:line="240" w:lineRule="auto"/>
        <w:jc w:val="left"/>
        <w:sectPr>
          <w:type w:val="continuous"/>
          <w:pgSz w:w="11910" w:h="16840"/>
          <w:pgMar w:top="1060" w:bottom="1160" w:left="380" w:right="0"/>
          <w:cols w:num="2" w:equalWidth="0">
            <w:col w:w="4893" w:space="3936"/>
            <w:col w:w="2701"/>
          </w:cols>
        </w:sectPr>
      </w:pP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700"/>
        <w:gridCol w:w="1277"/>
        <w:gridCol w:w="737"/>
        <w:gridCol w:w="552"/>
        <w:gridCol w:w="938"/>
        <w:gridCol w:w="735"/>
        <w:gridCol w:w="1109"/>
        <w:gridCol w:w="528"/>
        <w:gridCol w:w="569"/>
        <w:gridCol w:w="567"/>
        <w:gridCol w:w="718"/>
        <w:gridCol w:w="737"/>
        <w:gridCol w:w="737"/>
      </w:tblGrid>
      <w:tr>
        <w:trPr>
          <w:trHeight w:val="2897"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95"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93"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05" w:right="101"/>
              <w:jc w:val="left"/>
              <w:rPr>
                <w:rFonts w:ascii="宋体" w:hAnsi="宋体" w:cs="宋体" w:eastAsia="宋体" w:hint="default"/>
                <w:sz w:val="18"/>
                <w:szCs w:val="18"/>
              </w:rPr>
            </w:pPr>
            <w:r>
              <w:rPr>
                <w:rFonts w:ascii="宋体" w:hAnsi="宋体" w:cs="宋体" w:eastAsia="宋体" w:hint="default"/>
                <w:sz w:val="18"/>
                <w:szCs w:val="18"/>
              </w:rPr>
              <w:t>丧失控制 权的时点</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8"/>
              <w:jc w:val="both"/>
              <w:rPr>
                <w:rFonts w:ascii="宋体" w:hAnsi="宋体" w:cs="宋体" w:eastAsia="宋体" w:hint="default"/>
                <w:sz w:val="18"/>
                <w:szCs w:val="18"/>
              </w:rPr>
            </w:pPr>
            <w:r>
              <w:rPr>
                <w:rFonts w:ascii="宋体" w:hAnsi="宋体" w:cs="宋体" w:eastAsia="宋体" w:hint="default"/>
                <w:sz w:val="18"/>
                <w:szCs w:val="18"/>
              </w:rPr>
              <w:t>处置价款与 处置投资对 应的合并财 务报表层面 享有该子公 司净资产份 额的差额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7"/>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比例</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 价值</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公允 价值</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3"/>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02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both"/>
              <w:rPr>
                <w:rFonts w:ascii="宋体" w:hAnsi="宋体" w:cs="宋体" w:eastAsia="宋体" w:hint="default"/>
                <w:sz w:val="18"/>
                <w:szCs w:val="18"/>
              </w:rPr>
            </w:pPr>
            <w:r>
              <w:rPr>
                <w:rFonts w:ascii="宋体" w:hAnsi="宋体" w:cs="宋体" w:eastAsia="宋体" w:hint="default"/>
                <w:sz w:val="18"/>
                <w:szCs w:val="18"/>
              </w:rPr>
              <w:t>企业管家（北京）科 技服务有限公司子公 司处置所属单位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83,804,224.99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sz w:val="18"/>
                <w:szCs w:val="18"/>
              </w:rPr>
              <w:t>控制权 已转移</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-3,363,275.01</w:t>
            </w:r>
          </w:p>
        </w:tc>
        <w:tc>
          <w:tcPr>
            <w:tcW w:w="5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5"/>
              <w:jc w:val="both"/>
              <w:rPr>
                <w:rFonts w:ascii="宋体" w:hAnsi="宋体" w:cs="宋体" w:eastAsia="宋体" w:hint="default"/>
                <w:sz w:val="18"/>
                <w:szCs w:val="18"/>
              </w:rPr>
            </w:pPr>
            <w:r>
              <w:rPr>
                <w:rFonts w:ascii="宋体" w:hAnsi="宋体" w:cs="宋体" w:eastAsia="宋体" w:hint="default"/>
                <w:sz w:val="18"/>
                <w:szCs w:val="18"/>
              </w:rPr>
              <w:t>霍尔果斯快马财税管 理服务有限公司处置 所属单位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511,455,900.00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59"/>
              <w:jc w:val="left"/>
              <w:rPr>
                <w:rFonts w:ascii="宋体" w:hAnsi="宋体" w:cs="宋体" w:eastAsia="宋体" w:hint="default"/>
                <w:sz w:val="18"/>
                <w:szCs w:val="18"/>
              </w:rPr>
            </w:pPr>
            <w:r>
              <w:rPr>
                <w:rFonts w:ascii="宋体" w:hAnsi="宋体" w:cs="宋体" w:eastAsia="宋体" w:hint="default"/>
                <w:sz w:val="18"/>
                <w:szCs w:val="18"/>
              </w:rPr>
              <w:t>控制权 已转移</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8,001,871.80</w:t>
            </w:r>
          </w:p>
        </w:tc>
        <w:tc>
          <w:tcPr>
            <w:tcW w:w="5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left="752" w:right="4994"/>
        <w:jc w:val="left"/>
      </w:pPr>
      <w:r>
        <w:rPr/>
        <w:t>其他说明： 是否存在通过多次交易分步处置对子公司投资且在本期丧失控制权的情形</w:t>
      </w:r>
    </w:p>
    <w:p>
      <w:pPr>
        <w:pStyle w:val="BodyText"/>
        <w:spacing w:line="240" w:lineRule="auto" w:before="25"/>
        <w:ind w:left="75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left="752" w:right="0"/>
        <w:jc w:val="left"/>
        <w:rPr>
          <w:b w:val="0"/>
          <w:bCs w:val="0"/>
        </w:rPr>
      </w:pPr>
      <w:bookmarkStart w:name="5、其他原因的合并范围变动" w:id="408"/>
      <w:bookmarkEnd w:id="40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52" w:right="0"/>
        <w:jc w:val="left"/>
      </w:pPr>
      <w:r>
        <w:rPr/>
        <w:t>说明其他原因导致的合并范围变动（如，新设子公司、清算子公司等）及其相关情况：</w:t>
      </w:r>
    </w:p>
    <w:p>
      <w:pPr>
        <w:spacing w:after="0" w:line="240" w:lineRule="auto"/>
        <w:jc w:val="left"/>
        <w:sectPr>
          <w:type w:val="continuous"/>
          <w:pgSz w:w="11910" w:h="16840"/>
          <w:pgMar w:top="1060" w:bottom="1160" w:left="380" w:right="0"/>
        </w:sectPr>
      </w:pPr>
    </w:p>
    <w:p>
      <w:pPr>
        <w:spacing w:line="240" w:lineRule="auto" w:before="11"/>
        <w:rPr>
          <w:rFonts w:ascii="宋体" w:hAnsi="宋体" w:cs="宋体" w:eastAsia="宋体" w:hint="default"/>
          <w:sz w:val="20"/>
          <w:szCs w:val="20"/>
        </w:rPr>
      </w:pPr>
    </w:p>
    <w:p>
      <w:pPr>
        <w:spacing w:line="487" w:lineRule="auto" w:before="36"/>
        <w:ind w:left="152" w:right="8104" w:firstLine="0"/>
        <w:jc w:val="left"/>
        <w:rPr>
          <w:rFonts w:ascii="宋体" w:hAnsi="宋体" w:cs="宋体" w:eastAsia="宋体" w:hint="default"/>
          <w:sz w:val="21"/>
          <w:szCs w:val="21"/>
        </w:rPr>
      </w:pPr>
      <w:bookmarkStart w:name="6、其他" w:id="409"/>
      <w:bookmarkEnd w:id="40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10"/>
      <w:bookmarkEnd w:id="410"/>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11"/>
      <w:bookmarkEnd w:id="41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133"/>
        <w:jc w:val="left"/>
        <w:rPr>
          <w:b w:val="0"/>
          <w:bCs w:val="0"/>
        </w:rPr>
      </w:pPr>
      <w:bookmarkStart w:name="（1）企业集团的构成" w:id="412"/>
      <w:bookmarkEnd w:id="41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85"/>
        <w:gridCol w:w="1181"/>
        <w:gridCol w:w="1277"/>
        <w:gridCol w:w="992"/>
        <w:gridCol w:w="994"/>
        <w:gridCol w:w="991"/>
        <w:gridCol w:w="1985"/>
      </w:tblGrid>
      <w:tr>
        <w:trPr>
          <w:trHeight w:val="403"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8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青海宁达创业投资有限 责任公司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通过设立或投资等方式</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5"/>
                <w:sz w:val="18"/>
                <w:szCs w:val="18"/>
              </w:rPr>
              <w:t>神州易桥（北京）财税科</w:t>
            </w:r>
            <w:r>
              <w:rPr>
                <w:rFonts w:ascii="宋体" w:hAnsi="宋体" w:cs="宋体" w:eastAsia="宋体" w:hint="default"/>
                <w:sz w:val="18"/>
                <w:szCs w:val="18"/>
              </w:rPr>
              <w:t> 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5"/>
                <w:sz w:val="18"/>
                <w:szCs w:val="18"/>
              </w:rPr>
              <w:t>企业管家（北京）科技信</w:t>
            </w:r>
            <w:r>
              <w:rPr>
                <w:rFonts w:ascii="宋体" w:hAnsi="宋体" w:cs="宋体" w:eastAsia="宋体" w:hint="default"/>
                <w:sz w:val="18"/>
                <w:szCs w:val="18"/>
              </w:rPr>
              <w:t> 息服务有限公司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通过设立或投资等方式</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北京办饭餐饮服务有限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餐饮服务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通过设立或投资</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霍尔果斯快马财税管理 服务有限公司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pStyle w:val="BodyText"/>
        <w:spacing w:line="357" w:lineRule="auto" w:before="49"/>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4"/>
        <w:jc w:val="left"/>
      </w:pPr>
      <w:r>
        <w:rPr/>
        <w:t>确定公司是代理人还是委托人的依据： 其他说明：</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bookmarkStart w:name="（2）重要的非全资子公司" w:id="413"/>
      <w:bookmarkEnd w:id="41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4"/>
        <w:gridCol w:w="1702"/>
        <w:gridCol w:w="1560"/>
        <w:gridCol w:w="1702"/>
        <w:gridCol w:w="1913"/>
      </w:tblGrid>
      <w:tr>
        <w:trPr>
          <w:trHeight w:val="764"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415" w:right="53" w:hanging="360"/>
              <w:jc w:val="left"/>
              <w:rPr>
                <w:rFonts w:ascii="宋体" w:hAnsi="宋体" w:cs="宋体" w:eastAsia="宋体" w:hint="default"/>
                <w:sz w:val="18"/>
                <w:szCs w:val="18"/>
              </w:rPr>
            </w:pPr>
            <w:r>
              <w:rPr>
                <w:rFonts w:ascii="宋体" w:hAnsi="宋体" w:cs="宋体" w:eastAsia="宋体" w:hint="default"/>
                <w:sz w:val="18"/>
                <w:szCs w:val="18"/>
              </w:rPr>
              <w:t>本期归属于少数股 东的损益</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395" w:right="34"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青海宁达创业投资有限责任公司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3" w:right="0"/>
              <w:jc w:val="left"/>
              <w:rPr>
                <w:rFonts w:ascii="Times New Roman" w:hAnsi="Times New Roman" w:cs="Times New Roman" w:eastAsia="Times New Roman" w:hint="default"/>
                <w:sz w:val="18"/>
                <w:szCs w:val="18"/>
              </w:rPr>
            </w:pPr>
            <w:r>
              <w:rPr>
                <w:rFonts w:ascii="Times New Roman"/>
                <w:sz w:val="18"/>
              </w:rPr>
              <w:t>49.00%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sz w:val="18"/>
              </w:rPr>
              <w:t>239,865.94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21,510,904.76</w:t>
            </w:r>
          </w:p>
        </w:tc>
      </w:tr>
    </w:tbl>
    <w:p>
      <w:pPr>
        <w:pStyle w:val="BodyText"/>
        <w:spacing w:line="360" w:lineRule="auto" w:before="49"/>
        <w:ind w:right="6434"/>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bookmarkStart w:name="（3）重要非全资子公司的主要财务信息" w:id="414"/>
      <w:bookmarkEnd w:id="41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734"/>
        <w:gridCol w:w="737"/>
        <w:gridCol w:w="737"/>
        <w:gridCol w:w="734"/>
        <w:gridCol w:w="737"/>
        <w:gridCol w:w="735"/>
        <w:gridCol w:w="734"/>
        <w:gridCol w:w="734"/>
        <w:gridCol w:w="737"/>
        <w:gridCol w:w="737"/>
        <w:gridCol w:w="734"/>
        <w:gridCol w:w="726"/>
      </w:tblGrid>
      <w:tr>
        <w:trPr>
          <w:trHeight w:val="401"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330" w:right="60"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负债合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负债合</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52"/>
        <w:gridCol w:w="734"/>
        <w:gridCol w:w="737"/>
        <w:gridCol w:w="737"/>
        <w:gridCol w:w="734"/>
        <w:gridCol w:w="737"/>
        <w:gridCol w:w="735"/>
        <w:gridCol w:w="734"/>
        <w:gridCol w:w="734"/>
        <w:gridCol w:w="737"/>
        <w:gridCol w:w="737"/>
        <w:gridCol w:w="734"/>
        <w:gridCol w:w="737"/>
      </w:tblGrid>
      <w:tr>
        <w:trPr>
          <w:trHeight w:val="36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青海宁达 创业投资 有限责任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29,912,5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47,412,5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3,512,70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3,512,70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28,245,1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37,200,0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65,445,1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2,334,90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2,334,90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0.99</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924"/>
        <w:gridCol w:w="1064"/>
        <w:gridCol w:w="1210"/>
        <w:gridCol w:w="1066"/>
        <w:gridCol w:w="914"/>
        <w:gridCol w:w="1133"/>
        <w:gridCol w:w="1136"/>
        <w:gridCol w:w="1133"/>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3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综合收益总额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3" w:right="111"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青海宁达创 业投资有限 责任公司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489,522.34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-19,210,477.67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77,455.12</w:t>
            </w:r>
          </w:p>
        </w:tc>
        <w:tc>
          <w:tcPr>
            <w:tcW w:w="91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-1,425,664.86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-1,425,664.86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-1,963,671.86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使用企业集团资产和清偿企业集团债务的重大限制" w:id="415"/>
      <w:bookmarkEnd w:id="41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向纳入合并财务报表范围的结构化主体提供的财务支持或其他支持" w:id="416"/>
      <w:bookmarkEnd w:id="41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在子公司的所有者权益份额发生变化且仍控制子公司的交易" w:id="417"/>
      <w:bookmarkEnd w:id="41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在子公司所有者权益份额发生变化的情况说明" w:id="418"/>
      <w:bookmarkEnd w:id="41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交易对于少数股东权益及归属于母公司所有者权益的影响" w:id="419"/>
      <w:bookmarkEnd w:id="41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宁波神州开元会计服务有限公司公司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常州易浩企业管理有限公司</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2,673,200.00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2,673,200.00</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173,969,592.15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1,243,823.22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-83,969,592.15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1,429,376.78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-83,969,592.15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1,429,376.78</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3、在合营安排或联营企业中的权益" w:id="420"/>
      <w:bookmarkEnd w:id="42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的合营企业或联营企业" w:id="421"/>
      <w:bookmarkEnd w:id="42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27"/>
        <w:gridCol w:w="1369"/>
        <w:gridCol w:w="1366"/>
        <w:gridCol w:w="1095"/>
        <w:gridCol w:w="1133"/>
        <w:gridCol w:w="1136"/>
        <w:gridCol w:w="1366"/>
      </w:tblGrid>
      <w:tr>
        <w:trPr>
          <w:trHeight w:val="403"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095"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吉林省嘉孚化学工业股份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河北兴石创业投资有限公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广西海东科技创业投资有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广州网融信息技术有限公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霍尔果斯神州易桥股权投 资合伙企业（有限合伙）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霍尔果斯中企易桥股权投 资合伙企业（有限合伙）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133"/>
        <w:jc w:val="left"/>
      </w:pPr>
      <w:r>
        <w:rPr/>
        <w:t>在合营企业或联营企业的持股比例不同于表决权比例的说明：</w:t>
      </w:r>
    </w:p>
    <w:p>
      <w:pPr>
        <w:pStyle w:val="BodyText"/>
        <w:spacing w:line="300" w:lineRule="auto" w:before="115"/>
        <w:ind w:right="1133" w:firstLine="432"/>
        <w:jc w:val="left"/>
      </w:pPr>
      <w:r>
        <w:rPr>
          <w:rFonts w:ascii="Times New Roman" w:hAnsi="Times New Roman" w:cs="Times New Roman" w:eastAsia="Times New Roman" w:hint="default"/>
          <w:spacing w:val="-2"/>
        </w:rPr>
        <w:t>1</w:t>
      </w:r>
      <w:r>
        <w:rPr>
          <w:spacing w:val="-2"/>
        </w:rPr>
        <w:t>、北京财税科技持有霍尔果斯神州易桥股权投资合伙企业（有限合伙）</w:t>
      </w:r>
      <w:r>
        <w:rPr>
          <w:rFonts w:ascii="Times New Roman" w:hAnsi="Times New Roman" w:cs="Times New Roman" w:eastAsia="Times New Roman" w:hint="default"/>
          <w:spacing w:val="-2"/>
        </w:rPr>
        <w:t>10.23%</w:t>
      </w:r>
      <w:r>
        <w:rPr>
          <w:spacing w:val="-2"/>
        </w:rPr>
        <w:t>（按照实缴比例计算）的股权具有重大</w:t>
      </w:r>
      <w:r>
        <w:rPr/>
        <w:t> 影响的原因：</w:t>
      </w:r>
    </w:p>
    <w:p>
      <w:pPr>
        <w:pStyle w:val="BodyText"/>
        <w:spacing w:line="300" w:lineRule="auto" w:before="31"/>
        <w:ind w:right="1123" w:firstLine="504"/>
        <w:jc w:val="left"/>
      </w:pPr>
      <w:r>
        <w:rPr>
          <w:spacing w:val="-1"/>
        </w:rPr>
        <w:t>霍尔果斯神州易桥股权投资合伙企业（有限合伙）设有投资决策委员会，投资决策委员会设</w:t>
      </w:r>
      <w:r>
        <w:rPr>
          <w:rFonts w:ascii="Times New Roman" w:hAnsi="Times New Roman" w:cs="Times New Roman" w:eastAsia="Times New Roman" w:hint="default"/>
          <w:spacing w:val="-1"/>
        </w:rPr>
        <w:t>5</w:t>
      </w:r>
      <w:r>
        <w:rPr>
          <w:spacing w:val="-1"/>
        </w:rPr>
        <w:t>名成员，</w:t>
      </w:r>
      <w:r>
        <w:rPr>
          <w:rFonts w:ascii="Times New Roman" w:hAnsi="Times New Roman" w:cs="Times New Roman" w:eastAsia="Times New Roman" w:hint="default"/>
          <w:spacing w:val="-1"/>
        </w:rPr>
        <w:t>)</w:t>
      </w:r>
      <w:r>
        <w:rPr>
          <w:spacing w:val="-1"/>
        </w:rPr>
        <w:t>北京财税科技</w:t>
      </w:r>
      <w:r>
        <w:rPr/>
        <w:t> 委派</w:t>
      </w:r>
      <w:r>
        <w:rPr>
          <w:rFonts w:ascii="Times New Roman" w:hAnsi="Times New Roman" w:cs="Times New Roman" w:eastAsia="Times New Roman" w:hint="default"/>
        </w:rPr>
        <w:t>1</w:t>
      </w:r>
      <w:r>
        <w:rPr/>
        <w:t>人，投资决策委员会作出的决议一人一票，必须经</w:t>
      </w:r>
      <w:r>
        <w:rPr>
          <w:rFonts w:ascii="Times New Roman" w:hAnsi="Times New Roman" w:cs="Times New Roman" w:eastAsia="Times New Roman" w:hint="default"/>
        </w:rPr>
        <w:t>3</w:t>
      </w:r>
      <w:r>
        <w:rPr/>
        <w:t>名及</w:t>
      </w:r>
      <w:r>
        <w:rPr>
          <w:rFonts w:ascii="Times New Roman" w:hAnsi="Times New Roman" w:cs="Times New Roman" w:eastAsia="Times New Roman" w:hint="default"/>
        </w:rPr>
        <w:t>3</w:t>
      </w:r>
      <w:r>
        <w:rPr/>
        <w:t>名以上委员同意方可通过。</w:t>
      </w:r>
    </w:p>
    <w:p>
      <w:pPr>
        <w:pStyle w:val="BodyText"/>
        <w:spacing w:line="240" w:lineRule="auto" w:before="13"/>
        <w:ind w:left="585" w:right="0"/>
        <w:jc w:val="left"/>
      </w:pPr>
      <w:r>
        <w:rPr>
          <w:rFonts w:ascii="Times New Roman" w:hAnsi="Times New Roman" w:cs="Times New Roman" w:eastAsia="Times New Roman" w:hint="default"/>
        </w:rPr>
        <w:t>2</w:t>
      </w:r>
      <w:r>
        <w:rPr/>
        <w:t>、本公司持有霍尔果斯中企易桥股权投资合伙企业（有限合伙）</w:t>
      </w:r>
      <w:r>
        <w:rPr>
          <w:rFonts w:ascii="Times New Roman" w:hAnsi="Times New Roman" w:cs="Times New Roman" w:eastAsia="Times New Roman" w:hint="default"/>
        </w:rPr>
        <w:t>7.02%</w:t>
      </w:r>
      <w:r>
        <w:rPr/>
        <w:t>（按照实缴比例计算）股权具有重大影响的原</w:t>
      </w:r>
    </w:p>
    <w:p>
      <w:pPr>
        <w:pStyle w:val="BodyText"/>
        <w:spacing w:line="240" w:lineRule="auto" w:before="63"/>
        <w:ind w:right="1133"/>
        <w:jc w:val="left"/>
      </w:pPr>
      <w:r>
        <w:rPr/>
        <w:t>因：</w:t>
      </w:r>
    </w:p>
    <w:p>
      <w:pPr>
        <w:pStyle w:val="BodyText"/>
        <w:spacing w:line="240" w:lineRule="auto" w:before="76"/>
        <w:ind w:left="585" w:right="0"/>
        <w:jc w:val="left"/>
      </w:pPr>
      <w:r>
        <w:rPr/>
        <w:t>霍尔果斯中企易桥股权投资合伙企业（有限合伙）设有投资决策委员会，投资决策委员会设</w:t>
      </w:r>
      <w:r>
        <w:rPr>
          <w:rFonts w:ascii="Times New Roman" w:hAnsi="Times New Roman" w:cs="Times New Roman" w:eastAsia="Times New Roman" w:hint="default"/>
        </w:rPr>
        <w:t>5</w:t>
      </w:r>
      <w:r>
        <w:rPr/>
        <w:t>名成员，本公司委派</w:t>
      </w:r>
      <w:r>
        <w:rPr>
          <w:rFonts w:ascii="Times New Roman" w:hAnsi="Times New Roman" w:cs="Times New Roman" w:eastAsia="Times New Roman" w:hint="default"/>
        </w:rPr>
        <w:t>1</w:t>
      </w:r>
      <w:r>
        <w:rPr/>
        <w:t>人，</w:t>
      </w:r>
    </w:p>
    <w:p>
      <w:pPr>
        <w:pStyle w:val="BodyText"/>
        <w:spacing w:line="240" w:lineRule="auto" w:before="63"/>
        <w:ind w:right="1133"/>
        <w:jc w:val="left"/>
      </w:pPr>
      <w:r>
        <w:rPr/>
        <w:t>投资决策委员会作出的决议一人一票，必须经</w:t>
      </w:r>
      <w:r>
        <w:rPr>
          <w:rFonts w:ascii="Times New Roman" w:hAnsi="Times New Roman" w:cs="Times New Roman" w:eastAsia="Times New Roman" w:hint="default"/>
        </w:rPr>
        <w:t>3</w:t>
      </w:r>
      <w:r>
        <w:rPr/>
        <w:t>名及</w:t>
      </w:r>
      <w:r>
        <w:rPr>
          <w:rFonts w:ascii="Times New Roman" w:hAnsi="Times New Roman" w:cs="Times New Roman" w:eastAsia="Times New Roman" w:hint="default"/>
        </w:rPr>
        <w:t>3</w:t>
      </w:r>
      <w:r>
        <w:rPr/>
        <w:t>名以上委员同意方可通过。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13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重要合营企业的主要财务信息" w:id="422"/>
      <w:bookmarkEnd w:id="42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重要联营企业的主要财务信息" w:id="423"/>
      <w:bookmarkEnd w:id="42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788"/>
        <w:gridCol w:w="797"/>
        <w:gridCol w:w="799"/>
        <w:gridCol w:w="797"/>
        <w:gridCol w:w="799"/>
        <w:gridCol w:w="797"/>
        <w:gridCol w:w="800"/>
        <w:gridCol w:w="797"/>
        <w:gridCol w:w="799"/>
        <w:gridCol w:w="797"/>
        <w:gridCol w:w="799"/>
        <w:gridCol w:w="797"/>
      </w:tblGrid>
      <w:tr>
        <w:trPr>
          <w:trHeight w:val="401"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558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9" w:hRule="exact"/>
        </w:trPr>
        <w:tc>
          <w:tcPr>
            <w:tcW w:w="788"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霍尔果斯 神州易桥 股权投资 合伙企业</w:t>
            </w:r>
          </w:p>
          <w:p>
            <w:pPr>
              <w:pStyle w:val="TableParagraph"/>
              <w:spacing w:line="316" w:lineRule="auto" w:before="19"/>
              <w:ind w:left="213" w:right="31" w:hanging="180"/>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霍尔果斯 中企易桥 股权投资 合伙企业</w:t>
            </w:r>
          </w:p>
          <w:p>
            <w:pPr>
              <w:pStyle w:val="TableParagraph"/>
              <w:spacing w:line="316" w:lineRule="auto" w:before="19"/>
              <w:ind w:left="213" w:right="35" w:hanging="180"/>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4"/>
              <w:jc w:val="both"/>
              <w:rPr>
                <w:rFonts w:ascii="宋体" w:hAnsi="宋体" w:cs="宋体" w:eastAsia="宋体" w:hint="default"/>
                <w:sz w:val="18"/>
                <w:szCs w:val="18"/>
              </w:rPr>
            </w:pPr>
            <w:r>
              <w:rPr>
                <w:rFonts w:ascii="宋体" w:hAnsi="宋体" w:cs="宋体" w:eastAsia="宋体" w:hint="default"/>
                <w:sz w:val="18"/>
                <w:szCs w:val="18"/>
              </w:rPr>
              <w:t>霍尔果斯 神州易桥 股权投资 合伙企业</w:t>
            </w:r>
          </w:p>
          <w:p>
            <w:pPr>
              <w:pStyle w:val="TableParagraph"/>
              <w:spacing w:line="316" w:lineRule="auto" w:before="19"/>
              <w:ind w:left="213" w:right="34" w:hanging="180"/>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霍尔果斯 中企易桥 股权投资 合伙企业</w:t>
            </w:r>
          </w:p>
          <w:p>
            <w:pPr>
              <w:pStyle w:val="TableParagraph"/>
              <w:spacing w:line="316" w:lineRule="auto" w:before="19"/>
              <w:ind w:left="213" w:right="31" w:hanging="180"/>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78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3" w:right="32"/>
              <w:jc w:val="center"/>
              <w:rPr>
                <w:rFonts w:ascii="宋体" w:hAnsi="宋体" w:cs="宋体" w:eastAsia="宋体" w:hint="default"/>
                <w:sz w:val="18"/>
                <w:szCs w:val="18"/>
              </w:rPr>
            </w:pPr>
            <w:r>
              <w:rPr>
                <w:rFonts w:ascii="宋体" w:hAnsi="宋体" w:cs="宋体" w:eastAsia="宋体" w:hint="default"/>
                <w:sz w:val="18"/>
                <w:szCs w:val="18"/>
              </w:rPr>
              <w:t>广西海东 科技创业 投资有限 公司</w:t>
            </w: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广西海东 科技创业 投资有限 公司</w:t>
            </w: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吉林省嘉 孚化学工 业股份有 限公司</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12" w:hRule="exact"/>
        </w:trPr>
        <w:tc>
          <w:tcPr>
            <w:tcW w:w="78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广州网融 信息技术 有限公司</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洛阳蓝宝 氟业有限 公司</w:t>
            </w: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广州网融 信息技术 有限公司</w:t>
            </w:r>
          </w:p>
        </w:tc>
        <w:tc>
          <w:tcPr>
            <w:tcW w:w="799"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河北兴石 创业投资 有限公司</w:t>
            </w:r>
          </w:p>
        </w:tc>
      </w:tr>
      <w:tr>
        <w:trPr>
          <w:trHeight w:val="39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312" w:hRule="exact"/>
        </w:trPr>
        <w:tc>
          <w:tcPr>
            <w:tcW w:w="788"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78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317" w:hRule="exact"/>
        </w:trPr>
        <w:tc>
          <w:tcPr>
            <w:tcW w:w="78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527,323,1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40.11</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217,269,5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85.69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6,904,796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48,063,60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81,274,66</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4.11</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659,461,8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39.59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283,304,9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34.95</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6,820,851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20,960,32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5.69</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31,341,39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16,497,97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5.82</w:t>
            </w:r>
          </w:p>
        </w:tc>
      </w:tr>
      <w:tr>
        <w:trPr>
          <w:trHeight w:val="39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797" w:type="dxa"/>
            <w:vMerge/>
            <w:tcBorders>
              <w:left w:val="single" w:sz="10" w:space="0" w:color="D2D2D2"/>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5"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4"/>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91,180,80</w:t>
            </w:r>
          </w:p>
          <w:p>
            <w:pPr>
              <w:pStyle w:val="TableParagraph"/>
              <w:spacing w:line="240" w:lineRule="auto" w:before="102"/>
              <w:ind w:left="439"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5,812.72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40,049,94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9,099,179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573,090,9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07.31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162,651,7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41.17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900,209.7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40,249,94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7,223,998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71,652,25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87,799,94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8.00</w:t>
            </w:r>
          </w:p>
        </w:tc>
      </w:tr>
      <w:tr>
        <w:trPr>
          <w:trHeight w:val="161"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618,503,9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40.11</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217,275,3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98.41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46,954,74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57,162,78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654,365,5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71.42</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822,113,5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80.76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284,205,1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44.67</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47,070,79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28,184,32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3.71</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102,993,6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52.68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104,297,9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23.82</w:t>
            </w:r>
          </w:p>
        </w:tc>
      </w:tr>
      <w:tr>
        <w:trPr>
          <w:trHeight w:val="39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797" w:type="dxa"/>
            <w:vMerge/>
            <w:tcBorders>
              <w:left w:val="single" w:sz="10" w:space="0" w:color="D2D2D2"/>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3"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175,315,0</w:t>
            </w:r>
          </w:p>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61.89</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207,002,1</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22.37</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11,570,49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8.53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192,000,2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29.78</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350,464,7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08.17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205,781,3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25.36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3,445,240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69,462,42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0.10</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97" w:type="dxa"/>
            <w:vMerge/>
            <w:tcBorders>
              <w:left w:val="single" w:sz="10" w:space="0" w:color="D2D2D2"/>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3"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4"/>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38,371.27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68,965,28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175,315,0</w:t>
            </w:r>
          </w:p>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61.89</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207,002,1</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22.37</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11,608,86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260,965,5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13.40</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350,464,7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08.17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205,781,3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25.36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3,445,240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69,462,42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0.10</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97" w:type="dxa"/>
            <w:vMerge/>
            <w:tcBorders>
              <w:left w:val="single" w:sz="10" w:space="0" w:color="D2D2D2"/>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3"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4"/>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-15,162,1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5,577.13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16,160,38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11,621,71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10,534.20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4"/>
              <w:jc w:val="both"/>
              <w:rPr>
                <w:rFonts w:ascii="宋体" w:hAnsi="宋体" w:cs="宋体" w:eastAsia="宋体" w:hint="default"/>
                <w:sz w:val="18"/>
                <w:szCs w:val="18"/>
              </w:rPr>
            </w:pPr>
            <w:r>
              <w:rPr>
                <w:rFonts w:ascii="宋体" w:hAnsi="宋体" w:cs="宋体" w:eastAsia="宋体" w:hint="default"/>
                <w:sz w:val="18"/>
                <w:szCs w:val="18"/>
              </w:rPr>
              <w:t>归属于母 公司股东 权益</w:t>
            </w:r>
          </w:p>
        </w:tc>
        <w:tc>
          <w:tcPr>
            <w:tcW w:w="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443,188,8</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78.22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25,435,46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46,954,74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4.86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45,548,33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393,400,0</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58.02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455,488,4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91.16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66,802,10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6.33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46,510,79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24,728,54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33,531,23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104,297,9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23.82</w:t>
            </w:r>
          </w:p>
        </w:tc>
      </w:tr>
      <w:tr>
        <w:trPr>
          <w:trHeight w:val="1337"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4"/>
              <w:jc w:val="both"/>
              <w:rPr>
                <w:rFonts w:ascii="宋体" w:hAnsi="宋体" w:cs="宋体" w:eastAsia="宋体" w:hint="default"/>
                <w:sz w:val="18"/>
                <w:szCs w:val="18"/>
              </w:rPr>
            </w:pPr>
            <w:r>
              <w:rPr>
                <w:rFonts w:ascii="宋体" w:hAnsi="宋体" w:cs="宋体" w:eastAsia="宋体" w:hint="default"/>
                <w:sz w:val="18"/>
                <w:szCs w:val="18"/>
              </w:rPr>
              <w:t>按持股比 例计算的 净资产份 额</w:t>
            </w:r>
          </w:p>
        </w:tc>
        <w:tc>
          <w:tcPr>
            <w:tcW w:w="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45,338,22</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2.24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1,785,569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19,720,99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11,387,08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90,796,73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36,354,49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4,131,347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19,534,53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6,182,137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6,706,246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32,332,35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6.38</w:t>
            </w:r>
          </w:p>
        </w:tc>
      </w:tr>
      <w:tr>
        <w:trPr>
          <w:trHeight w:val="163"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-9,832,54</w:t>
            </w:r>
          </w:p>
          <w:p>
            <w:pPr>
              <w:pStyle w:val="TableParagraph"/>
              <w:spacing w:line="240" w:lineRule="auto" w:before="102"/>
              <w:ind w:left="443" w:right="0"/>
              <w:jc w:val="left"/>
              <w:rPr>
                <w:rFonts w:ascii="Times New Roman" w:hAnsi="Times New Roman" w:cs="Times New Roman" w:eastAsia="Times New Roman" w:hint="default"/>
                <w:sz w:val="18"/>
                <w:szCs w:val="18"/>
              </w:rPr>
            </w:pPr>
            <w:r>
              <w:rPr>
                <w:rFonts w:ascii="Times New Roman"/>
                <w:sz w:val="18"/>
              </w:rPr>
              <w:t>7.26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1,761,334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.58</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45,531,97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1.29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-60,958,3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97.37</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797" w:type="dxa"/>
            <w:vMerge/>
            <w:tcBorders>
              <w:left w:val="single" w:sz="10" w:space="0" w:color="D2D2D2"/>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45,531,97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1.29</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797" w:type="dxa"/>
            <w:vMerge/>
            <w:tcBorders>
              <w:left w:val="single" w:sz="10" w:space="0" w:color="D2D2D2"/>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w:t>
            </w:r>
            <w:r>
              <w:rPr>
                <w:rFonts w:ascii="宋体" w:hAnsi="宋体" w:cs="宋体" w:eastAsia="宋体" w:hint="default"/>
                <w:w w:val="99"/>
                <w:sz w:val="18"/>
                <w:szCs w:val="18"/>
              </w:rPr>
              <w:t> </w:t>
            </w:r>
            <w:r>
              <w:rPr>
                <w:rFonts w:ascii="宋体" w:hAnsi="宋体" w:cs="宋体" w:eastAsia="宋体" w:hint="default"/>
                <w:sz w:val="18"/>
                <w:szCs w:val="18"/>
              </w:rPr>
              <w:t>易未实现</w:t>
            </w:r>
            <w:r>
              <w:rPr>
                <w:rFonts w:ascii="宋体" w:hAnsi="宋体" w:cs="宋体" w:eastAsia="宋体" w:hint="default"/>
                <w:w w:val="99"/>
                <w:sz w:val="18"/>
                <w:szCs w:val="18"/>
              </w:rPr>
              <w:t> </w:t>
            </w:r>
            <w:r>
              <w:rPr>
                <w:rFonts w:ascii="宋体" w:hAnsi="宋体" w:cs="宋体" w:eastAsia="宋体" w:hint="default"/>
                <w:sz w:val="18"/>
                <w:szCs w:val="18"/>
              </w:rPr>
              <w:t>利润</w:t>
            </w: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-27,226.4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-9,832,54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7.26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1,761,334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-60,958,3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97.37</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797" w:type="dxa"/>
            <w:vMerge/>
            <w:tcBorders>
              <w:left w:val="single" w:sz="10" w:space="0" w:color="D2D2D2"/>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986"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4"/>
              <w:jc w:val="both"/>
              <w:rPr>
                <w:rFonts w:ascii="宋体" w:hAnsi="宋体" w:cs="宋体" w:eastAsia="宋体" w:hint="default"/>
                <w:sz w:val="18"/>
                <w:szCs w:val="18"/>
              </w:rPr>
            </w:pPr>
            <w:r>
              <w:rPr>
                <w:rFonts w:ascii="宋体" w:hAnsi="宋体" w:cs="宋体" w:eastAsia="宋体" w:hint="default"/>
                <w:sz w:val="18"/>
                <w:szCs w:val="18"/>
              </w:rPr>
              <w:t>对联营企 业权益投 资的账面</w:t>
            </w:r>
          </w:p>
        </w:tc>
        <w:tc>
          <w:tcPr>
            <w:tcW w:w="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35,505,67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3,546,904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19,720,99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56,919,05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29,838,33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36,327,27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4,131,347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19,534,53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51,714,10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6,706,246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32,332,35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36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5,346,200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8,882,800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37,710,01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10,802,54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47,522,42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64,661,90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20,981,10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-12,299,6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-11,328,3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443,945.1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20,819,78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-2,130,25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59,495,47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20,219,50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-3,352,53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7,855,296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-6,152,17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-943,076.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r>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-12,299,6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-11,328,3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443,945.1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20,819,78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-2,130,25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59,495,47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20,219,50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-3,352,53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7,855,296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-6,152,17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-943,076.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r>
      <w:tr>
        <w:trPr>
          <w:trHeight w:val="1339"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4"/>
              <w:jc w:val="both"/>
              <w:rPr>
                <w:rFonts w:ascii="宋体" w:hAnsi="宋体" w:cs="宋体" w:eastAsia="宋体" w:hint="default"/>
                <w:sz w:val="18"/>
                <w:szCs w:val="18"/>
              </w:rPr>
            </w:pPr>
            <w:r>
              <w:rPr>
                <w:rFonts w:ascii="宋体" w:hAnsi="宋体" w:cs="宋体" w:eastAsia="宋体" w:hint="default"/>
                <w:sz w:val="18"/>
                <w:szCs w:val="18"/>
              </w:rPr>
              <w:t>本年度收 到的来自 联营企业 的股利</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不重要的合营企业和联营企业的汇总财务信息" w:id="424"/>
      <w:bookmarkEnd w:id="42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合营企业或联营企业向本公司转移资金的能力存在重大限制的说明" w:id="425"/>
      <w:bookmarkEnd w:id="42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6）合营企业或联营企业发生的超额亏损" w:id="426"/>
      <w:bookmarkEnd w:id="42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与合营企业投资相关的未确认承诺" w:id="427"/>
      <w:bookmarkEnd w:id="42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8）与合营企业或联营企业投资相关的或有负债" w:id="428"/>
      <w:bookmarkEnd w:id="42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重要的共同经营" w:id="429"/>
      <w:bookmarkEnd w:id="42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b/>
          <w:bCs/>
          <w:sz w:val="21"/>
          <w:szCs w:val="21"/>
        </w:rPr>
      </w:pPr>
    </w:p>
    <w:p>
      <w:pPr>
        <w:pStyle w:val="BodyText"/>
        <w:spacing w:line="360" w:lineRule="auto" w:before="44"/>
        <w:ind w:right="5534"/>
        <w:jc w:val="left"/>
      </w:pPr>
      <w:r>
        <w:rPr/>
        <w:t>在共同经营中的持股比例或享有的份额不同于表决权比例的说明： 共同经营为单独主体的，分类为共同经营的依据：</w:t>
      </w:r>
    </w:p>
    <w:p>
      <w:pPr>
        <w:pStyle w:val="BodyText"/>
        <w:spacing w:line="240" w:lineRule="auto" w:before="25"/>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在未纳入合并财务报表范围的结构化主体中的权益" w:id="430"/>
      <w:bookmarkEnd w:id="43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其他" w:id="431"/>
      <w:bookmarkEnd w:id="431"/>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bookmarkStart w:name="十、与金融工具相关的风险" w:id="432"/>
      <w:bookmarkEnd w:id="432"/>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7" w:firstLine="336"/>
        <w:jc w:val="left"/>
      </w:pPr>
      <w:r>
        <w:rPr>
          <w:spacing w:val="-3"/>
        </w:rPr>
        <w:t>本公司的主要金融工具包括股权投资、借款、应收账款、应付账款等，各项金融工具的详细情况说明见本附注相关项目。</w:t>
      </w:r>
      <w:r>
        <w:rPr/>
        <w:t> </w:t>
      </w:r>
      <w:r>
        <w:rPr>
          <w:spacing w:val="-2"/>
        </w:rPr>
        <w:t>与这些金融工具有关的风险，以及本公司为降低这些风险所采取的风险管理政策如下所述。本公司管理层对这些风险敞口进</w:t>
      </w:r>
      <w:r>
        <w:rPr>
          <w:spacing w:val="-64"/>
        </w:rPr>
        <w:t> </w:t>
      </w:r>
      <w:r>
        <w:rPr>
          <w:spacing w:val="-64"/>
        </w:rPr>
      </w:r>
      <w:r>
        <w:rPr/>
        <w:t>行管理和监控以确保将上述风险控制在限定的范围之内。</w:t>
      </w:r>
    </w:p>
    <w:p>
      <w:pPr>
        <w:pStyle w:val="BodyText"/>
        <w:spacing w:line="316" w:lineRule="auto" w:before="19"/>
        <w:ind w:right="1130" w:firstLine="288"/>
        <w:jc w:val="both"/>
      </w:pPr>
      <w:r>
        <w:rPr>
          <w:spacing w:val="2"/>
        </w:rPr>
        <w:t>本公司从事风险管理的目标是在风险和收益之间取得适当的平衡，将风险对本公司经营业绩的负面影响降低到最低水</w:t>
      </w:r>
      <w:r>
        <w:rPr/>
        <w:t> </w:t>
      </w:r>
      <w:r>
        <w:rPr>
          <w:spacing w:val="-2"/>
        </w:rPr>
        <w:t>平，使股东及其其他权益投资者的利益最大化。基于该风险管理目标，本公司风险管理的基本策略是确定和分析本公司所面</w:t>
      </w:r>
      <w:r>
        <w:rPr>
          <w:spacing w:val="-63"/>
        </w:rPr>
        <w:t> </w:t>
      </w:r>
      <w:r>
        <w:rPr>
          <w:spacing w:val="-63"/>
        </w:rPr>
      </w:r>
      <w:r>
        <w:rPr>
          <w:spacing w:val="-2"/>
        </w:rPr>
        <w:t>临的各种风险，建立适当的风险承受底线和进行风险管理，并及时可靠地对各种风险进行监督，将风险控制在限定的范围之</w:t>
      </w:r>
      <w:r>
        <w:rPr>
          <w:spacing w:val="-63"/>
        </w:rPr>
        <w:t> </w:t>
      </w:r>
      <w:r>
        <w:rPr>
          <w:spacing w:val="-63"/>
        </w:rPr>
      </w:r>
      <w:r>
        <w:rPr/>
        <w:t>内。</w:t>
      </w:r>
    </w:p>
    <w:p>
      <w:pPr>
        <w:spacing w:line="240" w:lineRule="auto" w:before="4"/>
        <w:rPr>
          <w:rFonts w:ascii="宋体" w:hAnsi="宋体" w:cs="宋体" w:eastAsia="宋体" w:hint="default"/>
          <w:sz w:val="25"/>
          <w:szCs w:val="25"/>
        </w:rPr>
      </w:pPr>
    </w:p>
    <w:p>
      <w:pPr>
        <w:pStyle w:val="BodyText"/>
        <w:spacing w:line="316" w:lineRule="auto"/>
        <w:ind w:left="520" w:right="1130" w:hanging="12"/>
        <w:jc w:val="left"/>
      </w:pPr>
      <w:r>
        <w:rPr>
          <w:rFonts w:ascii="宋体" w:hAnsi="宋体" w:cs="宋体" w:eastAsia="宋体" w:hint="default"/>
          <w:b/>
          <w:bCs/>
        </w:rPr>
        <w:t>1</w:t>
      </w:r>
      <w:r>
        <w:rPr>
          <w:rFonts w:ascii="宋体" w:hAnsi="宋体" w:cs="宋体" w:eastAsia="宋体" w:hint="default"/>
          <w:b/>
          <w:bCs/>
        </w:rPr>
        <w:t>、信用风险</w:t>
      </w:r>
      <w:r>
        <w:rPr>
          <w:rFonts w:ascii="宋体" w:hAnsi="宋体" w:cs="宋体" w:eastAsia="宋体" w:hint="default"/>
          <w:b/>
          <w:bCs/>
          <w:spacing w:val="-88"/>
        </w:rPr>
        <w:t> </w:t>
      </w:r>
      <w:r>
        <w:rPr>
          <w:rFonts w:ascii="宋体" w:hAnsi="宋体" w:cs="宋体" w:eastAsia="宋体" w:hint="default"/>
          <w:b/>
          <w:bCs/>
          <w:spacing w:val="-88"/>
        </w:rPr>
      </w:r>
      <w:r>
        <w:rPr>
          <w:spacing w:val="-2"/>
        </w:rPr>
        <w:t>信用风险是指金融工具的一方不履行义务，造成另一方发生财务损失的风险。可能引起本公司财务损失的最大信用风险</w:t>
      </w:r>
    </w:p>
    <w:p>
      <w:pPr>
        <w:pStyle w:val="BodyText"/>
        <w:spacing w:line="319" w:lineRule="auto" w:before="19"/>
        <w:ind w:left="157" w:right="1034"/>
        <w:jc w:val="left"/>
      </w:pPr>
      <w:r>
        <w:rPr/>
        <w:t>敞口主要来自于合同另一方未能履行义务而导致本公司金融资产产生的损失。 </w:t>
      </w:r>
      <w:r>
        <w:rPr>
          <w:spacing w:val="-4"/>
        </w:rPr>
        <w:t>为降低信用风险，本公司专人负责确定信用额度、进行信用审批，并执行其他监控程序以确保采取必要的措施回收过期债权。</w:t>
      </w:r>
      <w:r>
        <w:rPr>
          <w:spacing w:val="-50"/>
        </w:rPr>
        <w:t> </w:t>
      </w:r>
      <w:r>
        <w:rPr>
          <w:spacing w:val="-50"/>
        </w:rPr>
      </w:r>
      <w:r>
        <w:rPr>
          <w:spacing w:val="-2"/>
        </w:rPr>
        <w:t>本公司于每个资产负债表日审核每一单项应收款的回收情况，以确保就无法回收的款项计提充分的坏账准备。因此，本公司</w:t>
      </w:r>
      <w:r>
        <w:rPr>
          <w:spacing w:val="-69"/>
        </w:rPr>
        <w:t> </w:t>
      </w:r>
      <w:r>
        <w:rPr>
          <w:spacing w:val="-69"/>
        </w:rPr>
      </w:r>
      <w:r>
        <w:rPr>
          <w:spacing w:val="-2"/>
        </w:rPr>
        <w:t>管理层认为本公司所承担的信用风险已经大为降低。本公司的流动资金存放在信用评级较高的银行，故流动资金的信用风险</w:t>
      </w:r>
      <w:r>
        <w:rPr>
          <w:spacing w:val="-70"/>
        </w:rPr>
        <w:t> </w:t>
      </w:r>
      <w:r>
        <w:rPr>
          <w:spacing w:val="-70"/>
        </w:rPr>
      </w:r>
      <w:r>
        <w:rPr/>
        <w:t>较低。</w:t>
      </w:r>
    </w:p>
    <w:p>
      <w:pPr>
        <w:spacing w:line="240" w:lineRule="auto" w:before="2"/>
        <w:rPr>
          <w:rFonts w:ascii="宋体" w:hAnsi="宋体" w:cs="宋体" w:eastAsia="宋体" w:hint="default"/>
          <w:sz w:val="25"/>
          <w:szCs w:val="25"/>
        </w:rPr>
      </w:pPr>
    </w:p>
    <w:p>
      <w:pPr>
        <w:pStyle w:val="BodyText"/>
        <w:spacing w:line="316" w:lineRule="auto"/>
        <w:ind w:left="520" w:right="1130" w:hanging="5"/>
        <w:jc w:val="left"/>
      </w:pPr>
      <w:r>
        <w:rPr>
          <w:rFonts w:ascii="宋体" w:hAnsi="宋体" w:cs="宋体" w:eastAsia="宋体" w:hint="default"/>
          <w:b/>
          <w:bCs/>
        </w:rPr>
        <w:t>2</w:t>
      </w:r>
      <w:r>
        <w:rPr>
          <w:rFonts w:ascii="宋体" w:hAnsi="宋体" w:cs="宋体" w:eastAsia="宋体" w:hint="default"/>
          <w:b/>
          <w:bCs/>
        </w:rPr>
        <w:t>、利率风险</w:t>
      </w:r>
      <w:r>
        <w:rPr>
          <w:rFonts w:ascii="宋体" w:hAnsi="宋体" w:cs="宋体" w:eastAsia="宋体" w:hint="default"/>
          <w:b/>
          <w:bCs/>
          <w:w w:val="99"/>
        </w:rPr>
        <w:t> </w:t>
      </w:r>
      <w:r>
        <w:rPr>
          <w:spacing w:val="-2"/>
        </w:rPr>
        <w:t>利率风险，是指金融工具的公允价值或未来现金流量因市场利率变动而发生波动的风险。本公司因利率变动引起金融工</w:t>
      </w:r>
    </w:p>
    <w:p>
      <w:pPr>
        <w:pStyle w:val="BodyText"/>
        <w:spacing w:line="240" w:lineRule="auto" w:before="19"/>
        <w:ind w:left="157" w:right="1133"/>
        <w:jc w:val="left"/>
      </w:pPr>
      <w:r>
        <w:rPr/>
        <w:t>具现金流量变动的风险主要与银行借款利率有关。市场利率变化影响公司金融工具的利息收入或利息支出。</w:t>
      </w:r>
    </w:p>
    <w:p>
      <w:pPr>
        <w:spacing w:line="240" w:lineRule="auto" w:before="0"/>
        <w:rPr>
          <w:rFonts w:ascii="宋体" w:hAnsi="宋体" w:cs="宋体" w:eastAsia="宋体" w:hint="default"/>
          <w:sz w:val="18"/>
          <w:szCs w:val="18"/>
        </w:rPr>
      </w:pPr>
    </w:p>
    <w:p>
      <w:pPr>
        <w:pStyle w:val="BodyText"/>
        <w:spacing w:line="316" w:lineRule="auto" w:before="153"/>
        <w:ind w:left="515" w:right="1123"/>
        <w:jc w:val="left"/>
      </w:pPr>
      <w:r>
        <w:rPr>
          <w:rFonts w:ascii="宋体" w:hAnsi="宋体" w:cs="宋体" w:eastAsia="宋体" w:hint="default"/>
          <w:b/>
          <w:bCs/>
        </w:rPr>
        <w:t>3</w:t>
      </w:r>
      <w:r>
        <w:rPr>
          <w:rFonts w:ascii="宋体" w:hAnsi="宋体" w:cs="宋体" w:eastAsia="宋体" w:hint="default"/>
          <w:b/>
          <w:bCs/>
        </w:rPr>
        <w:t>、流动性风险</w:t>
      </w:r>
      <w:r>
        <w:rPr>
          <w:rFonts w:ascii="宋体" w:hAnsi="宋体" w:cs="宋体" w:eastAsia="宋体" w:hint="default"/>
          <w:b/>
          <w:bCs/>
          <w:w w:val="99"/>
        </w:rPr>
        <w:t> </w:t>
      </w:r>
      <w:r>
        <w:rPr>
          <w:spacing w:val="-2"/>
        </w:rPr>
        <w:t>流动性风险，是指企业在履行以交付现金或其他金融资产的方式结算的义务时发生资金短缺的风险。本公司保持管理层</w:t>
      </w:r>
    </w:p>
    <w:p>
      <w:pPr>
        <w:pStyle w:val="BodyText"/>
        <w:spacing w:line="319" w:lineRule="auto" w:before="19"/>
        <w:ind w:right="1123"/>
        <w:jc w:val="left"/>
      </w:pPr>
      <w:r>
        <w:rPr>
          <w:spacing w:val="-2"/>
        </w:rPr>
        <w:t>认为充分的现金及现金等价物并对其进行监控，以满足本公司经营需要，并降低现金流量波动的影响。本公司管理层对银行</w:t>
      </w:r>
      <w:r>
        <w:rPr>
          <w:spacing w:val="-63"/>
        </w:rPr>
        <w:t> </w:t>
      </w:r>
      <w:r>
        <w:rPr>
          <w:spacing w:val="-63"/>
        </w:rPr>
      </w:r>
      <w:r>
        <w:rPr/>
        <w:t>借款的使用情况进行监控并确保遵守借款协议。</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十一、公允价值的披露" w:id="433"/>
      <w:bookmarkEnd w:id="433"/>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以公允价值计量的资产和负债的期末公允价值" w:id="434"/>
      <w:bookmarkEnd w:id="43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7"/>
        <w:gridCol w:w="1702"/>
        <w:gridCol w:w="1913"/>
        <w:gridCol w:w="1913"/>
        <w:gridCol w:w="1910"/>
      </w:tblGrid>
      <w:tr>
        <w:trPr>
          <w:trHeight w:val="401" w:hRule="exact"/>
        </w:trPr>
        <w:tc>
          <w:tcPr>
            <w:tcW w:w="2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3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3" w:hRule="exact"/>
        </w:trPr>
        <w:tc>
          <w:tcPr>
            <w:tcW w:w="2267"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第一层次公允价值计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246"/>
        <w:gridCol w:w="1713"/>
        <w:gridCol w:w="1913"/>
        <w:gridCol w:w="1913"/>
        <w:gridCol w:w="1913"/>
      </w:tblGrid>
      <w:tr>
        <w:trPr>
          <w:trHeight w:val="36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713"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95,543,497.68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95,543,497.68</w:t>
            </w:r>
          </w:p>
        </w:tc>
      </w:tr>
      <w:tr>
        <w:trPr>
          <w:trHeight w:val="71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 计入当期损益的金融资产</w:t>
            </w:r>
          </w:p>
        </w:tc>
        <w:tc>
          <w:tcPr>
            <w:tcW w:w="1713"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95,543,497.68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95,543,497.68</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1713"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70,333,140.39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70,333,140.39</w:t>
            </w:r>
          </w:p>
        </w:tc>
      </w:tr>
      <w:tr>
        <w:trPr>
          <w:trHeight w:val="71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持续以公允价值计量的资产 总额</w:t>
            </w:r>
          </w:p>
        </w:tc>
        <w:tc>
          <w:tcPr>
            <w:tcW w:w="1713"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165,876,638.07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165,876,638.07</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line="506" w:lineRule="auto" w:before="36"/>
        <w:ind w:left="405" w:right="1133" w:hanging="253"/>
        <w:jc w:val="left"/>
        <w:rPr>
          <w:rFonts w:ascii="宋体" w:hAnsi="宋体" w:cs="宋体" w:eastAsia="宋体" w:hint="default"/>
          <w:sz w:val="21"/>
          <w:szCs w:val="21"/>
        </w:rPr>
      </w:pPr>
      <w:bookmarkStart w:name="2、持续和非持续第一层次公允价值计量项目市价的确定依据" w:id="435"/>
      <w:bookmarkEnd w:id="43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pacing w:val="-2"/>
          <w:sz w:val="21"/>
          <w:szCs w:val="21"/>
        </w:rPr>
        <w:t>第一层次输入值是在计量日能够取得的相同资产或负债在活跃市场上未经调整的报价。</w:t>
      </w:r>
    </w:p>
    <w:p>
      <w:pPr>
        <w:spacing w:line="520" w:lineRule="auto" w:before="104"/>
        <w:ind w:left="155" w:right="2234" w:firstLine="0"/>
        <w:jc w:val="center"/>
        <w:rPr>
          <w:rFonts w:ascii="宋体" w:hAnsi="宋体" w:cs="宋体" w:eastAsia="宋体" w:hint="default"/>
          <w:sz w:val="21"/>
          <w:szCs w:val="21"/>
        </w:rPr>
      </w:pPr>
      <w:bookmarkStart w:name="3、持续和非持续第二层次公允价值计量项目，采用的估值技术和重要参数的定性及定量信" w:id="436"/>
      <w:bookmarkEnd w:id="436"/>
      <w:r>
        <w:rPr/>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、持续和非持续第二层次公允价值计量项目，采用的估值技术和重要参数的定性及定量信息</w:t>
      </w:r>
      <w:r>
        <w:rPr>
          <w:rFonts w:ascii="宋体" w:hAnsi="宋体" w:cs="宋体" w:eastAsia="宋体" w:hint="default"/>
          <w:b/>
          <w:bCs/>
          <w:spacing w:val="-73"/>
          <w:sz w:val="21"/>
          <w:szCs w:val="21"/>
        </w:rPr>
        <w:t> </w:t>
      </w:r>
      <w:r>
        <w:rPr>
          <w:rFonts w:ascii="宋体" w:hAnsi="宋体" w:cs="宋体" w:eastAsia="宋体" w:hint="default"/>
          <w:b/>
          <w:bCs/>
          <w:spacing w:val="-73"/>
          <w:sz w:val="21"/>
          <w:szCs w:val="21"/>
        </w:rPr>
      </w:r>
      <w:r>
        <w:rPr>
          <w:rFonts w:ascii="宋体" w:hAnsi="宋体" w:cs="宋体" w:eastAsia="宋体" w:hint="default"/>
          <w:sz w:val="21"/>
          <w:szCs w:val="21"/>
        </w:rPr>
        <w:t>第二层次输入值是除第一层次输入值外相关资产或负债直接或间接可观察的输入值。</w:t>
      </w:r>
      <w:r>
        <w:rPr>
          <w:rFonts w:ascii="宋体" w:hAnsi="宋体" w:cs="宋体" w:eastAsia="宋体" w:hint="default"/>
          <w:w w:val="100"/>
          <w:sz w:val="21"/>
          <w:szCs w:val="21"/>
        </w:rPr>
        <w:t> </w:t>
      </w:r>
      <w:bookmarkStart w:name="4、持续和非持续第三层次公允价值计量项目，采用的估值技术和重要参数的定性及定量信" w:id="437"/>
      <w:bookmarkEnd w:id="437"/>
      <w:r>
        <w:rPr>
          <w:rFonts w:ascii="宋体" w:hAnsi="宋体" w:cs="宋体" w:eastAsia="宋体" w:hint="default"/>
          <w:w w:val="100"/>
          <w:sz w:val="21"/>
          <w:szCs w:val="21"/>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、持续和非持续第三层次公允价值计量项目，采用的估值技术和重要参数的定性及定量信息</w:t>
      </w:r>
      <w:r>
        <w:rPr>
          <w:rFonts w:ascii="宋体" w:hAnsi="宋体" w:cs="宋体" w:eastAsia="宋体" w:hint="default"/>
          <w:spacing w:val="-1"/>
          <w:sz w:val="21"/>
          <w:szCs w:val="21"/>
        </w:rPr>
      </w:r>
    </w:p>
    <w:p>
      <w:pPr>
        <w:pStyle w:val="Heading4"/>
        <w:spacing w:line="273" w:lineRule="auto" w:before="51"/>
        <w:ind w:left="566" w:right="1133"/>
        <w:jc w:val="left"/>
      </w:pPr>
      <w:r>
        <w:rPr>
          <w:spacing w:val="-2"/>
        </w:rPr>
        <w:t>第三层次输入值是相关资产或负债的不可观察输入值。公允价值计量结果所属的层次，由对公允价值</w:t>
      </w:r>
      <w:r>
        <w:rPr>
          <w:spacing w:val="-42"/>
        </w:rPr>
        <w:t> </w:t>
      </w:r>
      <w:r>
        <w:rPr>
          <w:spacing w:val="-42"/>
        </w:rPr>
      </w:r>
      <w:r>
        <w:rPr/>
        <w:t>计量整体而言具有重要意义的输入值所属的最低层次决定。</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bookmarkStart w:name="5、持续的第三层次公允价值计量项目，期初与期末账面价值间的调节信息及不可观察参数" w:id="438"/>
      <w:bookmarkEnd w:id="43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6、持续的公允价值计量项目，本期内发生各层级之间转换的，转换的原因及确定转换时点" w:id="439"/>
      <w:bookmarkEnd w:id="43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7、本期内发生的估值技术变更及变更原因" w:id="440"/>
      <w:bookmarkEnd w:id="44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8、不以公允价值计量的金融资产和金融负债的公允价值情况" w:id="441"/>
      <w:bookmarkEnd w:id="44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bookmarkStart w:name="9、其他" w:id="442"/>
      <w:bookmarkEnd w:id="44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43"/>
      <w:bookmarkEnd w:id="443"/>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44"/>
      <w:bookmarkEnd w:id="44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49"/>
        <w:ind w:left="602" w:right="1124" w:hanging="450"/>
        <w:jc w:val="left"/>
      </w:pPr>
      <w:r>
        <w:rPr/>
        <w:t>本企业的母公司情况的说明 本公司上年度母公司为天津泰达科技投资股份有限公司，股东中连良桂、天津泰达科技投资股份有限公司、新疆泰达</w:t>
      </w:r>
    </w:p>
    <w:p>
      <w:pPr>
        <w:pStyle w:val="BodyText"/>
        <w:spacing w:line="224" w:lineRule="exact"/>
        <w:ind w:left="265" w:right="0"/>
        <w:jc w:val="left"/>
      </w:pPr>
      <w:r>
        <w:rPr/>
        <w:t>新源股权投资有限公司为一致行动人。本年度，本公司股东中连良桂、天津泰达科技投资股份有限公司、广西泰达新原股</w:t>
      </w:r>
    </w:p>
    <w:p>
      <w:pPr>
        <w:spacing w:after="0" w:line="224" w:lineRule="exact"/>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265" w:right="0"/>
        <w:jc w:val="left"/>
      </w:pPr>
      <w:r>
        <w:rPr/>
        <w:t>权投资有限公司（原名：新疆泰达新源股权投资有限公司）解除一致行动人协议，导致本年本公司无母公司及最终控制人。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357" w:lineRule="auto"/>
        <w:ind w:right="8078"/>
        <w:jc w:val="left"/>
      </w:pPr>
      <w:r>
        <w:rPr/>
        <w:t>本企业最终控制方是无。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2、本企业的子公司情况" w:id="445"/>
      <w:bookmarkEnd w:id="44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本企业子公司的情况详见附注。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本企业合营和联营企业情况" w:id="446"/>
      <w:bookmarkEnd w:id="44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2294"/>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吉林省嘉孚化学工业股份有限公司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河北兴石创投资有限公司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广西海东科技创业投资有限公司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广州网融信息技术有限公司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霍尔果斯中企易桥股权投资合伙企业（有限合伙）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霍尔果斯神州易桥股权投资合伙企业（有限合伙）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本公司之子公司之联营公司</w:t>
            </w:r>
          </w:p>
        </w:tc>
      </w:tr>
    </w:tbl>
    <w:p>
      <w:pPr>
        <w:pStyle w:val="BodyText"/>
        <w:spacing w:line="240" w:lineRule="auto" w:before="68"/>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其他关联方情况" w:id="447"/>
      <w:bookmarkEnd w:id="44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洛阳蓝宝氟业有限公司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本公司之原联营单位</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股东、董事长</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股东、董事长之妻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本公司之孙公司天津易桥普达财务咨询有限公司法定代表人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杭州顺利办企业管理咨询有限公司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本公司之子公司的联营企业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神州顺利办（深圳）科技有限公司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本公司之子公司的联营企业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财合税（北京）信息技术有限公司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本公司之子公司的联营企业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浙江自贸区顺利办资产管理合伙企业（有限合伙）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山西易桥商务服务有限公司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本公司之子公司的联营企业</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5、关联交易情况" w:id="448"/>
      <w:bookmarkEnd w:id="44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购销商品、提供和接受劳务的关联交易" w:id="449"/>
      <w:bookmarkEnd w:id="44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843"/>
        <w:gridCol w:w="2259"/>
        <w:gridCol w:w="2655"/>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霍尔果斯神州易桥股权投资合伙企 业（有限合伙）</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1,179.25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3,254,716.98</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广西泰达新原股权投资有限公司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452,830.19</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神州顺利办（深圳）科技有限公司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7,669.81</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关联受托管理/承包及委托管理/出包情况" w:id="450"/>
      <w:bookmarkEnd w:id="45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877" w:footer="980" w:top="1100" w:bottom="1160" w:left="980" w:right="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33"/>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关联租赁情况" w:id="451"/>
      <w:bookmarkEnd w:id="45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8"/>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1133"/>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1133"/>
        <w:jc w:val="left"/>
      </w:pPr>
      <w:r>
        <w:rPr/>
        <w:t>关联租赁情况说明</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4）关联担保情况" w:id="452"/>
      <w:bookmarkEnd w:id="45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洛阳蓝宝氟业有限公司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洛阳蓝宝氟业有限公司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神州易桥（北京）财税 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彭聪、王茜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关联方资金拆借" w:id="453"/>
      <w:bookmarkEnd w:id="45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关联方资产转让、债务重组情况" w:id="454"/>
      <w:bookmarkEnd w:id="45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left"/>
              <w:rPr>
                <w:rFonts w:ascii="宋体" w:hAnsi="宋体" w:cs="宋体" w:eastAsia="宋体" w:hint="default"/>
                <w:sz w:val="18"/>
                <w:szCs w:val="18"/>
              </w:rPr>
            </w:pPr>
            <w:r>
              <w:rPr>
                <w:rFonts w:ascii="宋体" w:hAnsi="宋体" w:cs="宋体" w:eastAsia="宋体" w:hint="default"/>
                <w:sz w:val="18"/>
                <w:szCs w:val="18"/>
              </w:rPr>
              <w:t>霍尔果斯神州易桥股权投资 合伙企业（有限合伙）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股权交易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177,761,300.00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浙江自贸区顺利办资产管理 合伙企业（有限合伙）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股权交易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60,630,995.41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关键管理人员报酬" w:id="455"/>
      <w:bookmarkEnd w:id="45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1,353,400.00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left="252" w:right="0"/>
        <w:jc w:val="left"/>
        <w:rPr>
          <w:b w:val="0"/>
          <w:bCs w:val="0"/>
        </w:rPr>
      </w:pPr>
      <w:bookmarkStart w:name="（8）其他关联交易" w:id="456"/>
      <w:bookmarkEnd w:id="45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52" w:right="0"/>
        <w:jc w:val="left"/>
        <w:rPr>
          <w:b w:val="0"/>
          <w:bCs w:val="0"/>
        </w:rPr>
      </w:pPr>
      <w:bookmarkStart w:name="6、关联方应收应付款项" w:id="457"/>
      <w:bookmarkEnd w:id="45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52" w:right="0"/>
        <w:jc w:val="left"/>
        <w:rPr>
          <w:b w:val="0"/>
          <w:bCs w:val="0"/>
        </w:rPr>
      </w:pPr>
      <w:bookmarkStart w:name="（1）应收项目" w:id="458"/>
      <w:bookmarkEnd w:id="45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596"/>
        <w:gridCol w:w="2801"/>
        <w:gridCol w:w="1594"/>
        <w:gridCol w:w="1382"/>
        <w:gridCol w:w="1349"/>
        <w:gridCol w:w="1202"/>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2801"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0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神州顺利办（深圳）科技有限公司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8,130.00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霍尔果斯神州易桥股权投资合伙企 业（有限合伙）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1,250.00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0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财合税（北京）信息技术有限公司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山西易桥商务服务有限公司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9,227.64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80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广州网融信息技术有限公司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0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杭州顺利办企业管理咨询有限公司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财合税（北京）信息技术有限公司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浙江自贸区顺利办资产管理合伙企 业（有限合伙）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62,691,812.43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9,915,828.76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霍尔果斯神州易桥股权投资合伙企 业（有限合伙）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123,916,588.64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36,555,000.00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神州顺利办（深圳）科技有限公司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252" w:right="0"/>
        <w:jc w:val="left"/>
        <w:rPr>
          <w:b w:val="0"/>
          <w:bCs w:val="0"/>
        </w:rPr>
      </w:pPr>
      <w:bookmarkStart w:name="（2）应付项目" w:id="459"/>
      <w:bookmarkEnd w:id="45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霍尔果斯神州易桥股权投资 合伙企业（有限合伙）</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2,309,000.00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山西易桥商务服务有限公司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8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7、关联方承诺" w:id="460"/>
      <w:bookmarkEnd w:id="46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bookmarkStart w:name="8、其他" w:id="461"/>
      <w:bookmarkEnd w:id="46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62"/>
      <w:bookmarkEnd w:id="462"/>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3"/>
      <w:bookmarkEnd w:id="46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9,035,000.00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8.22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以权益结算的股份支付情况" w:id="464"/>
      <w:bookmarkEnd w:id="46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71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激励计划草案公告前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个交易日的公司股票交易均价，为</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每股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各期可行权数量</w:t>
            </w:r>
            <w:r>
              <w:rPr>
                <w:rFonts w:ascii="Times New Roman" w:hAnsi="Times New Roman" w:cs="Times New Roman" w:eastAsia="Times New Roman" w:hint="default"/>
                <w:sz w:val="18"/>
                <w:szCs w:val="18"/>
              </w:rPr>
              <w:t>=</w:t>
            </w:r>
            <w:r>
              <w:rPr>
                <w:rFonts w:ascii="宋体" w:hAnsi="宋体" w:cs="宋体" w:eastAsia="宋体" w:hint="default"/>
                <w:sz w:val="18"/>
                <w:szCs w:val="18"/>
              </w:rPr>
              <w:t>各期可行权额度</w:t>
            </w:r>
            <w:r>
              <w:rPr>
                <w:rFonts w:ascii="Times New Roman" w:hAnsi="Times New Roman" w:cs="Times New Roman" w:eastAsia="Times New Roman" w:hint="default"/>
                <w:sz w:val="18"/>
                <w:szCs w:val="18"/>
              </w:rPr>
              <w:t>×</w:t>
            </w:r>
            <w:r>
              <w:rPr>
                <w:rFonts w:ascii="宋体" w:hAnsi="宋体" w:cs="宋体" w:eastAsia="宋体" w:hint="default"/>
                <w:sz w:val="18"/>
                <w:szCs w:val="18"/>
              </w:rPr>
              <w:t>考核指标完成率</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9,158,745.28</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4,032,800.00</w:t>
            </w:r>
          </w:p>
        </w:tc>
      </w:tr>
    </w:tbl>
    <w:p>
      <w:pPr>
        <w:pStyle w:val="BodyText"/>
        <w:spacing w:line="240" w:lineRule="auto" w:before="49"/>
        <w:ind w:right="1133"/>
        <w:jc w:val="left"/>
      </w:pPr>
      <w:r>
        <w:rPr/>
        <w:t>其他说明</w:t>
      </w:r>
    </w:p>
    <w:p>
      <w:pPr>
        <w:pStyle w:val="BodyText"/>
        <w:spacing w:line="316" w:lineRule="auto" w:before="117"/>
        <w:ind w:right="1133" w:firstLine="420"/>
        <w:jc w:val="left"/>
      </w:pPr>
      <w:r>
        <w:rPr>
          <w:rFonts w:ascii="宋体" w:hAnsi="宋体" w:cs="宋体" w:eastAsia="宋体" w:hint="default"/>
        </w:rPr>
        <w:t>2019</w:t>
      </w:r>
      <w:r>
        <w:rPr/>
        <w:t>年度公司经审计实现归属于上市公司股东的净利润亏损，扣除股权激励成本后，未达到业绩考核目标下限，行权 条件未达成。公司按照激励计划相关规定，注销激励对象所获授股票期权的当期可行权份额，注销权益总额</w:t>
      </w:r>
      <w:r>
        <w:rPr>
          <w:rFonts w:ascii="宋体" w:hAnsi="宋体" w:cs="宋体" w:eastAsia="宋体" w:hint="default"/>
        </w:rPr>
        <w:t>903.50</w:t>
      </w:r>
      <w:r>
        <w:rPr/>
        <w:t>万份。</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以现金结算的股份支付情况" w:id="465"/>
      <w:bookmarkEnd w:id="46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506" w:lineRule="auto"/>
        <w:ind w:left="489" w:right="7922" w:hanging="337"/>
        <w:jc w:val="left"/>
        <w:rPr>
          <w:rFonts w:ascii="宋体" w:hAnsi="宋体" w:cs="宋体" w:eastAsia="宋体" w:hint="default"/>
          <w:b w:val="0"/>
          <w:bCs w:val="0"/>
        </w:rPr>
      </w:pPr>
      <w:bookmarkStart w:name="4、股份支付的修改、终止情况" w:id="466"/>
      <w:bookmarkEnd w:id="466"/>
      <w:r>
        <w:rPr>
          <w:b w:val="0"/>
          <w:bCs w:val="0"/>
        </w:rPr>
      </w:r>
      <w:r>
        <w:rPr>
          <w:rFonts w:ascii="Times New Roman" w:hAnsi="Times New Roman" w:cs="Times New Roman" w:eastAsia="Times New Roman" w:hint="default"/>
          <w:spacing w:val="-1"/>
        </w:rPr>
        <w:t>4</w:t>
      </w:r>
      <w:r>
        <w:rPr>
          <w:spacing w:val="-1"/>
        </w:rPr>
        <w:t>、股份支付的修改、终止情况</w:t>
      </w:r>
      <w:r>
        <w:rPr>
          <w:spacing w:val="-93"/>
        </w:rPr>
        <w:t> </w:t>
      </w:r>
      <w:r>
        <w:rPr>
          <w:spacing w:val="-93"/>
        </w:rPr>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487" w:lineRule="auto" w:before="36"/>
        <w:ind w:left="152" w:right="8345" w:firstLine="0"/>
        <w:jc w:val="left"/>
        <w:rPr>
          <w:rFonts w:ascii="宋体" w:hAnsi="宋体" w:cs="宋体" w:eastAsia="宋体" w:hint="default"/>
          <w:sz w:val="21"/>
          <w:szCs w:val="21"/>
        </w:rPr>
      </w:pPr>
      <w:bookmarkStart w:name="5、其他" w:id="467"/>
      <w:bookmarkEnd w:id="46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68"/>
      <w:bookmarkEnd w:id="468"/>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9"/>
      <w:bookmarkEnd w:id="4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5"/>
        <w:ind w:left="575" w:right="1133" w:hanging="423"/>
        <w:jc w:val="left"/>
      </w:pPr>
      <w:r>
        <w:rPr/>
        <w:t>资产负债表日存在的重要承诺 </w:t>
      </w:r>
      <w:r>
        <w:rPr>
          <w:rFonts w:ascii="宋体" w:hAnsi="宋体" w:cs="宋体" w:eastAsia="宋体" w:hint="default"/>
          <w:spacing w:val="-2"/>
        </w:rPr>
        <w:t>1</w:t>
      </w:r>
      <w:r>
        <w:rPr>
          <w:spacing w:val="-2"/>
        </w:rPr>
        <w:t>）本公司之子公司神州易桥（北京）财税科技有限公司在</w:t>
      </w:r>
      <w:r>
        <w:rPr>
          <w:rFonts w:ascii="宋体" w:hAnsi="宋体" w:cs="宋体" w:eastAsia="宋体" w:hint="default"/>
          <w:spacing w:val="-2"/>
        </w:rPr>
        <w:t>2016</w:t>
      </w:r>
      <w:r>
        <w:rPr>
          <w:spacing w:val="-2"/>
        </w:rPr>
        <w:t>年度完成对无锡易广企业管理有限公司的股权收购，于</w:t>
      </w:r>
    </w:p>
    <w:p>
      <w:pPr>
        <w:pStyle w:val="BodyText"/>
        <w:spacing w:line="224" w:lineRule="exact"/>
        <w:ind w:left="150" w:right="0"/>
        <w:jc w:val="left"/>
      </w:pPr>
      <w:r>
        <w:rPr>
          <w:rFonts w:ascii="宋体" w:hAnsi="宋体" w:cs="宋体" w:eastAsia="宋体" w:hint="default"/>
        </w:rPr>
        <w:t>2016</w:t>
      </w:r>
      <w:r>
        <w:rPr/>
        <w:t>年</w:t>
      </w:r>
      <w:r>
        <w:rPr>
          <w:rFonts w:ascii="宋体" w:hAnsi="宋体" w:cs="宋体" w:eastAsia="宋体" w:hint="default"/>
        </w:rPr>
        <w:t>8</w:t>
      </w:r>
      <w:r>
        <w:rPr/>
        <w:t>月与补偿义务人聂静签订了《无锡易广企业管理有限公司股权转让协议之盈利补偿协议书》，补偿义务人承诺：无</w:t>
      </w:r>
    </w:p>
    <w:p>
      <w:pPr>
        <w:pStyle w:val="BodyText"/>
        <w:spacing w:line="316" w:lineRule="auto" w:before="76"/>
        <w:ind w:left="150" w:right="1131"/>
        <w:jc w:val="both"/>
      </w:pPr>
      <w:r>
        <w:rPr/>
        <w:t>锡易广企业管理有限公司</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日期间、</w:t>
      </w:r>
      <w:r>
        <w:rPr>
          <w:rFonts w:ascii="宋体" w:hAnsi="宋体" w:cs="宋体" w:eastAsia="宋体" w:hint="default"/>
        </w:rPr>
        <w:t>2017</w:t>
      </w:r>
      <w:r>
        <w:rPr/>
        <w:t>年度、</w:t>
      </w:r>
      <w:r>
        <w:rPr>
          <w:rFonts w:ascii="宋体" w:hAnsi="宋体" w:cs="宋体" w:eastAsia="宋体" w:hint="default"/>
        </w:rPr>
        <w:t>2018</w:t>
      </w:r>
      <w:r>
        <w:rPr/>
        <w:t>年度及</w:t>
      </w:r>
      <w:r>
        <w:rPr>
          <w:rFonts w:ascii="宋体" w:hAnsi="宋体" w:cs="宋体" w:eastAsia="宋体" w:hint="default"/>
        </w:rPr>
        <w:t>2019</w:t>
      </w:r>
      <w:r>
        <w:rPr/>
        <w:t>年度承诺的扣非净利润分别不低于</w:t>
      </w:r>
      <w:r>
        <w:rPr>
          <w:rFonts w:ascii="宋体" w:hAnsi="宋体" w:cs="宋体" w:eastAsia="宋体" w:hint="default"/>
        </w:rPr>
        <w:t>67</w:t>
      </w:r>
      <w:r>
        <w:rPr>
          <w:rFonts w:ascii="宋体" w:hAnsi="宋体" w:cs="宋体" w:eastAsia="宋体" w:hint="default"/>
          <w:spacing w:val="-11"/>
        </w:rPr>
        <w:t> </w:t>
      </w:r>
      <w:r>
        <w:rPr>
          <w:spacing w:val="-3"/>
        </w:rPr>
        <w:t>万元、</w:t>
      </w:r>
      <w:r>
        <w:rPr>
          <w:rFonts w:ascii="宋体" w:hAnsi="宋体" w:cs="宋体" w:eastAsia="宋体" w:hint="default"/>
          <w:spacing w:val="-3"/>
        </w:rPr>
        <w:t>179</w:t>
      </w:r>
      <w:r>
        <w:rPr>
          <w:spacing w:val="-3"/>
        </w:rPr>
        <w:t>万元、</w:t>
      </w:r>
      <w:r>
        <w:rPr>
          <w:rFonts w:ascii="宋体" w:hAnsi="宋体" w:cs="宋体" w:eastAsia="宋体" w:hint="default"/>
          <w:spacing w:val="-3"/>
        </w:rPr>
        <w:t>216</w:t>
      </w:r>
      <w:r>
        <w:rPr>
          <w:spacing w:val="-3"/>
        </w:rPr>
        <w:t>万元和</w:t>
      </w:r>
      <w:r>
        <w:rPr>
          <w:rFonts w:ascii="宋体" w:hAnsi="宋体" w:cs="宋体" w:eastAsia="宋体" w:hint="default"/>
          <w:spacing w:val="-3"/>
        </w:rPr>
        <w:t>262</w:t>
      </w:r>
      <w:r>
        <w:rPr>
          <w:spacing w:val="-3"/>
        </w:rPr>
        <w:t>万元。补偿义务人对上述承诺的扣非净利润的实现承担保证责任。根据立信会计师事务所（特</w:t>
      </w:r>
      <w:r>
        <w:rPr/>
        <w:t> 殊普通合伙）审计后的报表，补偿义务人</w:t>
      </w:r>
      <w:r>
        <w:rPr>
          <w:rFonts w:ascii="宋体" w:hAnsi="宋体" w:cs="宋体" w:eastAsia="宋体" w:hint="default"/>
        </w:rPr>
        <w:t>2019</w:t>
      </w:r>
      <w:r>
        <w:rPr/>
        <w:t>年度完成承诺利润的</w:t>
      </w:r>
      <w:r>
        <w:rPr>
          <w:rFonts w:ascii="宋体" w:hAnsi="宋体" w:cs="宋体" w:eastAsia="宋体" w:hint="default"/>
        </w:rPr>
        <w:t>96.55%</w:t>
      </w:r>
      <w:r>
        <w:rPr/>
        <w:t>，补偿义务人累计已完成承诺利润的</w:t>
      </w:r>
      <w:r>
        <w:rPr>
          <w:rFonts w:ascii="宋体" w:hAnsi="宋体" w:cs="宋体" w:eastAsia="宋体" w:hint="default"/>
        </w:rPr>
        <w:t>100.24%</w:t>
      </w:r>
      <w:r>
        <w:rPr/>
        <w:t>。</w:t>
      </w:r>
    </w:p>
    <w:p>
      <w:pPr>
        <w:spacing w:line="240" w:lineRule="auto" w:before="4"/>
        <w:rPr>
          <w:rFonts w:ascii="宋体" w:hAnsi="宋体" w:cs="宋体" w:eastAsia="宋体" w:hint="default"/>
          <w:sz w:val="25"/>
          <w:szCs w:val="25"/>
        </w:rPr>
      </w:pPr>
    </w:p>
    <w:p>
      <w:pPr>
        <w:pStyle w:val="BodyText"/>
        <w:spacing w:line="316" w:lineRule="auto"/>
        <w:ind w:left="150" w:right="1061" w:firstLine="425"/>
        <w:jc w:val="left"/>
      </w:pPr>
      <w:r>
        <w:rPr/>
        <w:t>（</w:t>
      </w:r>
      <w:r>
        <w:rPr>
          <w:rFonts w:ascii="宋体" w:hAnsi="宋体" w:cs="宋体" w:eastAsia="宋体" w:hint="default"/>
        </w:rPr>
        <w:t>2</w:t>
      </w:r>
      <w:r>
        <w:rPr/>
        <w:t>）本公司之子公司神州易桥（北京）财税科技有限公司在</w:t>
      </w:r>
      <w:r>
        <w:rPr>
          <w:rFonts w:ascii="宋体" w:hAnsi="宋体" w:cs="宋体" w:eastAsia="宋体" w:hint="default"/>
        </w:rPr>
        <w:t>2016</w:t>
      </w:r>
      <w:r>
        <w:rPr/>
        <w:t>年度完成对无锡易真企业管理有限公司的股权收购， 于</w:t>
      </w:r>
      <w:r>
        <w:rPr>
          <w:rFonts w:ascii="宋体" w:hAnsi="宋体" w:cs="宋体" w:eastAsia="宋体" w:hint="default"/>
        </w:rPr>
        <w:t>2016</w:t>
      </w:r>
      <w:r>
        <w:rPr/>
        <w:t>年</w:t>
      </w:r>
      <w:r>
        <w:rPr>
          <w:rFonts w:ascii="宋体" w:hAnsi="宋体" w:cs="宋体" w:eastAsia="宋体" w:hint="default"/>
        </w:rPr>
        <w:t>8</w:t>
      </w:r>
      <w:r>
        <w:rPr/>
        <w:t>月与杨佩剑签订了《无锡易真企业管理有限公司股权转让协议之盈利补偿协议书》，补偿义务人承诺：无锡易真</w:t>
      </w:r>
      <w:r>
        <w:rPr>
          <w:spacing w:val="-83"/>
        </w:rPr>
        <w:t> </w:t>
      </w:r>
      <w:r>
        <w:rPr>
          <w:spacing w:val="-83"/>
        </w:rPr>
      </w:r>
      <w:r>
        <w:rPr>
          <w:spacing w:val="-3"/>
        </w:rPr>
        <w:t>企业管理有限公司</w:t>
      </w:r>
      <w:r>
        <w:rPr>
          <w:rFonts w:ascii="宋体" w:hAnsi="宋体" w:cs="宋体" w:eastAsia="宋体" w:hint="default"/>
          <w:spacing w:val="-3"/>
        </w:rPr>
        <w:t>2016</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日期间、</w:t>
      </w:r>
      <w:r>
        <w:rPr>
          <w:rFonts w:ascii="宋体" w:hAnsi="宋体" w:cs="宋体" w:eastAsia="宋体" w:hint="default"/>
          <w:spacing w:val="-3"/>
        </w:rPr>
        <w:t>2017</w:t>
      </w:r>
      <w:r>
        <w:rPr>
          <w:spacing w:val="-3"/>
        </w:rPr>
        <w:t>年度、</w:t>
      </w:r>
      <w:r>
        <w:rPr>
          <w:rFonts w:ascii="宋体" w:hAnsi="宋体" w:cs="宋体" w:eastAsia="宋体" w:hint="default"/>
          <w:spacing w:val="-3"/>
        </w:rPr>
        <w:t>2018</w:t>
      </w:r>
      <w:r>
        <w:rPr>
          <w:spacing w:val="-3"/>
        </w:rPr>
        <w:t>年度及</w:t>
      </w:r>
      <w:r>
        <w:rPr>
          <w:rFonts w:ascii="宋体" w:hAnsi="宋体" w:cs="宋体" w:eastAsia="宋体" w:hint="default"/>
          <w:spacing w:val="-3"/>
        </w:rPr>
        <w:t>2019</w:t>
      </w:r>
      <w:r>
        <w:rPr>
          <w:spacing w:val="-3"/>
        </w:rPr>
        <w:t>年度承诺的扣非净利润分别不低于</w:t>
      </w:r>
      <w:r>
        <w:rPr>
          <w:rFonts w:ascii="宋体" w:hAnsi="宋体" w:cs="宋体" w:eastAsia="宋体" w:hint="default"/>
          <w:spacing w:val="-3"/>
        </w:rPr>
        <w:t>88</w:t>
      </w:r>
      <w:r>
        <w:rPr>
          <w:spacing w:val="-3"/>
        </w:rPr>
        <w:t>万元、</w:t>
      </w:r>
      <w:r>
        <w:rPr>
          <w:rFonts w:ascii="宋体" w:hAnsi="宋体" w:cs="宋体" w:eastAsia="宋体" w:hint="default"/>
          <w:spacing w:val="-3"/>
        </w:rPr>
        <w:t>191</w:t>
      </w:r>
      <w:r>
        <w:rPr>
          <w:rFonts w:ascii="宋体" w:hAnsi="宋体" w:cs="宋体" w:eastAsia="宋体" w:hint="default"/>
          <w:spacing w:val="-67"/>
        </w:rPr>
        <w:t> </w:t>
      </w:r>
      <w:r>
        <w:rPr>
          <w:rFonts w:ascii="宋体" w:hAnsi="宋体" w:cs="宋体" w:eastAsia="宋体" w:hint="default"/>
          <w:spacing w:val="-67"/>
        </w:rPr>
      </w:r>
      <w:r>
        <w:rPr>
          <w:spacing w:val="-2"/>
        </w:rPr>
        <w:t>万元、</w:t>
      </w:r>
      <w:r>
        <w:rPr>
          <w:rFonts w:ascii="宋体" w:hAnsi="宋体" w:cs="宋体" w:eastAsia="宋体" w:hint="default"/>
          <w:spacing w:val="-2"/>
        </w:rPr>
        <w:t>234</w:t>
      </w:r>
      <w:r>
        <w:rPr>
          <w:spacing w:val="-2"/>
        </w:rPr>
        <w:t>万元和</w:t>
      </w:r>
      <w:r>
        <w:rPr>
          <w:rFonts w:ascii="宋体" w:hAnsi="宋体" w:cs="宋体" w:eastAsia="宋体" w:hint="default"/>
          <w:spacing w:val="-2"/>
        </w:rPr>
        <w:t>276</w:t>
      </w:r>
      <w:r>
        <w:rPr>
          <w:spacing w:val="-2"/>
        </w:rPr>
        <w:t>万元。补偿义务人对上述承诺的扣非净利润的实现承担保证责任。根据立信会计师事务所（特殊普通合</w:t>
      </w:r>
      <w:r>
        <w:rPr>
          <w:spacing w:val="-62"/>
        </w:rPr>
        <w:t> </w:t>
      </w:r>
      <w:r>
        <w:rPr>
          <w:spacing w:val="-62"/>
        </w:rPr>
      </w:r>
      <w:r>
        <w:rPr/>
        <w:t>伙）审计后的报表，补偿义务人</w:t>
      </w:r>
      <w:r>
        <w:rPr>
          <w:rFonts w:ascii="宋体" w:hAnsi="宋体" w:cs="宋体" w:eastAsia="宋体" w:hint="default"/>
        </w:rPr>
        <w:t>2019</w:t>
      </w:r>
      <w:r>
        <w:rPr/>
        <w:t>年度完成承诺利润的</w:t>
      </w:r>
      <w:r>
        <w:rPr>
          <w:rFonts w:ascii="宋体" w:hAnsi="宋体" w:cs="宋体" w:eastAsia="宋体" w:hint="default"/>
        </w:rPr>
        <w:t>97.16%</w:t>
      </w:r>
      <w:r>
        <w:rPr/>
        <w:t>，补偿义务人累计已完成承诺利润的</w:t>
      </w:r>
      <w:r>
        <w:rPr>
          <w:rFonts w:ascii="宋体" w:hAnsi="宋体" w:cs="宋体" w:eastAsia="宋体" w:hint="default"/>
        </w:rPr>
        <w:t>101.47%</w:t>
      </w:r>
      <w:r>
        <w:rPr/>
        <w:t>。</w:t>
      </w:r>
    </w:p>
    <w:p>
      <w:pPr>
        <w:spacing w:line="240" w:lineRule="auto" w:before="4"/>
        <w:rPr>
          <w:rFonts w:ascii="宋体" w:hAnsi="宋体" w:cs="宋体" w:eastAsia="宋体" w:hint="default"/>
          <w:sz w:val="25"/>
          <w:szCs w:val="25"/>
        </w:rPr>
      </w:pPr>
    </w:p>
    <w:p>
      <w:pPr>
        <w:pStyle w:val="BodyText"/>
        <w:spacing w:line="316" w:lineRule="auto"/>
        <w:ind w:left="150" w:right="0" w:firstLine="425"/>
        <w:jc w:val="left"/>
      </w:pPr>
      <w:r>
        <w:rPr>
          <w:spacing w:val="-5"/>
        </w:rPr>
        <w:t>（</w:t>
      </w:r>
      <w:r>
        <w:rPr>
          <w:rFonts w:ascii="宋体" w:hAnsi="宋体" w:cs="宋体" w:eastAsia="宋体" w:hint="default"/>
          <w:spacing w:val="-5"/>
        </w:rPr>
        <w:t>3</w:t>
      </w:r>
      <w:r>
        <w:rPr>
          <w:spacing w:val="-5"/>
        </w:rPr>
        <w:t>）本公司之子公司神州易桥（北京）财税科技有限公司在</w:t>
      </w:r>
      <w:r>
        <w:rPr>
          <w:rFonts w:ascii="宋体" w:hAnsi="宋体" w:cs="宋体" w:eastAsia="宋体" w:hint="default"/>
          <w:spacing w:val="-5"/>
        </w:rPr>
        <w:t>2017</w:t>
      </w:r>
      <w:r>
        <w:rPr>
          <w:spacing w:val="-5"/>
        </w:rPr>
        <w:t>年度完成对宁波顺利办财税服务有限公司（曾用名“宁</w:t>
      </w:r>
      <w:r>
        <w:rPr/>
        <w:t> 波神州开元会计服务有限公司”）的股权收购，于</w:t>
      </w:r>
      <w:r>
        <w:rPr>
          <w:rFonts w:ascii="宋体" w:hAnsi="宋体" w:cs="宋体" w:eastAsia="宋体" w:hint="default"/>
        </w:rPr>
        <w:t>2017</w:t>
      </w:r>
      <w:r>
        <w:rPr/>
        <w:t>年</w:t>
      </w:r>
      <w:r>
        <w:rPr>
          <w:rFonts w:ascii="宋体" w:hAnsi="宋体" w:cs="宋体" w:eastAsia="宋体" w:hint="default"/>
        </w:rPr>
        <w:t>4</w:t>
      </w:r>
      <w:r>
        <w:rPr/>
        <w:t>月与隆化县优创企业管理咨询中心</w:t>
      </w:r>
      <w:r>
        <w:rPr>
          <w:rFonts w:ascii="宋体" w:hAnsi="宋体" w:cs="宋体" w:eastAsia="宋体" w:hint="default"/>
        </w:rPr>
        <w:t>(</w:t>
      </w:r>
      <w:r>
        <w:rPr/>
        <w:t>有限合伙</w:t>
      </w:r>
      <w:r>
        <w:rPr>
          <w:rFonts w:ascii="宋体" w:hAnsi="宋体" w:cs="宋体" w:eastAsia="宋体" w:hint="default"/>
        </w:rPr>
        <w:t>)</w:t>
      </w:r>
      <w:r>
        <w:rPr/>
        <w:t>、霍尔果斯神州易</w:t>
      </w:r>
      <w:r>
        <w:rPr>
          <w:spacing w:val="-83"/>
        </w:rPr>
        <w:t> </w:t>
      </w:r>
      <w:r>
        <w:rPr>
          <w:spacing w:val="-2"/>
        </w:rPr>
        <w:t>桥股权投资合伙企业（有限合伙）、霍尔果斯硕佳股权投资有限公司、西藏天元方创创业投资有限公司签订了《宁波神州开</w:t>
      </w:r>
      <w:r>
        <w:rPr>
          <w:spacing w:val="-65"/>
        </w:rPr>
        <w:t> </w:t>
      </w:r>
      <w:r>
        <w:rPr>
          <w:spacing w:val="-65"/>
        </w:rPr>
      </w:r>
      <w:r>
        <w:rPr/>
        <w:t>元会计服务有限公司股权转让协议之盈利补偿协议书》，补偿义务人承诺：宁波顺利办财税服务有限公司</w:t>
      </w:r>
      <w:r>
        <w:rPr>
          <w:rFonts w:ascii="宋体" w:hAnsi="宋体" w:cs="宋体" w:eastAsia="宋体" w:hint="default"/>
        </w:rPr>
        <w:t>2017</w:t>
      </w:r>
      <w:r>
        <w:rPr/>
        <w:t>年度、</w:t>
      </w:r>
      <w:r>
        <w:rPr>
          <w:rFonts w:ascii="宋体" w:hAnsi="宋体" w:cs="宋体" w:eastAsia="宋体" w:hint="default"/>
        </w:rPr>
        <w:t>2018</w:t>
      </w:r>
      <w:r>
        <w:rPr>
          <w:rFonts w:ascii="宋体" w:hAnsi="宋体" w:cs="宋体" w:eastAsia="宋体" w:hint="default"/>
          <w:spacing w:val="-8"/>
        </w:rPr>
        <w:t> </w:t>
      </w:r>
      <w:r>
        <w:rPr>
          <w:rFonts w:ascii="宋体" w:hAnsi="宋体" w:cs="宋体" w:eastAsia="宋体" w:hint="default"/>
          <w:spacing w:val="-8"/>
        </w:rPr>
      </w:r>
      <w:r>
        <w:rPr/>
        <w:t>年度以及</w:t>
      </w:r>
      <w:r>
        <w:rPr>
          <w:rFonts w:ascii="宋体" w:hAnsi="宋体" w:cs="宋体" w:eastAsia="宋体" w:hint="default"/>
        </w:rPr>
        <w:t>2019</w:t>
      </w:r>
      <w:r>
        <w:rPr/>
        <w:t>年度承诺扣非净利润分别不低于</w:t>
      </w:r>
      <w:r>
        <w:rPr>
          <w:rFonts w:ascii="宋体" w:hAnsi="宋体" w:cs="宋体" w:eastAsia="宋体" w:hint="default"/>
        </w:rPr>
        <w:t>3,000</w:t>
      </w:r>
      <w:r>
        <w:rPr/>
        <w:t>万元、</w:t>
      </w:r>
      <w:r>
        <w:rPr>
          <w:rFonts w:ascii="宋体" w:hAnsi="宋体" w:cs="宋体" w:eastAsia="宋体" w:hint="default"/>
        </w:rPr>
        <w:t>3,600</w:t>
      </w:r>
      <w:r>
        <w:rPr/>
        <w:t>万元和</w:t>
      </w:r>
      <w:r>
        <w:rPr>
          <w:rFonts w:ascii="宋体" w:hAnsi="宋体" w:cs="宋体" w:eastAsia="宋体" w:hint="default"/>
        </w:rPr>
        <w:t>4,320</w:t>
      </w:r>
      <w:r>
        <w:rPr/>
        <w:t>万元。补偿义务人对上述承诺的扣非净利润的</w:t>
      </w:r>
      <w:r>
        <w:rPr>
          <w:spacing w:val="-86"/>
        </w:rPr>
        <w:t> </w:t>
      </w:r>
      <w:r>
        <w:rPr>
          <w:spacing w:val="-86"/>
        </w:rPr>
      </w:r>
      <w:r>
        <w:rPr>
          <w:spacing w:val="-2"/>
        </w:rPr>
        <w:t>实现承担保证责任。根据立信会计师事务所（特殊普通合伙）审计后的报表，补偿义务人</w:t>
      </w:r>
      <w:r>
        <w:rPr>
          <w:rFonts w:ascii="宋体" w:hAnsi="宋体" w:cs="宋体" w:eastAsia="宋体" w:hint="default"/>
          <w:spacing w:val="-2"/>
        </w:rPr>
        <w:t>2019</w:t>
      </w:r>
      <w:r>
        <w:rPr>
          <w:spacing w:val="-2"/>
        </w:rPr>
        <w:t>年度完成承诺利润的</w:t>
      </w:r>
      <w:r>
        <w:rPr>
          <w:rFonts w:ascii="宋体" w:hAnsi="宋体" w:cs="宋体" w:eastAsia="宋体" w:hint="default"/>
          <w:spacing w:val="-2"/>
        </w:rPr>
        <w:t>101.33%</w:t>
      </w:r>
      <w:r>
        <w:rPr>
          <w:spacing w:val="-2"/>
        </w:rPr>
        <w:t>，</w:t>
      </w:r>
      <w:r>
        <w:rPr>
          <w:spacing w:val="-52"/>
        </w:rPr>
        <w:t> </w:t>
      </w:r>
      <w:r>
        <w:rPr/>
        <w:t>补偿义务人累计已完成承诺利润的</w:t>
      </w:r>
      <w:r>
        <w:rPr>
          <w:rFonts w:ascii="宋体" w:hAnsi="宋体" w:cs="宋体" w:eastAsia="宋体" w:hint="default"/>
        </w:rPr>
        <w:t>102.74%</w:t>
      </w:r>
      <w:r>
        <w:rPr/>
        <w:t>。</w:t>
      </w:r>
    </w:p>
    <w:p>
      <w:pPr>
        <w:spacing w:line="240" w:lineRule="auto" w:before="4"/>
        <w:rPr>
          <w:rFonts w:ascii="宋体" w:hAnsi="宋体" w:cs="宋体" w:eastAsia="宋体" w:hint="default"/>
          <w:sz w:val="25"/>
          <w:szCs w:val="25"/>
        </w:rPr>
      </w:pPr>
    </w:p>
    <w:p>
      <w:pPr>
        <w:pStyle w:val="BodyText"/>
        <w:spacing w:line="316" w:lineRule="auto"/>
        <w:ind w:left="150" w:right="1129" w:firstLine="425"/>
        <w:jc w:val="both"/>
      </w:pPr>
      <w:r>
        <w:rPr/>
        <w:t>（</w:t>
      </w:r>
      <w:r>
        <w:rPr>
          <w:rFonts w:ascii="宋体" w:hAnsi="宋体" w:cs="宋体" w:eastAsia="宋体" w:hint="default"/>
        </w:rPr>
        <w:t>4</w:t>
      </w:r>
      <w:r>
        <w:rPr/>
        <w:t>）本公司之子公司霍尔果斯快马财税管理服务有限公司下属的</w:t>
      </w:r>
      <w:r>
        <w:rPr>
          <w:rFonts w:ascii="宋体" w:hAnsi="宋体" w:cs="宋体" w:eastAsia="宋体" w:hint="default"/>
        </w:rPr>
        <w:t>31</w:t>
      </w:r>
      <w:r>
        <w:rPr/>
        <w:t>家终端资产承诺期为</w:t>
      </w:r>
      <w:r>
        <w:rPr>
          <w:rFonts w:ascii="宋体" w:hAnsi="宋体" w:cs="宋体" w:eastAsia="宋体" w:hint="default"/>
        </w:rPr>
        <w:t>2017</w:t>
      </w:r>
      <w:r>
        <w:rPr/>
        <w:t>年度、</w:t>
      </w:r>
      <w:r>
        <w:rPr>
          <w:rFonts w:ascii="宋体" w:hAnsi="宋体" w:cs="宋体" w:eastAsia="宋体" w:hint="default"/>
        </w:rPr>
        <w:t>2018</w:t>
      </w:r>
      <w:r>
        <w:rPr/>
        <w:t>年度、</w:t>
      </w:r>
      <w:r>
        <w:rPr>
          <w:rFonts w:ascii="宋体" w:hAnsi="宋体" w:cs="宋体" w:eastAsia="宋体" w:hint="default"/>
        </w:rPr>
        <w:t>2019 </w:t>
      </w:r>
      <w:r>
        <w:rPr>
          <w:spacing w:val="-2"/>
        </w:rPr>
        <w:t>年度以及</w:t>
      </w:r>
      <w:r>
        <w:rPr>
          <w:rFonts w:ascii="宋体" w:hAnsi="宋体" w:cs="宋体" w:eastAsia="宋体" w:hint="default"/>
          <w:spacing w:val="-2"/>
        </w:rPr>
        <w:t>2020</w:t>
      </w:r>
      <w:r>
        <w:rPr>
          <w:spacing w:val="-2"/>
        </w:rPr>
        <w:t>年度，根据立信会计师事务所（特殊普通合伙）审计后的报表，截止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日三年累计完成承诺利润的</w:t>
      </w:r>
      <w:r>
        <w:rPr>
          <w:spacing w:val="-55"/>
        </w:rPr>
        <w:t> </w:t>
      </w:r>
      <w:r>
        <w:rPr>
          <w:spacing w:val="-55"/>
        </w:rPr>
      </w:r>
      <w:r>
        <w:rPr>
          <w:rFonts w:ascii="宋体" w:hAnsi="宋体" w:cs="宋体" w:eastAsia="宋体" w:hint="default"/>
        </w:rPr>
        <w:t>105.25%</w:t>
      </w:r>
      <w:r>
        <w:rPr/>
        <w:t>。</w:t>
      </w:r>
    </w:p>
    <w:p>
      <w:pPr>
        <w:spacing w:line="240" w:lineRule="auto" w:before="4"/>
        <w:rPr>
          <w:rFonts w:ascii="宋体" w:hAnsi="宋体" w:cs="宋体" w:eastAsia="宋体" w:hint="default"/>
          <w:sz w:val="25"/>
          <w:szCs w:val="25"/>
        </w:rPr>
      </w:pPr>
    </w:p>
    <w:p>
      <w:pPr>
        <w:pStyle w:val="BodyText"/>
        <w:spacing w:line="316" w:lineRule="auto"/>
        <w:ind w:left="150" w:right="1036" w:firstLine="425"/>
        <w:jc w:val="left"/>
      </w:pPr>
      <w:r>
        <w:rPr/>
        <w:t>（</w:t>
      </w:r>
      <w:r>
        <w:rPr>
          <w:rFonts w:ascii="宋体" w:hAnsi="宋体" w:cs="宋体" w:eastAsia="宋体" w:hint="default"/>
        </w:rPr>
        <w:t>5</w:t>
      </w:r>
      <w:r>
        <w:rPr/>
        <w:t>）本公司之子公司霍尔果斯易桥快马企业管理咨询有限公司下属的</w:t>
      </w:r>
      <w:r>
        <w:rPr>
          <w:rFonts w:ascii="宋体" w:hAnsi="宋体" w:cs="宋体" w:eastAsia="宋体" w:hint="default"/>
        </w:rPr>
        <w:t>40</w:t>
      </w:r>
      <w:r>
        <w:rPr/>
        <w:t>家终端资产承诺期为</w:t>
      </w:r>
      <w:r>
        <w:rPr>
          <w:rFonts w:ascii="宋体" w:hAnsi="宋体" w:cs="宋体" w:eastAsia="宋体" w:hint="default"/>
        </w:rPr>
        <w:t>2017</w:t>
      </w:r>
      <w:r>
        <w:rPr/>
        <w:t>年度、</w:t>
      </w:r>
      <w:r>
        <w:rPr>
          <w:rFonts w:ascii="宋体" w:hAnsi="宋体" w:cs="宋体" w:eastAsia="宋体" w:hint="default"/>
        </w:rPr>
        <w:t>2018</w:t>
      </w:r>
      <w:r>
        <w:rPr/>
        <w:t>年度以及 </w:t>
      </w:r>
      <w:r>
        <w:rPr>
          <w:rFonts w:ascii="宋体" w:hAnsi="宋体" w:cs="宋体" w:eastAsia="宋体" w:hint="default"/>
        </w:rPr>
        <w:t>2019</w:t>
      </w:r>
      <w:r>
        <w:rPr/>
        <w:t>年度，根据立信会计师事务所（特殊普通合伙）审计后的报表，截止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日三年累计完成承诺利润的</w:t>
      </w:r>
      <w:r>
        <w:rPr>
          <w:rFonts w:ascii="宋体" w:hAnsi="宋体" w:cs="宋体" w:eastAsia="宋体" w:hint="default"/>
        </w:rPr>
        <w:t>93.94%</w:t>
      </w:r>
      <w:r>
        <w:rPr/>
        <w:t>。</w:t>
      </w:r>
    </w:p>
    <w:p>
      <w:pPr>
        <w:spacing w:line="240" w:lineRule="auto" w:before="4"/>
        <w:rPr>
          <w:rFonts w:ascii="宋体" w:hAnsi="宋体" w:cs="宋体" w:eastAsia="宋体" w:hint="default"/>
          <w:sz w:val="25"/>
          <w:szCs w:val="25"/>
        </w:rPr>
      </w:pPr>
    </w:p>
    <w:p>
      <w:pPr>
        <w:pStyle w:val="BodyText"/>
        <w:spacing w:line="319" w:lineRule="auto"/>
        <w:ind w:left="150" w:right="1128" w:firstLine="425"/>
        <w:jc w:val="both"/>
      </w:pPr>
      <w:r>
        <w:rPr>
          <w:spacing w:val="-2"/>
        </w:rPr>
        <w:t>（</w:t>
      </w:r>
      <w:r>
        <w:rPr>
          <w:rFonts w:ascii="宋体" w:hAnsi="宋体" w:cs="宋体" w:eastAsia="宋体" w:hint="default"/>
          <w:spacing w:val="-2"/>
        </w:rPr>
        <w:t>6</w:t>
      </w:r>
      <w:r>
        <w:rPr>
          <w:spacing w:val="-2"/>
        </w:rPr>
        <w:t>）本公司在</w:t>
      </w:r>
      <w:r>
        <w:rPr>
          <w:rFonts w:ascii="宋体" w:hAnsi="宋体" w:cs="宋体" w:eastAsia="宋体" w:hint="default"/>
          <w:spacing w:val="-2"/>
        </w:rPr>
        <w:t>2017</w:t>
      </w:r>
      <w:r>
        <w:rPr>
          <w:spacing w:val="-2"/>
        </w:rPr>
        <w:t>年度完成对广州网融信息技术有限公司（以下简称“广州网融”）</w:t>
      </w:r>
      <w:r>
        <w:rPr>
          <w:rFonts w:ascii="宋体" w:hAnsi="宋体" w:cs="宋体" w:eastAsia="宋体" w:hint="default"/>
          <w:spacing w:val="-2"/>
        </w:rPr>
        <w:t>25%</w:t>
      </w:r>
      <w:r>
        <w:rPr>
          <w:spacing w:val="-2"/>
        </w:rPr>
        <w:t>股权收购。并于</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月与</w:t>
      </w:r>
      <w:r>
        <w:rPr/>
        <w:t> </w:t>
      </w:r>
      <w:r>
        <w:rPr>
          <w:spacing w:val="-2"/>
        </w:rPr>
        <w:t>陈颖、陈勇及谢鹏三名自然人签署了《股权转让协议之盈利补偿协议书》，补偿义务人承诺：广州网融</w:t>
      </w:r>
      <w:r>
        <w:rPr>
          <w:rFonts w:ascii="宋体" w:hAnsi="宋体" w:cs="宋体" w:eastAsia="宋体" w:hint="default"/>
          <w:spacing w:val="-2"/>
        </w:rPr>
        <w:t>2017</w:t>
      </w:r>
      <w:r>
        <w:rPr>
          <w:spacing w:val="-2"/>
        </w:rPr>
        <w:t>年度、</w:t>
      </w:r>
      <w:r>
        <w:rPr>
          <w:rFonts w:ascii="宋体" w:hAnsi="宋体" w:cs="宋体" w:eastAsia="宋体" w:hint="default"/>
          <w:spacing w:val="-2"/>
        </w:rPr>
        <w:t>2018</w:t>
      </w:r>
      <w:r>
        <w:rPr>
          <w:spacing w:val="-2"/>
        </w:rPr>
        <w:t>年度</w:t>
      </w:r>
      <w:r>
        <w:rPr>
          <w:spacing w:val="-57"/>
        </w:rPr>
        <w:t> </w:t>
      </w:r>
      <w:r>
        <w:rPr/>
        <w:t>以及</w:t>
      </w:r>
      <w:r>
        <w:rPr>
          <w:rFonts w:ascii="宋体" w:hAnsi="宋体" w:cs="宋体" w:eastAsia="宋体" w:hint="default"/>
        </w:rPr>
        <w:t>2019</w:t>
      </w:r>
      <w:r>
        <w:rPr/>
        <w:t>年度承诺扣非净利润分别不低</w:t>
      </w:r>
      <w:r>
        <w:rPr>
          <w:rFonts w:ascii="宋体" w:hAnsi="宋体" w:cs="宋体" w:eastAsia="宋体" w:hint="default"/>
        </w:rPr>
        <w:t>1,500</w:t>
      </w:r>
      <w:r>
        <w:rPr/>
        <w:t>万元、</w:t>
      </w:r>
      <w:r>
        <w:rPr>
          <w:rFonts w:ascii="宋体" w:hAnsi="宋体" w:cs="宋体" w:eastAsia="宋体" w:hint="default"/>
        </w:rPr>
        <w:t>1,800</w:t>
      </w:r>
      <w:r>
        <w:rPr/>
        <w:t>万元和</w:t>
      </w:r>
      <w:r>
        <w:rPr>
          <w:rFonts w:ascii="宋体" w:hAnsi="宋体" w:cs="宋体" w:eastAsia="宋体" w:hint="default"/>
        </w:rPr>
        <w:t>2,160</w:t>
      </w:r>
      <w:r>
        <w:rPr/>
        <w:t>万元。补偿义务人对上述承诺的扣非净利润的实现承</w:t>
      </w:r>
      <w:r>
        <w:rPr>
          <w:spacing w:val="-87"/>
        </w:rPr>
        <w:t> </w:t>
      </w:r>
      <w:r>
        <w:rPr>
          <w:spacing w:val="-87"/>
        </w:rPr>
      </w:r>
      <w:r>
        <w:rPr/>
        <w:t>担保证责任。根据天职国际会计师事务所（特殊普通合伙）出具的天职业字</w:t>
      </w:r>
      <w:r>
        <w:rPr>
          <w:rFonts w:ascii="宋体" w:hAnsi="宋体" w:cs="宋体" w:eastAsia="宋体" w:hint="default"/>
        </w:rPr>
        <w:t>[2020]18151</w:t>
      </w:r>
      <w:r>
        <w:rPr/>
        <w:t>号审计报告，补偿义务人截止</w:t>
      </w:r>
      <w:r>
        <w:rPr>
          <w:rFonts w:ascii="宋体" w:hAnsi="宋体" w:cs="宋体" w:eastAsia="宋体" w:hint="default"/>
        </w:rPr>
        <w:t>2019</w:t>
      </w:r>
      <w:r>
        <w:rPr>
          <w:rFonts w:ascii="宋体" w:hAnsi="宋体" w:cs="宋体" w:eastAsia="宋体" w:hint="default"/>
          <w:spacing w:val="-85"/>
        </w:rPr>
        <w:t> </w:t>
      </w:r>
      <w:r>
        <w:rPr/>
        <w:t>年</w:t>
      </w:r>
      <w:r>
        <w:rPr>
          <w:rFonts w:ascii="宋体" w:hAnsi="宋体" w:cs="宋体" w:eastAsia="宋体" w:hint="default"/>
        </w:rPr>
        <w:t>12</w:t>
      </w:r>
      <w:r>
        <w:rPr/>
        <w:t>月</w:t>
      </w:r>
      <w:r>
        <w:rPr>
          <w:rFonts w:ascii="宋体" w:hAnsi="宋体" w:cs="宋体" w:eastAsia="宋体" w:hint="default"/>
        </w:rPr>
        <w:t>31</w:t>
      </w:r>
      <w:r>
        <w:rPr/>
        <w:t>日三年累计完成承诺利润的</w:t>
      </w:r>
      <w:r>
        <w:rPr>
          <w:rFonts w:ascii="宋体" w:hAnsi="宋体" w:cs="宋体" w:eastAsia="宋体" w:hint="default"/>
        </w:rPr>
        <w:t>80.17%</w:t>
      </w:r>
      <w:r>
        <w:rPr/>
        <w:t>。</w:t>
      </w:r>
    </w:p>
    <w:p>
      <w:pPr>
        <w:spacing w:after="0" w:line="319"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0"/>
        <w:jc w:val="both"/>
        <w:rPr>
          <w:b w:val="0"/>
          <w:bCs w:val="0"/>
        </w:rPr>
      </w:pPr>
      <w:bookmarkStart w:name="2、或有事项" w:id="470"/>
      <w:bookmarkEnd w:id="47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资产负债表日存在的重要或有事项" w:id="471"/>
      <w:bookmarkEnd w:id="47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firstLine="425"/>
        <w:jc w:val="left"/>
      </w:pPr>
      <w:r>
        <w:rPr/>
        <w:t>（</w:t>
      </w:r>
      <w:r>
        <w:rPr>
          <w:rFonts w:ascii="宋体" w:hAnsi="宋体" w:cs="宋体" w:eastAsia="宋体" w:hint="default"/>
        </w:rPr>
        <w:t>1</w:t>
      </w: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日，霍尔果斯快马财税管理服务有限公司及霍尔果斯易桥快马企业管理咨询有限公司因终止合 作等原因解除已签订的《股权转让协议》及《盈利补偿协议》等相关原协议，双方对终止合作协议的签订事项未达成一致， 本公司提起诉讼，目前案件正在审理中。</w:t>
      </w:r>
    </w:p>
    <w:p>
      <w:pPr>
        <w:spacing w:line="240" w:lineRule="auto" w:before="4"/>
        <w:rPr>
          <w:rFonts w:ascii="宋体" w:hAnsi="宋体" w:cs="宋体" w:eastAsia="宋体" w:hint="default"/>
          <w:sz w:val="25"/>
          <w:szCs w:val="25"/>
        </w:rPr>
      </w:pPr>
    </w:p>
    <w:p>
      <w:pPr>
        <w:pStyle w:val="BodyText"/>
        <w:spacing w:line="316" w:lineRule="auto"/>
        <w:ind w:left="578" w:right="1133"/>
        <w:jc w:val="left"/>
      </w:pPr>
      <w:r>
        <w:rPr/>
        <w:t>（</w:t>
      </w:r>
      <w:r>
        <w:rPr>
          <w:rFonts w:ascii="宋体" w:hAnsi="宋体" w:cs="宋体" w:eastAsia="宋体" w:hint="default"/>
        </w:rPr>
        <w:t>2</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日，本公司受限制的货币资金为</w:t>
      </w:r>
      <w:r>
        <w:rPr>
          <w:rFonts w:ascii="宋体" w:hAnsi="宋体" w:cs="宋体" w:eastAsia="宋体" w:hint="default"/>
        </w:rPr>
        <w:t>16,210,904.21</w:t>
      </w:r>
      <w:r>
        <w:rPr/>
        <w:t>元</w:t>
      </w:r>
      <w:r>
        <w:rPr>
          <w:rFonts w:ascii="宋体" w:hAnsi="宋体" w:cs="宋体" w:eastAsia="宋体" w:hint="default"/>
        </w:rPr>
        <w:t>. </w:t>
      </w:r>
      <w:r>
        <w:rPr>
          <w:spacing w:val="-2"/>
        </w:rPr>
        <w:t>其中</w:t>
      </w:r>
      <w:r>
        <w:rPr>
          <w:rFonts w:ascii="宋体" w:hAnsi="宋体" w:cs="宋体" w:eastAsia="宋体" w:hint="default"/>
          <w:spacing w:val="-2"/>
        </w:rPr>
        <w:t>10,765,915.37</w:t>
      </w:r>
      <w:r>
        <w:rPr>
          <w:spacing w:val="-2"/>
        </w:rPr>
        <w:t>元为霍尔果斯琴晓股权投资管理合伙企业（普通合伙）与霍尔果斯快马财税管理服务服务有限公司</w:t>
      </w:r>
    </w:p>
    <w:p>
      <w:pPr>
        <w:pStyle w:val="BodyText"/>
        <w:spacing w:line="319" w:lineRule="auto" w:before="19"/>
        <w:ind w:right="1128"/>
        <w:jc w:val="both"/>
      </w:pPr>
      <w:r>
        <w:rPr>
          <w:spacing w:val="-2"/>
        </w:rPr>
        <w:t>关于泉州易桥惠信财税咨询有限公司股权转让纠纷形成。霍尔果斯琴晓股权投资管理合伙企业（普通合伙）向新疆维吾尔自</w:t>
      </w:r>
      <w:r>
        <w:rPr>
          <w:spacing w:val="-66"/>
        </w:rPr>
        <w:t> </w:t>
      </w:r>
      <w:r>
        <w:rPr>
          <w:spacing w:val="-66"/>
        </w:rPr>
      </w:r>
      <w:r>
        <w:rPr>
          <w:spacing w:val="-2"/>
        </w:rPr>
        <w:t>治区霍尔果斯市人民法院（</w:t>
      </w:r>
      <w:r>
        <w:rPr>
          <w:rFonts w:ascii="宋体" w:hAnsi="宋体" w:cs="宋体" w:eastAsia="宋体" w:hint="default"/>
          <w:spacing w:val="-2"/>
        </w:rPr>
        <w:t>2018</w:t>
      </w:r>
      <w:r>
        <w:rPr>
          <w:spacing w:val="-2"/>
        </w:rPr>
        <w:t>新</w:t>
      </w:r>
      <w:r>
        <w:rPr>
          <w:rFonts w:ascii="宋体" w:hAnsi="宋体" w:cs="宋体" w:eastAsia="宋体" w:hint="default"/>
          <w:spacing w:val="-2"/>
        </w:rPr>
        <w:t>4004</w:t>
      </w:r>
      <w:r>
        <w:rPr>
          <w:spacing w:val="-2"/>
        </w:rPr>
        <w:t>财保</w:t>
      </w:r>
      <w:r>
        <w:rPr>
          <w:rFonts w:ascii="宋体" w:hAnsi="宋体" w:cs="宋体" w:eastAsia="宋体" w:hint="default"/>
          <w:spacing w:val="-2"/>
        </w:rPr>
        <w:t>24</w:t>
      </w:r>
      <w:r>
        <w:rPr>
          <w:spacing w:val="-2"/>
        </w:rPr>
        <w:t>号）申请诉前财产保全，保全财产金额</w:t>
      </w:r>
      <w:r>
        <w:rPr>
          <w:rFonts w:ascii="宋体" w:hAnsi="宋体" w:cs="宋体" w:eastAsia="宋体" w:hint="default"/>
          <w:spacing w:val="-2"/>
        </w:rPr>
        <w:t>8,000,000.00</w:t>
      </w:r>
      <w:r>
        <w:rPr>
          <w:spacing w:val="-2"/>
        </w:rPr>
        <w:t>元，霍尔果斯快马财税管</w:t>
      </w:r>
      <w:r>
        <w:rPr>
          <w:spacing w:val="-49"/>
        </w:rPr>
        <w:t> </w:t>
      </w:r>
      <w:r>
        <w:rPr>
          <w:spacing w:val="-49"/>
        </w:rPr>
      </w:r>
      <w:r>
        <w:rPr/>
        <w:t>理服务服务有限公司第一分公司等三家分公司账户合计被冻结</w:t>
      </w:r>
      <w:r>
        <w:rPr>
          <w:rFonts w:ascii="宋体" w:hAnsi="宋体" w:cs="宋体" w:eastAsia="宋体" w:hint="default"/>
        </w:rPr>
        <w:t>10,765,915.37</w:t>
      </w:r>
      <w:r>
        <w:rPr/>
        <w:t>元。目前案件正在审理中。</w:t>
      </w:r>
    </w:p>
    <w:p>
      <w:pPr>
        <w:pStyle w:val="BodyText"/>
        <w:spacing w:line="316" w:lineRule="auto" w:before="17"/>
        <w:ind w:right="1129" w:firstLine="425"/>
        <w:jc w:val="both"/>
      </w:pPr>
      <w:r>
        <w:rPr/>
        <w:t>其中</w:t>
      </w:r>
      <w:r>
        <w:rPr>
          <w:rFonts w:ascii="宋体" w:hAnsi="宋体" w:cs="宋体" w:eastAsia="宋体" w:hint="default"/>
        </w:rPr>
        <w:t>3,423,241.95</w:t>
      </w:r>
      <w:r>
        <w:rPr/>
        <w:t>元为自然人李艺苹与霍尔果斯快马财税管理服务服务有限公司关于漳州芗城易桥会计服务有限公司 </w:t>
      </w:r>
      <w:r>
        <w:rPr>
          <w:spacing w:val="-2"/>
        </w:rPr>
        <w:t>股权转让纠纷形成，李艺苹向新疆维吾尔自治区霍尔果斯市人民法院（</w:t>
      </w:r>
      <w:r>
        <w:rPr>
          <w:rFonts w:ascii="宋体" w:hAnsi="宋体" w:cs="宋体" w:eastAsia="宋体" w:hint="default"/>
          <w:spacing w:val="-2"/>
        </w:rPr>
        <w:t>2018</w:t>
      </w:r>
      <w:r>
        <w:rPr>
          <w:spacing w:val="-2"/>
        </w:rPr>
        <w:t>新</w:t>
      </w:r>
      <w:r>
        <w:rPr>
          <w:rFonts w:ascii="宋体" w:hAnsi="宋体" w:cs="宋体" w:eastAsia="宋体" w:hint="default"/>
          <w:spacing w:val="-2"/>
        </w:rPr>
        <w:t>4004</w:t>
      </w:r>
      <w:r>
        <w:rPr>
          <w:spacing w:val="-2"/>
        </w:rPr>
        <w:t>财保</w:t>
      </w:r>
      <w:r>
        <w:rPr>
          <w:rFonts w:ascii="宋体" w:hAnsi="宋体" w:cs="宋体" w:eastAsia="宋体" w:hint="default"/>
          <w:spacing w:val="-2"/>
        </w:rPr>
        <w:t>40</w:t>
      </w:r>
      <w:r>
        <w:rPr>
          <w:spacing w:val="-2"/>
        </w:rPr>
        <w:t>号）申请诉前财产保全，保全财产</w:t>
      </w:r>
      <w:r>
        <w:rPr>
          <w:spacing w:val="-57"/>
        </w:rPr>
        <w:t> </w:t>
      </w:r>
      <w:r>
        <w:rPr>
          <w:spacing w:val="-57"/>
        </w:rPr>
      </w:r>
      <w:r>
        <w:rPr>
          <w:spacing w:val="-2"/>
        </w:rPr>
        <w:t>金额</w:t>
      </w:r>
      <w:r>
        <w:rPr>
          <w:rFonts w:ascii="宋体" w:hAnsi="宋体" w:cs="宋体" w:eastAsia="宋体" w:hint="default"/>
          <w:spacing w:val="-2"/>
        </w:rPr>
        <w:t>3,423,241.95</w:t>
      </w:r>
      <w:r>
        <w:rPr>
          <w:spacing w:val="-2"/>
        </w:rPr>
        <w:t>元，霍尔果斯快马财税管理服务服务有限公司绍兴分公司账户被冻结</w:t>
      </w:r>
      <w:r>
        <w:rPr>
          <w:rFonts w:ascii="宋体" w:hAnsi="宋体" w:cs="宋体" w:eastAsia="宋体" w:hint="default"/>
          <w:spacing w:val="-2"/>
        </w:rPr>
        <w:t>3,423,241.95</w:t>
      </w:r>
      <w:r>
        <w:rPr>
          <w:spacing w:val="-2"/>
        </w:rPr>
        <w:t>元。目前案件正在审理</w:t>
      </w:r>
      <w:r>
        <w:rPr>
          <w:spacing w:val="-49"/>
        </w:rPr>
        <w:t> </w:t>
      </w:r>
      <w:r>
        <w:rPr>
          <w:spacing w:val="-49"/>
        </w:rPr>
      </w:r>
      <w:r>
        <w:rPr/>
        <w:t>中。</w:t>
      </w:r>
    </w:p>
    <w:p>
      <w:pPr>
        <w:pStyle w:val="BodyText"/>
        <w:spacing w:line="316" w:lineRule="auto" w:before="19"/>
        <w:ind w:right="1123" w:firstLine="425"/>
        <w:jc w:val="both"/>
      </w:pPr>
      <w:r>
        <w:rPr/>
        <w:t>其中</w:t>
      </w:r>
      <w:r>
        <w:rPr>
          <w:rFonts w:ascii="宋体" w:hAnsi="宋体" w:cs="宋体" w:eastAsia="宋体" w:hint="default"/>
        </w:rPr>
        <w:t>2,021,746.89</w:t>
      </w:r>
      <w:r>
        <w:rPr/>
        <w:t>元为长春市蚂蚁网络科技有限公司与霍尔果斯易桥快马企业管理咨询有限公司关于长春易桥朝阳财 税服务有限公司股权转让纠纷形成，长春市蚂蚁网络科技有限公司向新疆维吾尔自治区霍尔果斯市人民法院（</w:t>
      </w:r>
      <w:r>
        <w:rPr>
          <w:rFonts w:ascii="宋体" w:hAnsi="宋体" w:cs="宋体" w:eastAsia="宋体" w:hint="default"/>
        </w:rPr>
        <w:t>2018</w:t>
      </w:r>
      <w:r>
        <w:rPr/>
        <w:t>新</w:t>
      </w:r>
      <w:r>
        <w:rPr>
          <w:rFonts w:ascii="宋体" w:hAnsi="宋体" w:cs="宋体" w:eastAsia="宋体" w:hint="default"/>
        </w:rPr>
        <w:t>4004</w:t>
      </w:r>
      <w:r>
        <w:rPr>
          <w:rFonts w:ascii="宋体" w:hAnsi="宋体" w:cs="宋体" w:eastAsia="宋体" w:hint="default"/>
          <w:spacing w:val="-13"/>
        </w:rPr>
        <w:t> </w:t>
      </w:r>
      <w:r>
        <w:rPr>
          <w:spacing w:val="7"/>
        </w:rPr>
        <w:t>财保</w:t>
      </w:r>
      <w:r>
        <w:rPr>
          <w:rFonts w:ascii="宋体" w:hAnsi="宋体" w:cs="宋体" w:eastAsia="宋体" w:hint="default"/>
          <w:spacing w:val="7"/>
        </w:rPr>
        <w:t>22</w:t>
      </w:r>
      <w:r>
        <w:rPr>
          <w:spacing w:val="7"/>
        </w:rPr>
        <w:t>号）申请诉前财产保全，保全财产金额</w:t>
      </w:r>
      <w:r>
        <w:rPr>
          <w:rFonts w:ascii="宋体" w:hAnsi="宋体" w:cs="宋体" w:eastAsia="宋体" w:hint="default"/>
          <w:spacing w:val="7"/>
        </w:rPr>
        <w:t>2,500,000.00</w:t>
      </w:r>
      <w:r>
        <w:rPr>
          <w:spacing w:val="7"/>
        </w:rPr>
        <w:t>元，霍尔果斯易桥快马企业管理咨询有限公司账户被冻结</w:t>
      </w:r>
      <w:r>
        <w:rPr>
          <w:spacing w:val="-59"/>
        </w:rPr>
        <w:t> </w:t>
      </w:r>
      <w:r>
        <w:rPr>
          <w:spacing w:val="-59"/>
        </w:rPr>
      </w:r>
      <w:r>
        <w:rPr>
          <w:rFonts w:ascii="宋体" w:hAnsi="宋体" w:cs="宋体" w:eastAsia="宋体" w:hint="default"/>
        </w:rPr>
        <w:t>2,021,746.89</w:t>
      </w:r>
      <w:r>
        <w:rPr/>
        <w:t>元。目前该案件霍尔果斯易桥快马企业管理咨询有限公司一审已胜诉。二审正在审理中。</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公司没有需要披露的重要或有事项，也应予以说明" w:id="472"/>
      <w:bookmarkEnd w:id="47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bookmarkStart w:name="3、其他" w:id="473"/>
      <w:bookmarkEnd w:id="47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474"/>
      <w:bookmarkEnd w:id="474"/>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1133"/>
        <w:jc w:val="left"/>
        <w:rPr>
          <w:b w:val="0"/>
          <w:bCs w:val="0"/>
        </w:rPr>
      </w:pPr>
      <w:bookmarkStart w:name="1、重要的非调整事项" w:id="475"/>
      <w:bookmarkEnd w:id="475"/>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2、利润分配情况" w:id="476"/>
      <w:bookmarkEnd w:id="47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3、销售退回" w:id="477"/>
      <w:bookmarkEnd w:id="47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其他资产负债表日后事项说明" w:id="478"/>
      <w:bookmarkEnd w:id="47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425"/>
        <w:jc w:val="both"/>
      </w:pPr>
      <w:r>
        <w:rPr/>
        <w:t>受新型冠状病毒肺炎疫情影响，公司及公司线下门店复工及员工到岗时间比往年延迟一个月以上，导致公司及线下门 </w:t>
      </w:r>
      <w:r>
        <w:rPr>
          <w:spacing w:val="-2"/>
        </w:rPr>
        <w:t>店无法正常开展业务。同时本次疫情对中小微企业造成较大冲击，对公司正式复工后线下业务开发带来一定影响。公司正持</w:t>
      </w:r>
      <w:r>
        <w:rPr>
          <w:spacing w:val="-63"/>
        </w:rPr>
        <w:t> </w:t>
      </w:r>
      <w:r>
        <w:rPr>
          <w:spacing w:val="-63"/>
        </w:rPr>
      </w:r>
      <w:r>
        <w:rPr/>
        <w:t>续关注和采取必要措施减少该疫情对公司未来的影响。</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十六、其他重要事项" w:id="479"/>
      <w:bookmarkEnd w:id="479"/>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前期会计差错更正" w:id="480"/>
      <w:bookmarkEnd w:id="480"/>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1）追溯重述法" w:id="481"/>
      <w:bookmarkEnd w:id="48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未来适用法" w:id="482"/>
      <w:bookmarkEnd w:id="482"/>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债务重组" w:id="483"/>
      <w:bookmarkEnd w:id="48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资产置换" w:id="484"/>
      <w:bookmarkEnd w:id="484"/>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非货币性资产交换" w:id="485"/>
      <w:bookmarkEnd w:id="485"/>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其他资产置换" w:id="486"/>
      <w:bookmarkEnd w:id="486"/>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年金计划" w:id="487"/>
      <w:bookmarkEnd w:id="487"/>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终止经营" w:id="488"/>
      <w:bookmarkEnd w:id="48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1133"/>
        <w:jc w:val="left"/>
      </w:pPr>
      <w:r>
        <w:rPr/>
        <w:t>其他说明</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6、分部信息" w:id="489"/>
      <w:bookmarkEnd w:id="489"/>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报告分部的确定依据与会计政策" w:id="490"/>
      <w:bookmarkEnd w:id="49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58" w:firstLine="336"/>
        <w:jc w:val="left"/>
      </w:pPr>
      <w:r>
        <w:rPr/>
        <w:t>本公司以内部组织结构、管理要求、内部报告制度为依据确定经营分部，以经营分部为基础确定报告分部。经营分部， 是指公司内同时满足下列条件的组成部分</w:t>
      </w:r>
    </w:p>
    <w:p>
      <w:pPr>
        <w:pStyle w:val="BodyText"/>
        <w:spacing w:line="240" w:lineRule="auto" w:before="19"/>
        <w:ind w:left="566" w:right="1133"/>
        <w:jc w:val="left"/>
      </w:pPr>
      <w:r>
        <w:rPr/>
        <w:t>（</w:t>
      </w:r>
      <w:r>
        <w:rPr>
          <w:rFonts w:ascii="宋体" w:hAnsi="宋体" w:cs="宋体" w:eastAsia="宋体" w:hint="default"/>
        </w:rPr>
        <w:t>1</w:t>
      </w:r>
      <w:r>
        <w:rPr/>
        <w:t>）该组成部分能够在日常活动中产生收入、发生费用；</w:t>
      </w:r>
    </w:p>
    <w:p>
      <w:pPr>
        <w:pStyle w:val="BodyText"/>
        <w:spacing w:line="240" w:lineRule="auto" w:before="76"/>
        <w:ind w:left="566" w:right="1133"/>
        <w:jc w:val="left"/>
      </w:pPr>
      <w:r>
        <w:rPr/>
        <w:t>（</w:t>
      </w:r>
      <w:r>
        <w:rPr>
          <w:rFonts w:ascii="宋体" w:hAnsi="宋体" w:cs="宋体" w:eastAsia="宋体" w:hint="default"/>
        </w:rPr>
        <w:t>2</w:t>
      </w:r>
      <w:r>
        <w:rPr/>
        <w:t>）本公司管理层能够定期评价该组成部分的经营成果，以决定向其配置资源、评价其业绩；</w:t>
      </w:r>
    </w:p>
    <w:p>
      <w:pPr>
        <w:pStyle w:val="BodyText"/>
        <w:spacing w:line="316" w:lineRule="auto" w:before="76"/>
        <w:ind w:left="566" w:right="1520"/>
        <w:jc w:val="left"/>
      </w:pPr>
      <w:r>
        <w:rPr/>
        <w:t>（</w:t>
      </w:r>
      <w:r>
        <w:rPr>
          <w:rFonts w:ascii="宋体" w:hAnsi="宋体" w:cs="宋体" w:eastAsia="宋体" w:hint="default"/>
        </w:rPr>
        <w:t>3</w:t>
      </w:r>
      <w:r>
        <w:rPr/>
        <w:t>）本公司能够取得该组成部分的财务状况、经营成果和现金流量等有关会计信息。 如果两个或多个经营分部存在相似经济特征且同时在以下方面具有相同或相似性的，可以合并为一个经营分部：</w:t>
      </w:r>
    </w:p>
    <w:p>
      <w:pPr>
        <w:pStyle w:val="BodyText"/>
        <w:spacing w:line="240" w:lineRule="auto" w:before="19"/>
        <w:ind w:left="566" w:right="1133"/>
        <w:jc w:val="left"/>
      </w:pPr>
      <w:r>
        <w:rPr/>
        <w:t>（</w:t>
      </w:r>
      <w:r>
        <w:rPr>
          <w:rFonts w:ascii="宋体" w:hAnsi="宋体" w:cs="宋体" w:eastAsia="宋体" w:hint="default"/>
        </w:rPr>
        <w:t>1</w:t>
      </w:r>
      <w:r>
        <w:rPr/>
        <w:t>）各单项产品或服务的性质；</w:t>
      </w:r>
    </w:p>
    <w:p>
      <w:pPr>
        <w:pStyle w:val="BodyText"/>
        <w:spacing w:line="240" w:lineRule="auto" w:before="76"/>
        <w:ind w:left="566" w:right="1133"/>
        <w:jc w:val="left"/>
      </w:pPr>
      <w:r>
        <w:rPr/>
        <w:t>（</w:t>
      </w:r>
      <w:r>
        <w:rPr>
          <w:rFonts w:ascii="宋体" w:hAnsi="宋体" w:cs="宋体" w:eastAsia="宋体" w:hint="default"/>
        </w:rPr>
        <w:t>2</w:t>
      </w:r>
      <w:r>
        <w:rPr/>
        <w:t>）经营过程的性质；</w:t>
      </w:r>
    </w:p>
    <w:p>
      <w:pPr>
        <w:pStyle w:val="BodyText"/>
        <w:spacing w:line="240" w:lineRule="auto" w:before="77"/>
        <w:ind w:left="566" w:right="1133"/>
        <w:jc w:val="left"/>
      </w:pPr>
      <w:r>
        <w:rPr/>
        <w:t>（</w:t>
      </w:r>
      <w:r>
        <w:rPr>
          <w:rFonts w:ascii="宋体" w:hAnsi="宋体" w:cs="宋体" w:eastAsia="宋体" w:hint="default"/>
        </w:rPr>
        <w:t>3</w:t>
      </w:r>
      <w:r>
        <w:rPr/>
        <w:t>）产品或服务的客户类型；</w:t>
      </w:r>
    </w:p>
    <w:p>
      <w:pPr>
        <w:pStyle w:val="BodyText"/>
        <w:spacing w:line="240" w:lineRule="auto" w:before="76"/>
        <w:ind w:left="566" w:right="1133"/>
        <w:jc w:val="left"/>
      </w:pPr>
      <w:r>
        <w:rPr/>
        <w:t>（</w:t>
      </w:r>
      <w:r>
        <w:rPr>
          <w:rFonts w:ascii="宋体" w:hAnsi="宋体" w:cs="宋体" w:eastAsia="宋体" w:hint="default"/>
        </w:rPr>
        <w:t>4</w:t>
      </w:r>
      <w:r>
        <w:rPr/>
        <w:t>）销售产品或提供服务的方式；</w:t>
      </w:r>
    </w:p>
    <w:p>
      <w:pPr>
        <w:pStyle w:val="BodyText"/>
        <w:spacing w:line="240" w:lineRule="auto" w:before="76"/>
        <w:ind w:left="566" w:right="1133"/>
        <w:jc w:val="left"/>
      </w:pPr>
      <w:r>
        <w:rPr/>
        <w:t>（</w:t>
      </w:r>
      <w:r>
        <w:rPr>
          <w:rFonts w:ascii="宋体" w:hAnsi="宋体" w:cs="宋体" w:eastAsia="宋体" w:hint="default"/>
        </w:rPr>
        <w:t>5</w:t>
      </w:r>
      <w:r>
        <w:rPr/>
        <w:t>）生产产品及提供劳务受法律、行政法规的影响。</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报告分部的财务信息" w:id="491"/>
      <w:bookmarkEnd w:id="49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44"/>
        <w:gridCol w:w="1379"/>
        <w:gridCol w:w="1366"/>
        <w:gridCol w:w="1368"/>
        <w:gridCol w:w="1366"/>
        <w:gridCol w:w="1529"/>
        <w:gridCol w:w="1368"/>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0" w:right="0"/>
              <w:jc w:val="left"/>
              <w:rPr>
                <w:rFonts w:ascii="宋体" w:hAnsi="宋体" w:cs="宋体" w:eastAsia="宋体" w:hint="default"/>
                <w:sz w:val="18"/>
                <w:szCs w:val="18"/>
              </w:rPr>
            </w:pPr>
            <w:r>
              <w:rPr>
                <w:rFonts w:ascii="宋体" w:hAnsi="宋体" w:cs="宋体" w:eastAsia="宋体" w:hint="default"/>
                <w:sz w:val="18"/>
                <w:szCs w:val="18"/>
              </w:rPr>
              <w:t>人力资本业务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企业咨询服务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餐饮业务</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1,508,485,670.87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546,432,521.08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2,087,269.75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-31,967,592.80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2,025,037,868.90</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1,465,786,951.52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199,507,025.21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1,111,132.08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781,332.45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-13,868,416.59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1,653,318,024.67</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-27,488,838.96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-871,633,156.69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489,042.33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-2,238,164.67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73,166,153.46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-827,704,964.53</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139,703,453.84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6,394,264,139.67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47,412,506.61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2,599,949.92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-3,800,116,696.24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2,783,863,353.80</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134,180,292.82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1,861,440,037.41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3,512,700.99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7,941,126.06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-912,818,732.88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1,094,255,424.40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公司无报告分部的，或者不能披露各报告分部的资产总额和负债总额的，应说明原因" w:id="492"/>
      <w:bookmarkEnd w:id="492"/>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其他说明" w:id="493"/>
      <w:bookmarkEnd w:id="493"/>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7、其他对投资者决策有影响的重要交易和事项" w:id="494"/>
      <w:bookmarkEnd w:id="494"/>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8、其他" w:id="495"/>
      <w:bookmarkEnd w:id="495"/>
      <w:r>
        <w:rPr>
          <w:b w:val="0"/>
          <w:bCs w:val="0"/>
        </w:rPr>
      </w:r>
      <w:r>
        <w:rPr>
          <w:rFonts w:ascii="Times New Roman" w:hAnsi="Times New Roman" w:cs="Times New Roman" w:eastAsia="Times New Roman" w:hint="default"/>
        </w:rPr>
        <w:t>8</w:t>
      </w:r>
      <w:r>
        <w:rPr/>
        <w:t>、其他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866" w:right="1133"/>
        <w:jc w:val="left"/>
      </w:pPr>
      <w:r>
        <w:rPr/>
        <w:t>截至本公告披露日，本公司股东所持质押股份情况如下：</w:t>
      </w:r>
    </w:p>
    <w:p>
      <w:pPr>
        <w:spacing w:line="240" w:lineRule="auto" w:before="10"/>
        <w:rPr>
          <w:rFonts w:ascii="宋体" w:hAnsi="宋体" w:cs="宋体" w:eastAsia="宋体" w:hint="default"/>
          <w:sz w:val="3"/>
          <w:szCs w:val="3"/>
        </w:rPr>
      </w:pPr>
    </w:p>
    <w:tbl>
      <w:tblPr>
        <w:tblW w:w="0" w:type="auto"/>
        <w:jc w:val="left"/>
        <w:tblInd w:w="260" w:type="dxa"/>
        <w:tblLayout w:type="fixed"/>
        <w:tblCellMar>
          <w:top w:w="0" w:type="dxa"/>
          <w:left w:w="0" w:type="dxa"/>
          <w:bottom w:w="0" w:type="dxa"/>
          <w:right w:w="0" w:type="dxa"/>
        </w:tblCellMar>
        <w:tblLook w:val="01E0"/>
      </w:tblPr>
      <w:tblGrid>
        <w:gridCol w:w="2283"/>
        <w:gridCol w:w="1522"/>
        <w:gridCol w:w="1311"/>
        <w:gridCol w:w="1675"/>
        <w:gridCol w:w="1265"/>
        <w:gridCol w:w="1358"/>
      </w:tblGrid>
      <w:tr>
        <w:trPr>
          <w:trHeight w:val="68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持股数量（股）</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sz w:val="18"/>
                <w:szCs w:val="18"/>
              </w:rPr>
              <w:t>累计质押股份数量</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2"/>
              <w:ind w:left="192" w:right="86" w:hanging="104"/>
              <w:jc w:val="left"/>
              <w:rPr>
                <w:rFonts w:ascii="宋体" w:hAnsi="宋体" w:cs="宋体" w:eastAsia="宋体" w:hint="default"/>
                <w:sz w:val="18"/>
                <w:szCs w:val="18"/>
              </w:rPr>
            </w:pPr>
            <w:r>
              <w:rPr>
                <w:rFonts w:ascii="宋体" w:hAnsi="宋体" w:cs="宋体" w:eastAsia="宋体" w:hint="default"/>
                <w:sz w:val="18"/>
                <w:szCs w:val="18"/>
              </w:rPr>
              <w:t>占其所持股份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2"/>
              <w:ind w:left="237" w:right="43" w:hanging="195"/>
              <w:jc w:val="left"/>
              <w:rPr>
                <w:rFonts w:ascii="宋体" w:hAnsi="宋体" w:cs="宋体" w:eastAsia="宋体" w:hint="default"/>
                <w:sz w:val="18"/>
                <w:szCs w:val="18"/>
              </w:rPr>
            </w:pPr>
            <w:r>
              <w:rPr>
                <w:rFonts w:ascii="宋体" w:hAnsi="宋体" w:cs="宋体" w:eastAsia="宋体" w:hint="default"/>
                <w:sz w:val="18"/>
                <w:szCs w:val="18"/>
              </w:rPr>
              <w:t>占本公司总股本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连良桂</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128,536,103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16.78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3" w:right="0"/>
              <w:jc w:val="left"/>
              <w:rPr>
                <w:rFonts w:ascii="Times New Roman" w:hAnsi="Times New Roman" w:cs="Times New Roman" w:eastAsia="Times New Roman" w:hint="default"/>
                <w:sz w:val="18"/>
                <w:szCs w:val="18"/>
              </w:rPr>
            </w:pPr>
            <w:r>
              <w:rPr>
                <w:rFonts w:ascii="Times New Roman"/>
                <w:sz w:val="18"/>
              </w:rPr>
              <w:t>128,490,000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2"/>
              <w:jc w:val="right"/>
              <w:rPr>
                <w:rFonts w:ascii="Times New Roman" w:hAnsi="Times New Roman" w:cs="Times New Roman" w:eastAsia="Times New Roman" w:hint="default"/>
                <w:sz w:val="18"/>
                <w:szCs w:val="18"/>
              </w:rPr>
            </w:pPr>
            <w:r>
              <w:rPr>
                <w:rFonts w:ascii="Times New Roman"/>
                <w:sz w:val="18"/>
              </w:rPr>
              <w:t>99.96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16.78</w:t>
            </w:r>
          </w:p>
        </w:tc>
      </w:tr>
      <w:tr>
        <w:trPr>
          <w:trHeight w:val="34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彭聪</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78,130,329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10.20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9" w:right="0"/>
              <w:jc w:val="left"/>
              <w:rPr>
                <w:rFonts w:ascii="Times New Roman" w:hAnsi="Times New Roman" w:cs="Times New Roman" w:eastAsia="Times New Roman" w:hint="default"/>
                <w:sz w:val="18"/>
                <w:szCs w:val="18"/>
              </w:rPr>
            </w:pPr>
            <w:r>
              <w:rPr>
                <w:rFonts w:ascii="Times New Roman"/>
                <w:sz w:val="18"/>
              </w:rPr>
              <w:t>40,000,000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2"/>
              <w:jc w:val="right"/>
              <w:rPr>
                <w:rFonts w:ascii="Times New Roman" w:hAnsi="Times New Roman" w:cs="Times New Roman" w:eastAsia="Times New Roman" w:hint="default"/>
                <w:sz w:val="18"/>
                <w:szCs w:val="18"/>
              </w:rPr>
            </w:pPr>
            <w:r>
              <w:rPr>
                <w:rFonts w:ascii="Times New Roman"/>
                <w:sz w:val="18"/>
              </w:rPr>
              <w:t>51.20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5.22</w:t>
            </w:r>
          </w:p>
        </w:tc>
      </w:tr>
      <w:tr>
        <w:trPr>
          <w:trHeight w:val="34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百达永信投资有限公司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45,768,340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5.98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9" w:right="0"/>
              <w:jc w:val="left"/>
              <w:rPr>
                <w:rFonts w:ascii="Times New Roman" w:hAnsi="Times New Roman" w:cs="Times New Roman" w:eastAsia="Times New Roman" w:hint="default"/>
                <w:sz w:val="18"/>
                <w:szCs w:val="18"/>
              </w:rPr>
            </w:pPr>
            <w:r>
              <w:rPr>
                <w:rFonts w:ascii="Times New Roman"/>
                <w:sz w:val="18"/>
              </w:rPr>
              <w:t>25,000,000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22"/>
              <w:jc w:val="right"/>
              <w:rPr>
                <w:rFonts w:ascii="Times New Roman" w:hAnsi="Times New Roman" w:cs="Times New Roman" w:eastAsia="Times New Roman" w:hint="default"/>
                <w:sz w:val="18"/>
                <w:szCs w:val="18"/>
              </w:rPr>
            </w:pPr>
            <w:r>
              <w:rPr>
                <w:rFonts w:ascii="Times New Roman"/>
                <w:sz w:val="18"/>
              </w:rPr>
              <w:t>54.62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3.26</w:t>
            </w:r>
          </w:p>
        </w:tc>
      </w:tr>
    </w:tbl>
    <w:p>
      <w:pPr>
        <w:pStyle w:val="BodyText"/>
        <w:spacing w:line="300" w:lineRule="auto" w:before="49"/>
        <w:ind w:right="1133" w:firstLine="425"/>
        <w:jc w:val="left"/>
      </w:pPr>
      <w:r>
        <w:rPr>
          <w:spacing w:val="-3"/>
        </w:rPr>
        <w:t>本公司对河北兴石创业投资有限公司（以下简称“河北兴石”）出资</w:t>
      </w:r>
      <w:r>
        <w:rPr/>
        <w:t> </w:t>
      </w:r>
      <w:r>
        <w:rPr>
          <w:rFonts w:ascii="Times New Roman" w:hAnsi="Times New Roman" w:cs="Times New Roman" w:eastAsia="Times New Roman" w:hint="default"/>
          <w:spacing w:val="-1"/>
        </w:rPr>
        <w:t>3,100.00</w:t>
      </w:r>
      <w:r>
        <w:rPr>
          <w:rFonts w:ascii="Times New Roman" w:hAnsi="Times New Roman" w:cs="Times New Roman" w:eastAsia="Times New Roman" w:hint="default"/>
        </w:rPr>
        <w:t> </w:t>
      </w:r>
      <w:r>
        <w:rPr>
          <w:spacing w:val="-1"/>
        </w:rPr>
        <w:t>万元，持股</w:t>
      </w:r>
      <w:r>
        <w:rPr>
          <w:spacing w:val="-47"/>
        </w:rPr>
        <w:t> </w:t>
      </w:r>
      <w:r>
        <w:rPr>
          <w:rFonts w:ascii="Times New Roman" w:hAnsi="Times New Roman" w:cs="Times New Roman" w:eastAsia="Times New Roman" w:hint="default"/>
          <w:spacing w:val="-1"/>
        </w:rPr>
        <w:t>31.00%</w:t>
      </w:r>
      <w:r>
        <w:rPr>
          <w:spacing w:val="-1"/>
        </w:rPr>
        <w:t>。本公司对其实施重</w:t>
      </w:r>
      <w:r>
        <w:rPr/>
        <w:t> 大影响。</w:t>
      </w: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月，根据各方股东一致同意对河北兴石进行清算。预计于</w:t>
      </w:r>
      <w:r>
        <w:rPr>
          <w:spacing w:val="-46"/>
        </w:rPr>
        <w:t> </w:t>
      </w:r>
      <w:r>
        <w:rPr>
          <w:rFonts w:ascii="Times New Roman" w:hAnsi="Times New Roman" w:cs="Times New Roman" w:eastAsia="Times New Roman" w:hint="default"/>
        </w:rPr>
        <w:t>2020 </w:t>
      </w:r>
      <w:r>
        <w:rPr/>
        <w:t>年上半年完成整体清算工作。</w:t>
      </w:r>
    </w:p>
    <w:p>
      <w:pPr>
        <w:spacing w:after="0" w:line="30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bookmarkStart w:name="十七、母公司财务报表主要项目注释" w:id="496"/>
      <w:bookmarkEnd w:id="496"/>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 w:id="497"/>
      <w:bookmarkEnd w:id="49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分类披露" w:id="498"/>
      <w:bookmarkEnd w:id="49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119,029.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5,951.45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113,077.5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8,716.57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165,614.67</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119,029.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5,951.45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113,077.5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119,029.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5,951.45</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113,077.5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8,716.57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165,614.67</w:t>
            </w:r>
          </w:p>
        </w:tc>
      </w:tr>
    </w:tbl>
    <w:p>
      <w:pPr>
        <w:pStyle w:val="BodyText"/>
        <w:spacing w:line="240" w:lineRule="auto" w:before="49"/>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0"/>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38"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119,029.00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119,029.00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2）本期计提、收回或转回的坏账准备情况" w:id="499"/>
      <w:bookmarkEnd w:id="49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366"/>
        <w:gridCol w:w="1368"/>
        <w:gridCol w:w="1368"/>
        <w:gridCol w:w="1142"/>
        <w:gridCol w:w="1136"/>
        <w:gridCol w:w="1366"/>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0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8,716.57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2,765.12</w:t>
            </w:r>
          </w:p>
        </w:tc>
        <w:tc>
          <w:tcPr>
            <w:tcW w:w="114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5,951.45</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8,716.57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2,765.12</w:t>
            </w:r>
          </w:p>
        </w:tc>
        <w:tc>
          <w:tcPr>
            <w:tcW w:w="114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5,951.45</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4"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实际核销的应收账款情况" w:id="500"/>
      <w:bookmarkEnd w:id="50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按欠款方归集的期末余额前五名的应收账款情况" w:id="501"/>
      <w:bookmarkEnd w:id="50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因金融资产转移而终止确认的应收账款" w:id="502"/>
      <w:bookmarkEnd w:id="50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6）转移应收账款且继续涉入形成的资产、负债金额" w:id="503"/>
      <w:bookmarkEnd w:id="50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其他应收款" w:id="504"/>
      <w:bookmarkEnd w:id="50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140,222,881.28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38,216,902.96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141,472,881.28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39,466,902.96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收利息" w:id="505"/>
      <w:bookmarkEnd w:id="50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利息分类" w:id="506"/>
      <w:bookmarkEnd w:id="506"/>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逾期利息" w:id="507"/>
      <w:bookmarkEnd w:id="507"/>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坏账准备计提情况" w:id="508"/>
      <w:bookmarkEnd w:id="50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应收股利" w:id="509"/>
      <w:bookmarkEnd w:id="50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股利分类" w:id="510"/>
      <w:bookmarkEnd w:id="510"/>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的账龄超过1年的应收股利" w:id="511"/>
      <w:bookmarkEnd w:id="511"/>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489"/>
        <w:gridCol w:w="1274"/>
        <w:gridCol w:w="2554"/>
        <w:gridCol w:w="2408"/>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存在对赌，对赌结束后支付</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坏账准备计提情况" w:id="512"/>
      <w:bookmarkEnd w:id="512"/>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3）其他应收款" w:id="513"/>
      <w:bookmarkEnd w:id="51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514"/>
      <w:bookmarkEnd w:id="514"/>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150,313,562.09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32,048,504.54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8,114,294.07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垫付货款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1,486,185.37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16,490.43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应收投资转让款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14,106.42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171,132,113.24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54,356,780.83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515"/>
      <w:bookmarkEnd w:id="51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1"/>
        <w:gridCol w:w="1651"/>
        <w:gridCol w:w="1894"/>
        <w:gridCol w:w="2098"/>
        <w:gridCol w:w="1586"/>
      </w:tblGrid>
      <w:tr>
        <w:trPr>
          <w:trHeight w:val="401" w:hRule="exact"/>
        </w:trPr>
        <w:tc>
          <w:tcPr>
            <w:tcW w:w="24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5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24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48"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3" w:right="39"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5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3" w:hRule="exact"/>
        </w:trPr>
        <w:tc>
          <w:tcPr>
            <w:tcW w:w="24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1894"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15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7,481,008.76</w:t>
            </w:r>
          </w:p>
        </w:tc>
        <w:tc>
          <w:tcPr>
            <w:tcW w:w="1894"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8,658,869.11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16,139,877.87</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2,099,354.09</w:t>
            </w:r>
          </w:p>
        </w:tc>
        <w:tc>
          <w:tcPr>
            <w:tcW w:w="1894"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14,769,354.09</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9,580,362.85</w:t>
            </w:r>
          </w:p>
        </w:tc>
        <w:tc>
          <w:tcPr>
            <w:tcW w:w="1894"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21,328,869.11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30,909,231.96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129,947,252.66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11,006,675.00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7,786,969.33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22,391,216.25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22,391,216.25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171,132,113.24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3）本期计提、收回或转回的坏账准备情况" w:id="516"/>
      <w:bookmarkEnd w:id="516"/>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277"/>
        <w:gridCol w:w="1416"/>
        <w:gridCol w:w="1222"/>
        <w:gridCol w:w="850"/>
        <w:gridCol w:w="994"/>
        <w:gridCol w:w="1699"/>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6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8,658,869.11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12,670,000.00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21,328,869.11</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7,481,008.76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2,099,354.09</w:t>
            </w:r>
          </w:p>
        </w:tc>
        <w:tc>
          <w:tcPr>
            <w:tcW w:w="122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9,580,362.85</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16,139,877.87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14,769,354.09</w:t>
            </w:r>
          </w:p>
        </w:tc>
        <w:tc>
          <w:tcPr>
            <w:tcW w:w="122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30,909,231.96</w:t>
            </w:r>
          </w:p>
        </w:tc>
      </w:tr>
    </w:tbl>
    <w:p>
      <w:pPr>
        <w:pStyle w:val="BodyText"/>
        <w:spacing w:line="240" w:lineRule="auto" w:before="49"/>
        <w:ind w:right="1133"/>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本期实际核销的其他应收款情况" w:id="517"/>
      <w:bookmarkEnd w:id="517"/>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按欠款方归集的期末余额前五名的其他应收款情况" w:id="518"/>
      <w:bookmarkEnd w:id="518"/>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应收投资款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应收投资款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8,114,294.07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613,832.85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245,533.14</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544,575.04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544,575.04</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22,075,601.96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21,627,562.25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涉及政府补助的应收款项" w:id="519"/>
      <w:bookmarkEnd w:id="519"/>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7）因金融资产转移而终止确认的其他应收款" w:id="520"/>
      <w:bookmarkEnd w:id="520"/>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8）转移其他应收款且继续涉入形成的资产、负债金额" w:id="521"/>
      <w:bookmarkEnd w:id="521"/>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长期股权投资" w:id="522"/>
      <w:bookmarkEnd w:id="52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2,735,033,900.00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2,124,033,900.00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2,725,533,900.00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2,725,533,900.00</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177,506,441.97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5,669,034.60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171,837,407.37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238,544,564.24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238,544,564.24</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2,912,540,341.97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616,669,034.60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2,295,871,307.37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2,964,078,464.24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2,964,078,464.24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对子公司投资" w:id="523"/>
      <w:bookmarkEnd w:id="52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167"/>
        <w:gridCol w:w="1164"/>
        <w:gridCol w:w="1070"/>
        <w:gridCol w:w="1167"/>
        <w:gridCol w:w="1006"/>
        <w:gridCol w:w="1215"/>
        <w:gridCol w:w="1212"/>
      </w:tblGrid>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5"/>
              <w:ind w:left="278" w:right="98"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4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5"/>
              <w:ind w:left="391" w:right="31"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422" w:right="5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青海宁达创业投资有 限责任公司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30,033,900.00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30,033,900.00</w:t>
            </w: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神州易桥（北京）财 税科技有限公司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789,000,000.00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611,000,000.00</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企业管家（北京）科 技服务有限公司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9,500,000.00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704,000,000.00</w:t>
            </w: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北京办饭餐饮管理有 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霍尔果斯快马财税管 理有限公司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600,000,000.00</w:t>
            </w: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2,725,533,900.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9,500,000.00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2,124,033,900.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611,000,000.00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对联营、合营企业投资" w:id="524"/>
      <w:bookmarkEnd w:id="52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697"/>
        <w:gridCol w:w="797"/>
        <w:gridCol w:w="797"/>
        <w:gridCol w:w="799"/>
        <w:gridCol w:w="797"/>
        <w:gridCol w:w="800"/>
        <w:gridCol w:w="797"/>
        <w:gridCol w:w="799"/>
        <w:gridCol w:w="797"/>
        <w:gridCol w:w="800"/>
        <w:gridCol w:w="797"/>
        <w:gridCol w:w="799"/>
      </w:tblGrid>
      <w:tr>
        <w:trPr>
          <w:trHeight w:val="402" w:hRule="exact"/>
        </w:trPr>
        <w:tc>
          <w:tcPr>
            <w:tcW w:w="1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16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4"/>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4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104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吉林省嘉孚化学工业 股份有限公司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6,706,246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-1,037,21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5,669,034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r>
      <w:tr>
        <w:trPr>
          <w:trHeight w:val="71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河北兴石创业投资有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32,332,35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19,685,00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-88,363.6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12,558,99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2.75</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广西海东创业投资有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19,534,53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19,720,99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2.83</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广州网融信息技术有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51,714,10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5,204,947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56,919,05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5.70</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洛阳蓝宝氟业有限公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29,838,33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29,474,84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-363,487.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霍尔果斯中企易桥股 权投资合伙企业（有 限合伙）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4,131,347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-584,443.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3,546,904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.56</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霍尔果斯易桥快马企 业管理咨询有限公司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94,287,63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-15,196,1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71.60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79,091,46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1.53</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238,544,5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64.24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49,159,84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-11,878,2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74.01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5,669,034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171,837,4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07.37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5,669,034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.60</w:t>
            </w:r>
          </w:p>
        </w:tc>
      </w:tr>
      <w:tr>
        <w:trPr>
          <w:trHeight w:val="715"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238,544,5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64.24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49,159,84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-11,878,2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74.01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5,669,034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171,837,4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r>
    </w:tbl>
    <w:p>
      <w:pPr>
        <w:spacing w:line="240" w:lineRule="auto" w:before="3"/>
        <w:rPr>
          <w:rFonts w:ascii="宋体" w:hAnsi="宋体" w:cs="宋体" w:eastAsia="宋体" w:hint="default"/>
          <w:sz w:val="19"/>
          <w:szCs w:val="19"/>
        </w:rPr>
      </w:pPr>
    </w:p>
    <w:p>
      <w:pPr>
        <w:pStyle w:val="Heading3"/>
        <w:spacing w:line="240" w:lineRule="auto" w:before="36"/>
        <w:ind w:left="532" w:right="0"/>
        <w:jc w:val="left"/>
        <w:rPr>
          <w:b w:val="0"/>
          <w:bCs w:val="0"/>
        </w:rPr>
      </w:pPr>
      <w:bookmarkStart w:name="（3）其他说明" w:id="525"/>
      <w:bookmarkEnd w:id="52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2" w:right="0"/>
        <w:jc w:val="left"/>
        <w:rPr>
          <w:b w:val="0"/>
          <w:bCs w:val="0"/>
        </w:rPr>
      </w:pPr>
      <w:bookmarkStart w:name="4、营业收入和营业成本" w:id="526"/>
      <w:bookmarkEnd w:id="52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7"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103,536.25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27,738.22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2,347,851.88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985,537.20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1,672,524.70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570,992.16</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2,451,388.13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985,537.20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1,700,262.92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570,992.16</w:t>
            </w:r>
          </w:p>
        </w:tc>
      </w:tr>
    </w:tbl>
    <w:p>
      <w:pPr>
        <w:pStyle w:val="BodyText"/>
        <w:spacing w:line="240" w:lineRule="auto" w:before="49"/>
        <w:ind w:left="532" w:right="0"/>
        <w:jc w:val="left"/>
      </w:pPr>
      <w:r>
        <w:rPr/>
        <w:t>是否已执行新收入准则</w:t>
      </w:r>
    </w:p>
    <w:p>
      <w:pPr>
        <w:pStyle w:val="BodyText"/>
        <w:spacing w:line="340" w:lineRule="auto" w:before="114"/>
        <w:ind w:left="532"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after="0" w:line="340" w:lineRule="auto"/>
        <w:jc w:val="left"/>
        <w:sectPr>
          <w:pgSz w:w="11910" w:h="16840"/>
          <w:pgMar w:header="877" w:footer="980" w:top="1100" w:bottom="1160" w:left="60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5、投资收益" w:id="527"/>
      <w:bookmarkEnd w:id="52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-11,878,274.01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-7,039,712.14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-4,086,848.26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12,498,373.09</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2,589,622.64</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-15,965,122.27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8,048,283.59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其他" w:id="528"/>
      <w:bookmarkEnd w:id="528"/>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33"/>
        <w:jc w:val="left"/>
        <w:rPr>
          <w:b w:val="0"/>
          <w:bCs w:val="0"/>
        </w:rPr>
      </w:pPr>
      <w:bookmarkStart w:name="十八、补充资料" w:id="529"/>
      <w:bookmarkEnd w:id="529"/>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当期非经常性损益明细表" w:id="530"/>
      <w:bookmarkEnd w:id="53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223"/>
        <w:gridCol w:w="2642"/>
        <w:gridCol w:w="1843"/>
      </w:tblGrid>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-159,181,999.97</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6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24,072,325.49</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准定额或定量享受的政府补助除外）</w:t>
            </w:r>
          </w:p>
        </w:tc>
        <w:tc>
          <w:tcPr>
            <w:tcW w:w="26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7,550,102.39</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融资产、衍生金融资产、交易性金融负债、衍生金融负债产生的公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允价值变动损益，以及处置交易性金融资产、衍生金融资产、交易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性金融负债、衍生金融负债和其他债权投资取得的投资收益</w:t>
            </w:r>
          </w:p>
        </w:tc>
        <w:tc>
          <w:tcPr>
            <w:tcW w:w="26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2,099,001.54</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-9,290,830.72</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购买日之前持有的股权按照公允价值重新计量产生的利得</w:t>
            </w:r>
          </w:p>
        </w:tc>
        <w:tc>
          <w:tcPr>
            <w:tcW w:w="26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-1,814,214.50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30,008.67</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-132,967,195.44</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33"/>
        <w:jc w:val="left"/>
        <w:rPr>
          <w:b w:val="0"/>
          <w:bCs w:val="0"/>
        </w:rPr>
      </w:pPr>
      <w:bookmarkStart w:name="2、净资产收益率及每股收益" w:id="531"/>
      <w:bookmarkEnd w:id="53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4"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-1.3270</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-1.1533</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3、境内外会计准则下会计数据差异" w:id="532"/>
      <w:bookmarkEnd w:id="53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中国会计准则披露的财务报告中净利润和净资产差异情况" w:id="533"/>
      <w:bookmarkEnd w:id="53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同时按照境外会计准则与按中国会计准则披露的财务报告中净利润和净资产差异情况" w:id="534"/>
      <w:bookmarkEnd w:id="53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1133"/>
        <w:jc w:val="left"/>
        <w:rPr>
          <w:b w:val="0"/>
          <w:bCs w:val="0"/>
        </w:rPr>
      </w:pPr>
      <w:bookmarkStart w:name="（3）境内外会计准则下会计数据差异原因说明，对已经境外审计机构审计的数据进行差异" w:id="535"/>
      <w:bookmarkEnd w:id="53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133"/>
        <w:jc w:val="left"/>
        <w:rPr>
          <w:b w:val="0"/>
          <w:bCs w:val="0"/>
        </w:rPr>
      </w:pPr>
      <w:bookmarkStart w:name="4、其他" w:id="536"/>
      <w:bookmarkEnd w:id="536"/>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left="3285" w:right="1133"/>
        <w:jc w:val="left"/>
        <w:rPr>
          <w:b w:val="0"/>
          <w:bCs w:val="0"/>
        </w:rPr>
      </w:pPr>
      <w:bookmarkStart w:name="第十三节 备查文件目录" w:id="537"/>
      <w:bookmarkEnd w:id="537"/>
      <w:r>
        <w:rPr>
          <w:b w:val="0"/>
          <w:bCs w:val="0"/>
        </w:rPr>
      </w:r>
      <w:r>
        <w:rPr/>
        <w:t>第十三节</w:t>
      </w:r>
      <w:r>
        <w:rPr>
          <w:spacing w:val="-6"/>
        </w:rPr>
        <w:t> </w:t>
      </w:r>
      <w:r>
        <w:rPr/>
        <w:t>备查文件目录</w:t>
      </w:r>
      <w:r>
        <w:rPr>
          <w:b w:val="0"/>
          <w:bCs w:val="0"/>
        </w:rPr>
      </w:r>
    </w:p>
    <w:p>
      <w:pPr>
        <w:spacing w:line="240" w:lineRule="auto" w:before="12"/>
        <w:rPr>
          <w:rFonts w:ascii="宋体" w:hAnsi="宋体" w:cs="宋体" w:eastAsia="宋体" w:hint="default"/>
          <w:b/>
          <w:bCs/>
          <w:sz w:val="40"/>
          <w:szCs w:val="40"/>
        </w:rPr>
      </w:pPr>
    </w:p>
    <w:p>
      <w:pPr>
        <w:pStyle w:val="Heading4"/>
        <w:spacing w:line="376" w:lineRule="auto"/>
        <w:ind w:right="1133"/>
        <w:jc w:val="left"/>
      </w:pPr>
      <w:r>
        <w:rPr/>
        <w:t>一、载有公司负责人、主管会计工作负责人、会计机构负责人签名并盖章的会计报表。</w:t>
      </w:r>
      <w:r>
        <w:rPr>
          <w:w w:val="100"/>
        </w:rPr>
        <w:t> </w:t>
      </w:r>
      <w:r>
        <w:rPr/>
        <w:t>二、载有会计师事务所盖章、注册会计师签名并盖章的审计报告原件。</w:t>
      </w:r>
      <w:r>
        <w:rPr>
          <w:w w:val="100"/>
        </w:rPr>
        <w:t> </w:t>
      </w:r>
      <w:r>
        <w:rPr>
          <w:spacing w:val="-2"/>
        </w:rPr>
        <w:t>三、报告期内在中国证监会指定网站上公开披露过的所有公司文件的正本及公告的原稿。</w:t>
      </w:r>
    </w:p>
    <w:sectPr>
      <w:pgSz w:w="11910" w:h="16840"/>
      <w:pgMar w:header="877" w:footer="980"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3800" type="#_x0000_t75" stroked="false">
          <v:imagedata r:id="rId1" o:title=""/>
        </v:shape>
      </w:pict>
    </w:r>
    <w:r>
      <w:rPr/>
      <w:pict>
        <v:shape style="position:absolute;margin-left:533.099976pt;margin-top:795.637939pt;width:6.5pt;height:11pt;mso-position-horizontal-relative:page;mso-position-vertical-relative:page;z-index:-10137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3152" type="#_x0000_t75" stroked="false">
          <v:imagedata r:id="rId1" o:title=""/>
        </v:shape>
      </w:pict>
    </w:r>
    <w:r>
      <w:rPr/>
      <w:pict>
        <v:shape style="position:absolute;margin-left:523.099976pt;margin-top:781.933899pt;width:17.7pt;height:11pt;mso-position-horizontal-relative:page;mso-position-vertical-relative:page;z-index:-1013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3104" type="#_x0000_t75" stroked="false">
          <v:imagedata r:id="rId1" o:title=""/>
        </v:shape>
      </w:pict>
    </w:r>
    <w:r>
      <w:rPr/>
      <w:pict>
        <v:shape style="position:absolute;margin-left:523.460022pt;margin-top:781.933899pt;width:17.3pt;height:11pt;mso-position-horizontal-relative:page;mso-position-vertical-relative:page;z-index:-1013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3056" type="#_x0000_t75" stroked="false">
          <v:imagedata r:id="rId1" o:title=""/>
        </v:shape>
      </w:pict>
    </w:r>
    <w:r>
      <w:rPr/>
      <w:pict>
        <v:shape style="position:absolute;margin-left:523.099976pt;margin-top:781.933899pt;width:17.7pt;height:11pt;mso-position-horizontal-relative:page;mso-position-vertical-relative:page;z-index:-1013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3752" type="#_x0000_t75" stroked="false">
          <v:imagedata r:id="rId1" o:title=""/>
        </v:shape>
      </w:pict>
    </w:r>
    <w:r>
      <w:rPr/>
      <w:pict>
        <v:shape style="position:absolute;margin-left:527.659973pt;margin-top:781.933899pt;width:13.15pt;height:11pt;mso-position-horizontal-relative:page;mso-position-vertical-relative:page;z-index:-1013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13680" type="#_x0000_t75" stroked="false">
          <v:imagedata r:id="rId1" o:title=""/>
        </v:shape>
      </w:pict>
    </w:r>
    <w:r>
      <w:rPr/>
      <w:pict>
        <v:shape style="position:absolute;margin-left:759.02002pt;margin-top:535.333923pt;width:13.15pt;height:11pt;mso-position-horizontal-relative:page;mso-position-vertical-relative:page;z-index:-1013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3584" type="#_x0000_t75" stroked="false">
          <v:imagedata r:id="rId1" o:title=""/>
        </v:shape>
      </w:pict>
    </w:r>
    <w:r>
      <w:rPr/>
      <w:pict>
        <v:shape style="position:absolute;margin-left:527.659973pt;margin-top:781.933899pt;width:13.15pt;height:11pt;mso-position-horizontal-relative:page;mso-position-vertical-relative:page;z-index:-1013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26</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13512" type="#_x0000_t75" stroked="false">
          <v:imagedata r:id="rId1" o:title=""/>
        </v:shape>
      </w:pict>
    </w:r>
    <w:r>
      <w:rPr/>
      <w:pict>
        <v:shape style="position:absolute;margin-left:759.02002pt;margin-top:535.333923pt;width:13.15pt;height:11pt;mso-position-horizontal-relative:page;mso-position-vertical-relative:page;z-index:-1013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3416" type="#_x0000_t75" stroked="false">
          <v:imagedata r:id="rId1" o:title=""/>
        </v:shape>
      </w:pict>
    </w:r>
    <w:r>
      <w:rPr/>
      <w:pict>
        <v:shape style="position:absolute;margin-left:527.659973pt;margin-top:781.933899pt;width:13.15pt;height:11pt;mso-position-horizontal-relative:page;mso-position-vertical-relative:page;z-index:-1013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13344" type="#_x0000_t75" stroked="false">
          <v:imagedata r:id="rId1" o:title=""/>
        </v:shape>
      </w:pict>
    </w:r>
    <w:r>
      <w:rPr/>
      <w:pict>
        <v:shape style="position:absolute;margin-left:759.02002pt;margin-top:535.333923pt;width:13.15pt;height:11pt;mso-position-horizontal-relative:page;mso-position-vertical-relative:page;z-index:-1013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3248" type="#_x0000_t75" stroked="false">
          <v:imagedata r:id="rId1" o:title=""/>
        </v:shape>
      </w:pict>
    </w:r>
    <w:r>
      <w:rPr/>
      <w:pict>
        <v:shape style="position:absolute;margin-left:527.659973pt;margin-top:781.933899pt;width:13.15pt;height:11pt;mso-position-horizontal-relative:page;mso-position-vertical-relative:page;z-index:-1013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95</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3200" type="#_x0000_t75" stroked="false">
          <v:imagedata r:id="rId1" o:title=""/>
        </v:shape>
      </w:pict>
    </w:r>
    <w:r>
      <w:rPr/>
      <w:pict>
        <v:shape style="position:absolute;margin-left:524.099976pt;margin-top:781.933899pt;width:15.7pt;height:11pt;mso-position-horizontal-relative:page;mso-position-vertical-relative:page;z-index:-10131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013824" type="#_x0000_t202" filled="false" stroked="false">
          <v:textbox inset="0,0,0,0">
            <w:txbxContent>
              <w:p>
                <w:pPr>
                  <w:pStyle w:val="BodyText"/>
                  <w:spacing w:line="214" w:lineRule="exact"/>
                  <w:ind w:left="20" w:right="0"/>
                  <w:jc w:val="left"/>
                </w:pPr>
                <w:r>
                  <w:rPr/>
                  <w:t>顺利办信息服务股份有限公司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013704" type="#_x0000_t202" filled="false" stroked="false">
          <v:textbox inset="0,0,0,0">
            <w:txbxContent>
              <w:p>
                <w:pPr>
                  <w:pStyle w:val="BodyText"/>
                  <w:spacing w:line="214" w:lineRule="exact"/>
                  <w:ind w:left="20" w:right="0"/>
                  <w:jc w:val="left"/>
                </w:pPr>
                <w:r>
                  <w:rPr/>
                  <w:t>顺利办信息服务股份有限公司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136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3608" type="#_x0000_t202" filled="false" stroked="false">
          <v:textbox inset="0,0,0,0">
            <w:txbxContent>
              <w:p>
                <w:pPr>
                  <w:pStyle w:val="BodyText"/>
                  <w:spacing w:line="214" w:lineRule="exact"/>
                  <w:ind w:left="20" w:right="0"/>
                  <w:jc w:val="left"/>
                </w:pPr>
                <w:r>
                  <w:rPr/>
                  <w:t>顺利办信息服务股份有限公司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013536" type="#_x0000_t202" filled="false" stroked="false">
          <v:textbox inset="0,0,0,0">
            <w:txbxContent>
              <w:p>
                <w:pPr>
                  <w:pStyle w:val="BodyText"/>
                  <w:spacing w:line="214" w:lineRule="exact"/>
                  <w:ind w:left="20" w:right="0"/>
                  <w:jc w:val="left"/>
                </w:pPr>
                <w:r>
                  <w:rPr/>
                  <w:t>顺利办信息服务股份有限公司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134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3440" type="#_x0000_t202" filled="false" stroked="false">
          <v:textbox inset="0,0,0,0">
            <w:txbxContent>
              <w:p>
                <w:pPr>
                  <w:pStyle w:val="BodyText"/>
                  <w:spacing w:line="214" w:lineRule="exact"/>
                  <w:ind w:left="20" w:right="0"/>
                  <w:jc w:val="left"/>
                </w:pPr>
                <w:r>
                  <w:rPr/>
                  <w:t>顺利办信息服务股份有限公司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013368" type="#_x0000_t202" filled="false" stroked="false">
          <v:textbox inset="0,0,0,0">
            <w:txbxContent>
              <w:p>
                <w:pPr>
                  <w:pStyle w:val="BodyText"/>
                  <w:spacing w:line="214" w:lineRule="exact"/>
                  <w:ind w:left="20" w:right="0"/>
                  <w:jc w:val="left"/>
                </w:pPr>
                <w:r>
                  <w:rPr/>
                  <w:t>顺利办信息服务股份有限公司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132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013272" type="#_x0000_t202" filled="false" stroked="false">
          <v:textbox inset="0,0,0,0">
            <w:txbxContent>
              <w:p>
                <w:pPr>
                  <w:pStyle w:val="BodyText"/>
                  <w:spacing w:line="214" w:lineRule="exact"/>
                  <w:ind w:left="20" w:right="0"/>
                  <w:jc w:val="left"/>
                </w:pPr>
                <w:r>
                  <w:rPr/>
                  <w:t>顺利办信息服务股份有限公司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5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Heading5" w:type="paragraph">
    <w:name w:val="Heading 5"/>
    <w:basedOn w:val="Normal"/>
    <w:uiPriority w:val="1"/>
    <w:qFormat/>
    <w:pPr>
      <w:ind w:left="429"/>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shunliban.com/" TargetMode="External"/><Relationship Id="rId9" Type="http://schemas.openxmlformats.org/officeDocument/2006/relationships/hyperlink" Target="mailto:zhengq@12366.com" TargetMode="External"/><Relationship Id="rId10" Type="http://schemas.openxmlformats.org/officeDocument/2006/relationships/hyperlink" Target="mailto:huanghy@12366.com" TargetMode="External"/><Relationship Id="rId11" Type="http://schemas.openxmlformats.org/officeDocument/2006/relationships/hyperlink" Target="mailto:kouyc@12366.com" TargetMode="External"/><Relationship Id="rId12" Type="http://schemas.openxmlformats.org/officeDocument/2006/relationships/hyperlink" Target="http://www.cninfo.com.cn/" TargetMode="External"/><Relationship Id="rId13" Type="http://schemas.openxmlformats.org/officeDocument/2006/relationships/hyperlink" Target="http://www.12366.com/"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image" Target="media/image2.jpeg"/><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header" Target="head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顺利办信息服务股份有限公司</dc:creator>
  <dc:title>顺利办信息服务股份有限公司2019年年度报告全文</dc:title>
  <dcterms:created xsi:type="dcterms:W3CDTF">2020-05-19T23:02:30Z</dcterms:created>
  <dcterms:modified xsi:type="dcterms:W3CDTF">2020-05-19T23:02:30Z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